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hint="eastAsia" w:ascii="隶书" w:hAnsi="Arial" w:eastAsia="隶书" w:cs="Arial"/>
          <w:b/>
          <w:spacing w:val="-12"/>
          <w:sz w:val="48"/>
          <w:szCs w:val="48"/>
        </w:rPr>
      </w:pPr>
      <w:r>
        <w:rPr>
          <w:rFonts w:hint="eastAsia" w:ascii="隶书" w:hAnsi="Arial" w:eastAsia="隶书" w:cs="Arial"/>
          <w:b/>
          <w:spacing w:val="-12"/>
          <w:sz w:val="48"/>
          <w:szCs w:val="48"/>
        </w:rPr>
        <w:t>绍兴市人民医院</w:t>
      </w:r>
    </w:p>
    <w:p>
      <w:pPr>
        <w:jc w:val="center"/>
        <w:outlineLvl w:val="0"/>
      </w:pPr>
      <w:r>
        <w:rPr>
          <w:rFonts w:hint="eastAsia" w:ascii="隶书" w:hAnsi="Arial" w:eastAsia="隶书" w:cs="Arial"/>
          <w:b/>
          <w:spacing w:val="-12"/>
          <w:sz w:val="48"/>
          <w:szCs w:val="48"/>
        </w:rPr>
        <w:t>生物安全在线监测系统采购项目</w:t>
      </w:r>
    </w:p>
    <w:p>
      <w:pPr>
        <w:jc w:val="center"/>
        <w:outlineLvl w:val="0"/>
        <w:rPr>
          <w:rFonts w:hint="eastAsia" w:ascii="隶书" w:hAnsi="Arial" w:eastAsia="隶书" w:cs="Arial"/>
          <w:b/>
          <w:sz w:val="30"/>
          <w:szCs w:val="30"/>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center"/>
        <w:rPr>
          <w:rFonts w:ascii="隶书" w:eastAsia="隶书"/>
          <w:b/>
          <w:sz w:val="28"/>
          <w:szCs w:val="28"/>
        </w:rPr>
      </w:pPr>
    </w:p>
    <w:p>
      <w:pPr>
        <w:pStyle w:val="3"/>
        <w:numPr>
          <w:ilvl w:val="0"/>
          <w:numId w:val="0"/>
        </w:numPr>
        <w:jc w:val="center"/>
        <w:rPr>
          <w:rFonts w:hint="default"/>
          <w:sz w:val="20"/>
          <w:szCs w:val="6"/>
          <w:lang w:val="en-US"/>
        </w:rPr>
      </w:pPr>
      <w:r>
        <w:rPr>
          <w:rFonts w:hint="eastAsia" w:ascii="隶书" w:eastAsia="隶书"/>
          <w:b/>
          <w:sz w:val="28"/>
          <w:szCs w:val="28"/>
        </w:rPr>
        <w:t>招标编号:</w:t>
      </w:r>
      <w:r>
        <w:rPr>
          <w:rFonts w:hint="eastAsia" w:ascii="仿宋" w:hAnsi="仿宋" w:eastAsia="仿宋" w:cs="仿宋"/>
          <w:b/>
          <w:sz w:val="28"/>
          <w:szCs w:val="28"/>
        </w:rPr>
        <w:t>HCZB-</w:t>
      </w:r>
      <w:r>
        <w:rPr>
          <w:rFonts w:hint="eastAsia" w:ascii="仿宋" w:hAnsi="仿宋" w:eastAsia="仿宋" w:cs="仿宋"/>
          <w:b/>
          <w:sz w:val="28"/>
          <w:szCs w:val="28"/>
          <w:lang w:val="en-US" w:eastAsia="zh-CN"/>
        </w:rPr>
        <w:t>2</w:t>
      </w:r>
      <w:r>
        <w:rPr>
          <w:rFonts w:hint="eastAsia" w:ascii="仿宋" w:hAnsi="仿宋" w:eastAsia="仿宋" w:cs="仿宋"/>
          <w:b/>
          <w:sz w:val="28"/>
          <w:szCs w:val="28"/>
        </w:rPr>
        <w:t>022-0</w:t>
      </w:r>
      <w:r>
        <w:rPr>
          <w:rFonts w:hint="eastAsia" w:ascii="仿宋" w:hAnsi="仿宋" w:eastAsia="仿宋" w:cs="仿宋"/>
          <w:b/>
          <w:sz w:val="28"/>
          <w:szCs w:val="28"/>
          <w:lang w:val="en-US" w:eastAsia="zh-CN"/>
        </w:rPr>
        <w:t>14</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r>
        <w:tblPrEx>
          <w:tblCellMar>
            <w:top w:w="0" w:type="dxa"/>
            <w:left w:w="108" w:type="dxa"/>
            <w:bottom w:w="0" w:type="dxa"/>
            <w:right w:w="108" w:type="dxa"/>
          </w:tblCellMar>
        </w:tblPrEx>
        <w:trPr>
          <w:trHeight w:val="580" w:hRule="atLeast"/>
          <w:jc w:val="center"/>
        </w:trPr>
        <w:tc>
          <w:tcPr>
            <w:tcW w:w="7791" w:type="dxa"/>
            <w:gridSpan w:val="2"/>
            <w:vAlign w:val="center"/>
          </w:tcPr>
          <w:p>
            <w:pPr>
              <w:spacing w:after="100" w:afterAutospacing="1" w:line="440" w:lineRule="exact"/>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二〇二二年 十二 月</w:t>
            </w:r>
          </w:p>
        </w:tc>
      </w:tr>
    </w:tbl>
    <w:p>
      <w:pPr>
        <w:jc w:val="center"/>
        <w:rPr>
          <w:rFonts w:ascii="隶书" w:eastAsia="隶书"/>
          <w:b/>
          <w:sz w:val="44"/>
          <w:szCs w:val="44"/>
        </w:rPr>
      </w:pPr>
    </w:p>
    <w:p>
      <w:pPr>
        <w:rPr>
          <w:rFonts w:ascii="仿宋_GB2312" w:eastAsia="仿宋_GB2312"/>
          <w:b/>
          <w:sz w:val="44"/>
          <w:szCs w:val="44"/>
        </w:rPr>
      </w:pPr>
      <w:r>
        <w:rPr>
          <w:rFonts w:hint="eastAsia" w:ascii="仿宋_GB2312" w:eastAsia="仿宋_GB2312"/>
          <w:b/>
          <w:sz w:val="44"/>
          <w:szCs w:val="44"/>
        </w:rPr>
        <w:br w:type="page"/>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1"/>
        <w:tblW w:w="16558" w:type="dxa"/>
        <w:tblInd w:w="0" w:type="dxa"/>
        <w:tblLayout w:type="fixed"/>
        <w:tblCellMar>
          <w:top w:w="0" w:type="dxa"/>
          <w:left w:w="0" w:type="dxa"/>
          <w:bottom w:w="0" w:type="dxa"/>
          <w:right w:w="0" w:type="dxa"/>
        </w:tblCellMar>
      </w:tblPr>
      <w:tblGrid>
        <w:gridCol w:w="8279"/>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项目编号：HCZB-2022-014</w:t>
            </w:r>
          </w:p>
          <w:p>
            <w:pPr>
              <w:pStyle w:val="67"/>
              <w:spacing w:afterLines="0" w:line="440" w:lineRule="exact"/>
              <w:ind w:firstLine="480"/>
              <w:rPr>
                <w:rFonts w:hint="eastAsia" w:ascii="仿宋_GB2312" w:hAnsi="新宋体" w:eastAsia="仿宋_GB2312" w:cs="Times New Roman"/>
                <w:szCs w:val="24"/>
                <w:lang w:val="zh-CN"/>
              </w:rPr>
            </w:pPr>
            <w:r>
              <w:rPr>
                <w:rFonts w:hint="eastAsia" w:ascii="仿宋_GB2312" w:hAnsi="新宋体" w:eastAsia="仿宋_GB2312"/>
                <w:szCs w:val="24"/>
              </w:rPr>
              <w:t>项目</w:t>
            </w:r>
            <w:r>
              <w:rPr>
                <w:rFonts w:hint="eastAsia" w:ascii="仿宋_GB2312" w:hAnsi="新宋体" w:eastAsia="仿宋_GB2312" w:cs="Times New Roman"/>
                <w:szCs w:val="24"/>
              </w:rPr>
              <w:t>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采购方式：公开招标</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预算金额（元）：310546</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最高限价（元）：</w:t>
            </w:r>
            <w:bookmarkStart w:id="173" w:name="_GoBack"/>
            <w:r>
              <w:rPr>
                <w:rFonts w:hint="eastAsia" w:ascii="仿宋_GB2312" w:hAnsi="新宋体" w:eastAsia="仿宋_GB2312" w:cs="Times New Roman"/>
                <w:szCs w:val="24"/>
              </w:rPr>
              <w:t>310546</w:t>
            </w:r>
            <w:bookmarkEnd w:id="173"/>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1项</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cs="Times New Roman"/>
                <w:szCs w:val="24"/>
              </w:rPr>
              <w:t>310546</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w:t>
            </w:r>
            <w:r>
              <w:rPr>
                <w:rFonts w:hint="eastAsia" w:ascii="仿宋_GB2312" w:hAnsi="新宋体" w:eastAsia="仿宋_GB2312"/>
                <w:szCs w:val="24"/>
                <w:highlight w:val="none"/>
                <w:lang w:val="en-US" w:eastAsia="zh-CN"/>
              </w:rPr>
              <w:t>否</w:t>
            </w:r>
            <w:r>
              <w:rPr>
                <w:rFonts w:hint="eastAsia" w:ascii="仿宋_GB2312" w:hAnsi="新宋体" w:eastAsia="仿宋_GB2312"/>
                <w:szCs w:val="24"/>
                <w:highlight w:val="none"/>
              </w:rPr>
              <w:t>）接受联合体投标。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sz w:val="24"/>
              </w:rPr>
              <w:t>货物全部由符合政策要求的中小企业制造，提供中小企业声明函；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4.本项目的特定资格要求：</w:t>
            </w:r>
            <w:r>
              <w:rPr>
                <w:rFonts w:hint="eastAsia" w:ascii="仿宋_GB2312" w:hAnsi="新宋体" w:eastAsia="仿宋_GB2312"/>
                <w:szCs w:val="24"/>
                <w:lang w:val="en-US" w:eastAsia="zh-CN"/>
              </w:rPr>
              <w:t>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highlight w:val="none"/>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lang w:val="en-US" w:eastAsia="zh-CN"/>
              </w:rPr>
              <w:t xml:space="preserve"> 1 </w:t>
            </w:r>
            <w:r>
              <w:rPr>
                <w:rFonts w:hint="eastAsia" w:ascii="仿宋" w:hAnsi="仿宋" w:eastAsia="仿宋" w:cs="仿宋"/>
                <w:sz w:val="24"/>
              </w:rPr>
              <w:t>月</w:t>
            </w:r>
            <w:r>
              <w:rPr>
                <w:rFonts w:hint="eastAsia" w:ascii="仿宋" w:hAnsi="仿宋" w:eastAsia="仿宋" w:cs="仿宋"/>
                <w:sz w:val="24"/>
                <w:lang w:val="en-US" w:eastAsia="zh-CN"/>
              </w:rPr>
              <w:t xml:space="preserve">11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 xml:space="preserve"> 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eastAsia="仿宋"/>
                <w:sz w:val="24"/>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numPr>
                <w:ilvl w:val="0"/>
                <w:numId w:val="7"/>
              </w:numPr>
              <w:spacing w:line="440" w:lineRule="exact"/>
              <w:ind w:firstLine="480" w:firstLineChars="200"/>
              <w:rPr>
                <w:rFonts w:hint="eastAsia" w:ascii="仿宋" w:hAnsi="仿宋" w:eastAsia="仿宋" w:cs="仿宋"/>
                <w:sz w:val="24"/>
              </w:rPr>
            </w:pPr>
            <w:r>
              <w:rPr>
                <w:rFonts w:hint="eastAsia" w:ascii="仿宋" w:eastAsia="仿宋"/>
                <w:sz w:val="24"/>
              </w:rPr>
              <w:t>采用邮寄方式，邮寄公司建议采用EMS或顺丰（包裹外包装上请注明投标单位名称、项目名称、联系人、联系电话等信息，以便工作人员接收登记工作），接收截止时间为202</w:t>
            </w:r>
            <w:r>
              <w:rPr>
                <w:rFonts w:hint="eastAsia" w:ascii="仿宋" w:eastAsia="仿宋"/>
                <w:sz w:val="24"/>
                <w:lang w:val="en-US" w:eastAsia="zh-CN"/>
              </w:rPr>
              <w:t>3</w:t>
            </w:r>
            <w:r>
              <w:rPr>
                <w:rFonts w:hint="eastAsia" w:ascii="仿宋" w:eastAsia="仿宋"/>
                <w:sz w:val="24"/>
              </w:rPr>
              <w:t>年</w:t>
            </w:r>
            <w:r>
              <w:rPr>
                <w:rFonts w:hint="eastAsia" w:ascii="仿宋" w:eastAsia="仿宋"/>
                <w:sz w:val="24"/>
                <w:lang w:val="en-US" w:eastAsia="zh-CN"/>
              </w:rPr>
              <w:t xml:space="preserve"> 1 </w:t>
            </w:r>
            <w:r>
              <w:rPr>
                <w:rFonts w:hint="eastAsia" w:ascii="仿宋" w:eastAsia="仿宋"/>
                <w:sz w:val="24"/>
              </w:rPr>
              <w:t>月</w:t>
            </w:r>
            <w:r>
              <w:rPr>
                <w:rFonts w:hint="eastAsia" w:ascii="仿宋" w:eastAsia="仿宋"/>
                <w:sz w:val="24"/>
                <w:lang w:val="en-US" w:eastAsia="zh-CN"/>
              </w:rPr>
              <w:t xml:space="preserve"> 11 </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r>
              <w:rPr>
                <w:rFonts w:hint="eastAsia" w:ascii="仿宋" w:hAnsi="仿宋" w:eastAsia="仿宋" w:cs="仿宋"/>
                <w:sz w:val="24"/>
              </w:rPr>
              <w:t>联系人：毕龙梅   电话：15068545458</w:t>
            </w:r>
          </w:p>
          <w:p>
            <w:pPr>
              <w:numPr>
                <w:ilvl w:val="0"/>
                <w:numId w:val="0"/>
              </w:numPr>
              <w:spacing w:line="440" w:lineRule="exact"/>
              <w:ind w:firstLine="480" w:firstLineChars="200"/>
              <w:rPr>
                <w:rFonts w:hint="eastAsia" w:ascii="仿宋" w:eastAsia="仿宋"/>
                <w:sz w:val="24"/>
                <w:lang w:eastAsia="zh-CN"/>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 xml:space="preserve"> 1  </w:t>
            </w:r>
            <w:r>
              <w:rPr>
                <w:rFonts w:hint="eastAsia" w:ascii="仿宋" w:eastAsia="仿宋"/>
                <w:sz w:val="24"/>
              </w:rPr>
              <w:t>月</w:t>
            </w:r>
            <w:r>
              <w:rPr>
                <w:rFonts w:hint="eastAsia" w:ascii="仿宋" w:eastAsia="仿宋"/>
                <w:sz w:val="24"/>
                <w:lang w:val="en-US" w:eastAsia="zh-CN"/>
              </w:rPr>
              <w:t xml:space="preserve"> 11 </w:t>
            </w:r>
            <w:r>
              <w:rPr>
                <w:rFonts w:hint="eastAsia" w:ascii="仿宋" w:eastAsia="仿宋"/>
                <w:sz w:val="24"/>
              </w:rPr>
              <w:t>日</w:t>
            </w:r>
            <w:r>
              <w:rPr>
                <w:rFonts w:hint="eastAsia" w:ascii="仿宋" w:eastAsia="仿宋"/>
                <w:sz w:val="24"/>
                <w:u w:val="single"/>
                <w:lang w:val="en-US" w:eastAsia="zh-CN"/>
              </w:rPr>
              <w:t xml:space="preserve"> 14</w:t>
            </w:r>
            <w:r>
              <w:rPr>
                <w:rFonts w:hint="eastAsia" w:ascii="仿宋" w:eastAsia="仿宋"/>
                <w:sz w:val="24"/>
                <w:u w:val="single"/>
              </w:rPr>
              <w:t xml:space="preserve">:30  </w:t>
            </w:r>
            <w:r>
              <w:rPr>
                <w:rFonts w:hint="eastAsia" w:ascii="仿宋" w:eastAsia="仿宋"/>
                <w:sz w:val="24"/>
              </w:rPr>
              <w:t>时以前将投标文件密封送交</w:t>
            </w:r>
            <w:r>
              <w:rPr>
                <w:rFonts w:hint="eastAsia" w:ascii="仿宋" w:hAnsi="仿宋" w:eastAsia="仿宋" w:cs="仿宋"/>
                <w:kern w:val="0"/>
                <w:sz w:val="24"/>
                <w:lang w:eastAsia="zh-CN"/>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w:t>
            </w:r>
            <w:r>
              <w:rPr>
                <w:rFonts w:hint="eastAsia" w:ascii="仿宋" w:hAnsi="仿宋" w:eastAsia="仿宋" w:cs="仿宋"/>
                <w:color w:val="auto"/>
                <w:spacing w:val="-4"/>
                <w:sz w:val="24"/>
              </w:rPr>
              <w:t>正公告发布网址：</w:t>
            </w:r>
            <w:bookmarkStart w:id="0" w:name="_Hlt10553107"/>
            <w:bookmarkEnd w:id="0"/>
            <w:bookmarkStart w:id="1" w:name="_Hlt10553106"/>
            <w:bookmarkEnd w:id="1"/>
          </w:p>
          <w:p>
            <w:pPr>
              <w:spacing w:line="440" w:lineRule="exact"/>
              <w:ind w:firstLine="464" w:firstLineChars="200"/>
              <w:jc w:val="left"/>
              <w:rPr>
                <w:rFonts w:ascii="仿宋" w:eastAsia="仿宋" w:cs="Arial"/>
                <w:color w:val="FF0000"/>
                <w:sz w:val="24"/>
              </w:rPr>
            </w:pPr>
            <w:r>
              <w:rPr>
                <w:rFonts w:hint="eastAsia" w:ascii="仿宋" w:hAnsi="仿宋" w:eastAsia="仿宋" w:cs="仿宋"/>
                <w:color w:val="auto"/>
                <w:spacing w:val="-4"/>
                <w:sz w:val="24"/>
              </w:rPr>
              <w:t>浙江政府采购网：http://zfcg.czt.zj.gov.cn/,绍兴市人民医院官网：</w:t>
            </w:r>
            <w:r>
              <w:rPr>
                <w:rFonts w:hint="eastAsia" w:ascii="仿宋" w:hAnsi="仿宋" w:eastAsia="仿宋" w:cs="仿宋"/>
                <w:color w:val="auto"/>
                <w:spacing w:val="-4"/>
                <w:sz w:val="24"/>
              </w:rPr>
              <w:fldChar w:fldCharType="begin"/>
            </w:r>
            <w:r>
              <w:rPr>
                <w:rFonts w:hint="eastAsia" w:ascii="仿宋" w:hAnsi="仿宋" w:eastAsia="仿宋" w:cs="仿宋"/>
                <w:color w:val="auto"/>
                <w:spacing w:val="-4"/>
                <w:sz w:val="24"/>
              </w:rPr>
              <w:instrText xml:space="preserve"> HYPERLINK "http://www.312000.net/" </w:instrText>
            </w:r>
            <w:r>
              <w:rPr>
                <w:rFonts w:hint="eastAsia" w:ascii="仿宋" w:hAnsi="仿宋" w:eastAsia="仿宋" w:cs="仿宋"/>
                <w:color w:val="auto"/>
                <w:spacing w:val="-4"/>
                <w:sz w:val="24"/>
              </w:rPr>
              <w:fldChar w:fldCharType="separate"/>
            </w:r>
            <w:r>
              <w:rPr>
                <w:rFonts w:hint="eastAsia" w:ascii="仿宋" w:hAnsi="仿宋" w:eastAsia="仿宋" w:cs="仿宋"/>
                <w:color w:val="auto"/>
                <w:spacing w:val="-4"/>
                <w:sz w:val="24"/>
              </w:rPr>
              <w:t>http://www.312000.net/</w:t>
            </w:r>
            <w:r>
              <w:rPr>
                <w:rFonts w:hint="eastAsia" w:ascii="仿宋" w:hAnsi="仿宋" w:eastAsia="仿宋" w:cs="仿宋"/>
                <w:color w:val="auto"/>
                <w:spacing w:val="-4"/>
                <w:sz w:val="24"/>
              </w:rPr>
              <w:fldChar w:fldCharType="end"/>
            </w:r>
            <w:r>
              <w:rPr>
                <w:rFonts w:hint="eastAsia" w:ascii="仿宋" w:hAnsi="仿宋" w:eastAsia="仿宋" w:cs="仿宋"/>
                <w:color w:val="auto"/>
                <w:spacing w:val="-4"/>
                <w:sz w:val="24"/>
              </w:rPr>
              <w:t>，</w:t>
            </w:r>
            <w:r>
              <w:rPr>
                <w:rFonts w:hint="eastAsia" w:ascii="仿宋" w:hAnsi="仿宋" w:eastAsia="仿宋" w:cs="仿宋"/>
                <w:sz w:val="24"/>
              </w:rPr>
              <w:t>绍兴市卫健委官网：</w:t>
            </w:r>
            <w:r>
              <w:rPr>
                <w:rFonts w:ascii="仿宋" w:hAnsi="仿宋" w:eastAsia="仿宋" w:cs="仿宋"/>
                <w:sz w:val="24"/>
              </w:rPr>
              <w:t>http://sxws.sx.gov.cn/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名称：绍兴市人民医院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地址：绍兴市越城区中兴北路568号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质疑联系人：徐爱琴</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名称：华诚工程咨询集团有限公司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地址：绍兴市越城区越西路800号金德隆商业中心8幢二楼</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项目联系人（询问）：毕龙梅</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项目联系方式（询问）：15068545458</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质疑联系人：柯翔郎</w:t>
            </w:r>
          </w:p>
          <w:p>
            <w:pPr>
              <w:pStyle w:val="67"/>
              <w:spacing w:after="12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_GB2312" w:hAnsi="新宋体" w:eastAsia="仿宋_GB2312"/>
                <w:szCs w:val="24"/>
              </w:rPr>
            </w:pPr>
          </w:p>
        </w:tc>
        <w:tc>
          <w:tcPr>
            <w:tcW w:w="8279" w:type="dxa"/>
            <w:vAlign w:val="center"/>
          </w:tcPr>
          <w:p>
            <w:pPr>
              <w:pStyle w:val="67"/>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c>
          <w:tcPr>
            <w:tcW w:w="8279"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 w:hAnsi="仿宋" w:eastAsia="仿宋" w:cs="仿宋"/>
          <w:kern w:val="0"/>
          <w:sz w:val="24"/>
        </w:rPr>
        <w:t xml:space="preserve">     公告时间：2022年</w:t>
      </w:r>
      <w:r>
        <w:rPr>
          <w:rFonts w:hint="eastAsia" w:ascii="仿宋" w:hAnsi="仿宋" w:eastAsia="仿宋" w:cs="仿宋"/>
          <w:kern w:val="0"/>
          <w:sz w:val="24"/>
          <w:lang w:val="en-US" w:eastAsia="zh-CN"/>
        </w:rPr>
        <w:t xml:space="preserve"> 12</w:t>
      </w:r>
      <w:r>
        <w:rPr>
          <w:rFonts w:hint="eastAsia" w:ascii="仿宋" w:hAnsi="仿宋" w:eastAsia="仿宋" w:cs="仿宋"/>
          <w:kern w:val="0"/>
          <w:sz w:val="24"/>
        </w:rPr>
        <w:t xml:space="preserve"> 月</w:t>
      </w:r>
      <w:r>
        <w:rPr>
          <w:rFonts w:hint="eastAsia" w:ascii="仿宋" w:hAnsi="仿宋" w:eastAsia="仿宋" w:cs="仿宋"/>
          <w:kern w:val="0"/>
          <w:sz w:val="24"/>
          <w:lang w:val="en-US" w:eastAsia="zh-CN"/>
        </w:rPr>
        <w:t xml:space="preserve"> 22</w:t>
      </w:r>
      <w:r>
        <w:rPr>
          <w:rFonts w:hint="eastAsia" w:ascii="仿宋" w:hAnsi="仿宋" w:eastAsia="仿宋" w:cs="仿宋"/>
          <w:kern w:val="0"/>
          <w:sz w:val="24"/>
        </w:rPr>
        <w:t xml:space="preserve">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8370"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方案讲解演示：</w:t>
            </w:r>
          </w:p>
          <w:p>
            <w:pPr>
              <w:spacing w:line="440" w:lineRule="exact"/>
              <w:rPr>
                <w:rFonts w:hint="eastAsia" w:ascii="仿宋" w:hAnsi="仿宋" w:eastAsia="仿宋" w:cs="仿宋"/>
                <w:sz w:val="24"/>
                <w:szCs w:val="24"/>
              </w:rPr>
            </w:pPr>
            <w:sdt>
              <w:sdtPr>
                <w:rPr>
                  <w:rFonts w:hint="eastAsia" w:ascii="仿宋" w:hAnsi="仿宋" w:eastAsia="仿宋" w:cs="仿宋"/>
                  <w:sz w:val="24"/>
                  <w:szCs w:val="24"/>
                </w:rPr>
                <w:id w:val="801731539"/>
              </w:sdtPr>
              <w:sdtEndPr>
                <w:rPr>
                  <w:rFonts w:hint="eastAsia" w:ascii="仿宋" w:hAnsi="仿宋" w:eastAsia="仿宋" w:cs="仿宋"/>
                  <w:sz w:val="24"/>
                  <w:szCs w:val="24"/>
                </w:rPr>
              </w:sdtEndPr>
              <w:sdtContent>
                <w:sdt>
                  <w:sdtPr>
                    <w:rPr>
                      <w:rFonts w:hint="eastAsia" w:ascii="仿宋" w:hAnsi="仿宋" w:eastAsia="仿宋" w:cs="仿宋"/>
                      <w:sz w:val="24"/>
                      <w:szCs w:val="24"/>
                    </w:rPr>
                    <w:id w:val="-1281644016"/>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sdtContent>
            </w:sdt>
            <w:r>
              <w:rPr>
                <w:rFonts w:hint="eastAsia" w:ascii="仿宋" w:hAnsi="仿宋" w:eastAsia="仿宋" w:cs="仿宋"/>
                <w:sz w:val="24"/>
                <w:szCs w:val="24"/>
              </w:rPr>
              <w:t>A无方案讲解演示。</w:t>
            </w:r>
          </w:p>
          <w:p>
            <w:pPr>
              <w:spacing w:line="440" w:lineRule="exact"/>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B有方案讲解演示：</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在评标时安排每个投标人进行</w:t>
            </w:r>
            <w:r>
              <w:rPr>
                <w:rFonts w:hint="eastAsia" w:ascii="仿宋" w:hAnsi="仿宋" w:eastAsia="仿宋" w:cs="仿宋"/>
                <w:sz w:val="24"/>
                <w:szCs w:val="24"/>
                <w:lang w:val="en-US" w:eastAsia="zh-CN"/>
              </w:rPr>
              <w:t>方案讲解演示</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演示结束</w:t>
            </w:r>
            <w:r>
              <w:rPr>
                <w:rFonts w:hint="eastAsia" w:ascii="仿宋" w:hAnsi="仿宋" w:eastAsia="仿宋" w:cs="仿宋"/>
                <w:sz w:val="24"/>
                <w:szCs w:val="24"/>
                <w:lang w:val="zh-CN" w:eastAsia="zh-CN"/>
              </w:rPr>
              <w:t>后按要求解答评标委员会的提问。</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zh-CN" w:eastAsia="zh-CN"/>
              </w:rPr>
              <w:t>讲解演示设备：</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演示所需设备由投标人自行准备。</w:t>
            </w:r>
          </w:p>
          <w:p>
            <w:pPr>
              <w:spacing w:line="360" w:lineRule="auto"/>
              <w:rPr>
                <w:rFonts w:hint="default" w:ascii="仿宋" w:hAnsi="仿宋" w:eastAsia="仿宋" w:cs="仿宋"/>
                <w:sz w:val="24"/>
                <w:szCs w:val="24"/>
                <w:lang w:val="en-US" w:eastAsia="zh-CN"/>
              </w:rPr>
            </w:pPr>
            <w:r>
              <w:rPr>
                <w:rFonts w:hint="eastAsia" w:ascii="仿宋" w:hAnsi="仿宋" w:eastAsia="仿宋" w:cs="仿宋"/>
                <w:b/>
                <w:sz w:val="24"/>
                <w:szCs w:val="24"/>
                <w:lang w:val="zh-CN" w:eastAsia="zh-CN"/>
              </w:rPr>
              <w:t>讲解演示时间：</w:t>
            </w:r>
            <w:r>
              <w:rPr>
                <w:rFonts w:hint="eastAsia" w:ascii="仿宋" w:hAnsi="仿宋" w:eastAsia="仿宋" w:cs="仿宋"/>
                <w:sz w:val="24"/>
                <w:szCs w:val="24"/>
                <w:lang w:val="en-US" w:eastAsia="zh-CN"/>
              </w:rPr>
              <w:t>详见评分标准。</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讲解演示次序：以</w:t>
            </w:r>
            <w:r>
              <w:rPr>
                <w:rFonts w:hint="eastAsia" w:ascii="仿宋" w:hAnsi="仿宋" w:eastAsia="仿宋" w:cs="仿宋"/>
                <w:sz w:val="24"/>
                <w:szCs w:val="24"/>
                <w:lang w:val="en-US" w:eastAsia="zh-CN"/>
              </w:rPr>
              <w:t>报名</w:t>
            </w:r>
            <w:r>
              <w:rPr>
                <w:rFonts w:hint="eastAsia" w:ascii="仿宋" w:hAnsi="仿宋" w:eastAsia="仿宋" w:cs="仿宋"/>
                <w:sz w:val="24"/>
                <w:szCs w:val="24"/>
                <w:lang w:val="zh-CN" w:eastAsia="zh-CN"/>
              </w:rPr>
              <w:t>的先后顺序为准。</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注：</w:t>
            </w:r>
            <w:r>
              <w:rPr>
                <w:rFonts w:hint="eastAsia" w:ascii="仿宋" w:hAnsi="仿宋" w:eastAsia="仿宋" w:cs="仿宋"/>
                <w:sz w:val="24"/>
                <w:szCs w:val="24"/>
                <w:lang w:val="en-US" w:eastAsia="zh-CN"/>
              </w:rPr>
              <w:t>（1）参加演示的投标人人数不超过2人。不得派遣有中高风险地区旅居史的代表参加本次演示；</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（2）投标人拟派省外演示代表的需提供当地48H核酸阴性证明，同时到绍后于绍兴本地核酸检测机构进行检测；</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(3)投标人拟派省内演示代表的需提供7日内核酸阴性证明。</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（4）具体要求按照绍兴市政务服务办公室发布的《关于做好疫情防控期间公共资源交易相关工作的通知》文件执行。</w:t>
            </w:r>
          </w:p>
          <w:p>
            <w:pPr>
              <w:pStyle w:val="2"/>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lang w:val="en-US" w:eastAsia="zh-CN"/>
              </w:rPr>
              <w:t xml:space="preserve">  32T生安眼终端（含AI算法）   </w:t>
            </w:r>
            <w:r>
              <w:rPr>
                <w:rFonts w:hint="eastAsia" w:ascii="仿宋_GB2312" w:hAnsi="仿宋" w:eastAsia="仿宋_GB2312"/>
                <w:kern w:val="0"/>
                <w:sz w:val="24"/>
                <w:lang w:val="en-US" w:eastAsia="zh-CN"/>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lang w:val="en-US" w:eastAsia="zh-CN"/>
              </w:rPr>
              <w:t xml:space="preserve">     信息传输业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绍兴市</w:t>
            </w:r>
            <w:r>
              <w:rPr>
                <w:rFonts w:hint="eastAsia" w:ascii="仿宋" w:hAnsi="仿宋" w:eastAsia="仿宋" w:cs="仿宋"/>
                <w:sz w:val="24"/>
              </w:rPr>
              <w:t>人民医院官网</w:t>
            </w:r>
            <w:r>
              <w:rPr>
                <w:rFonts w:hint="eastAsia" w:ascii="仿宋_GB2312" w:hAnsi="仿宋" w:eastAsia="仿宋_GB2312" w:cs="Times New Roman"/>
                <w:color w:val="auto"/>
                <w:sz w:val="24"/>
              </w:rPr>
              <w:fldChar w:fldCharType="begin"/>
            </w:r>
            <w:r>
              <w:rPr>
                <w:rFonts w:hint="eastAsia" w:ascii="仿宋_GB2312" w:hAnsi="仿宋" w:eastAsia="仿宋_GB2312" w:cs="Times New Roman"/>
                <w:color w:val="auto"/>
                <w:sz w:val="24"/>
              </w:rPr>
              <w:instrText xml:space="preserve"> HYPERLINK "http://www.312000.net/" </w:instrText>
            </w:r>
            <w:r>
              <w:rPr>
                <w:rFonts w:hint="eastAsia" w:ascii="仿宋_GB2312" w:hAnsi="仿宋" w:eastAsia="仿宋_GB2312" w:cs="Times New Roman"/>
                <w:color w:val="auto"/>
                <w:sz w:val="24"/>
              </w:rPr>
              <w:fldChar w:fldCharType="separate"/>
            </w:r>
            <w:r>
              <w:rPr>
                <w:rFonts w:hint="eastAsia" w:ascii="仿宋_GB2312" w:hAnsi="仿宋" w:eastAsia="仿宋_GB2312" w:cs="Times New Roman"/>
                <w:color w:val="auto"/>
                <w:sz w:val="24"/>
              </w:rPr>
              <w:t>http://www.312000.net/</w:t>
            </w:r>
            <w:r>
              <w:rPr>
                <w:rFonts w:hint="eastAsia" w:ascii="仿宋_GB2312" w:hAnsi="仿宋" w:eastAsia="仿宋_GB2312" w:cs="Times New Roman"/>
                <w:color w:val="auto"/>
                <w:sz w:val="24"/>
              </w:rPr>
              <w:fldChar w:fldCharType="end"/>
            </w:r>
            <w:r>
              <w:rPr>
                <w:rFonts w:hint="eastAsia" w:ascii="仿宋_GB2312" w:hAnsi="仿宋" w:eastAsia="仿宋_GB2312" w:cs="Times New Roman"/>
                <w:color w:val="auto"/>
                <w:sz w:val="24"/>
              </w:rPr>
              <w:t>，绍</w:t>
            </w:r>
            <w:r>
              <w:rPr>
                <w:rFonts w:hint="eastAsia" w:ascii="仿宋" w:hAnsi="仿宋" w:eastAsia="仿宋" w:cs="仿宋"/>
                <w:sz w:val="24"/>
              </w:rPr>
              <w:t>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440" w:lineRule="exact"/>
              <w:rPr>
                <w:rFonts w:ascii="仿宋" w:eastAsia="仿宋" w:cs="仿宋_GB2312"/>
                <w:b/>
                <w:bCs/>
                <w:color w:val="auto"/>
                <w:sz w:val="24"/>
              </w:rPr>
            </w:pPr>
            <w:r>
              <w:rPr>
                <w:rFonts w:hint="eastAsia" w:ascii="仿宋" w:eastAsia="仿宋" w:cs="仿宋_GB2312"/>
                <w:b/>
                <w:bCs/>
                <w:color w:val="auto"/>
                <w:sz w:val="24"/>
              </w:rPr>
              <w:t>采购代理服务费：</w:t>
            </w:r>
          </w:p>
          <w:p>
            <w:pPr>
              <w:ind w:firstLine="480" w:firstLineChars="200"/>
              <w:rPr>
                <w:rFonts w:ascii="仿宋" w:eastAsia="仿宋" w:cs="仿宋_GB2312"/>
                <w:color w:val="auto"/>
                <w:sz w:val="24"/>
              </w:rPr>
            </w:pPr>
            <w:r>
              <w:rPr>
                <w:rFonts w:hint="eastAsia" w:ascii="仿宋" w:eastAsia="仿宋" w:cs="仿宋_GB2312"/>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highlight w:val="none"/>
              </w:rPr>
              <w:t>对放弃中标（成交）资格的供应商，</w:t>
            </w:r>
            <w:r>
              <w:rPr>
                <w:rFonts w:hint="eastAsia" w:ascii="仿宋" w:hAnsi="仿宋" w:eastAsia="仿宋" w:cs="仿宋"/>
                <w:b/>
                <w:color w:val="auto"/>
                <w:sz w:val="24"/>
                <w:highlight w:val="none"/>
                <w:lang w:val="en-US" w:eastAsia="zh-CN"/>
              </w:rPr>
              <w:t>需</w:t>
            </w:r>
            <w:r>
              <w:rPr>
                <w:rFonts w:hint="eastAsia" w:ascii="仿宋" w:hAnsi="仿宋" w:eastAsia="仿宋" w:cs="仿宋"/>
                <w:b/>
                <w:color w:val="auto"/>
                <w:sz w:val="24"/>
                <w:highlight w:val="none"/>
              </w:rPr>
              <w:t>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highlight w:val="none"/>
          <w:u w:val="none"/>
          <w:lang w:val="en-US" w:eastAsia="zh-CN"/>
        </w:rPr>
        <w:t>华诚工程咨询集团</w:t>
      </w:r>
      <w:r>
        <w:rPr>
          <w:rFonts w:hint="eastAsia" w:ascii="仿宋_GB2312" w:hAnsi="仿宋_GB2312" w:eastAsia="仿宋_GB2312" w:cs="仿宋_GB2312"/>
          <w:sz w:val="24"/>
          <w:highlight w:val="none"/>
          <w:u w:val="none"/>
        </w:rPr>
        <w:t>有限公司为</w:t>
      </w:r>
      <w:r>
        <w:rPr>
          <w:rFonts w:hint="eastAsia" w:ascii="仿宋_GB2312" w:hAnsi="仿宋_GB2312" w:eastAsia="仿宋_GB2312" w:cs="仿宋_GB2312"/>
          <w:sz w:val="24"/>
          <w:highlight w:val="none"/>
        </w:rPr>
        <w:t>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，绍兴市卫生健康委员会为采</w:t>
      </w:r>
      <w:r>
        <w:rPr>
          <w:rFonts w:hint="eastAsia" w:ascii="仿宋_GB2312" w:hAnsi="仿宋_GB2312" w:eastAsia="仿宋_GB2312" w:cs="仿宋_GB2312"/>
          <w:sz w:val="24"/>
        </w:rPr>
        <w:t>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3"/>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3"/>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hint="eastAsia" w:ascii="仿宋_GB2312" w:hAnsi="宋体" w:eastAsia="仿宋_GB2312"/>
          <w:sz w:val="24"/>
        </w:rPr>
      </w:pPr>
      <w:r>
        <w:rPr>
          <w:rFonts w:hint="eastAsia" w:ascii="仿宋_GB2312" w:hAnsi="宋体" w:eastAsia="仿宋_GB2312"/>
          <w:sz w:val="24"/>
        </w:rPr>
        <w:t>2.2.3法定代表人</w:t>
      </w:r>
      <w:r>
        <w:rPr>
          <w:rFonts w:hint="eastAsia" w:ascii="仿宋_GB2312" w:hAnsi="宋体" w:eastAsia="仿宋_GB2312"/>
          <w:sz w:val="24"/>
          <w:lang w:val="en-US" w:eastAsia="zh-CN"/>
        </w:rPr>
        <w:t>和</w:t>
      </w:r>
      <w:r>
        <w:rPr>
          <w:rFonts w:hint="eastAsia" w:ascii="仿宋_GB2312" w:hAnsi="宋体" w:eastAsia="仿宋_GB2312"/>
          <w:sz w:val="24"/>
        </w:rPr>
        <w:t>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4</w:t>
      </w:r>
      <w:r>
        <w:rPr>
          <w:rFonts w:hint="eastAsia" w:ascii="仿宋_GB2312" w:hAnsi="宋体" w:eastAsia="仿宋_GB2312"/>
          <w:sz w:val="24"/>
        </w:rPr>
        <w:t>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w:t>
      </w:r>
      <w:r>
        <w:rPr>
          <w:rFonts w:hint="eastAsia" w:ascii="仿宋_GB2312" w:hAnsi="宋体" w:eastAsia="仿宋_GB2312"/>
          <w:sz w:val="24"/>
          <w:lang w:val="en-US" w:eastAsia="zh-CN"/>
        </w:rPr>
        <w:t>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6</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
        <w:snapToGrid w:val="0"/>
        <w:spacing w:line="440" w:lineRule="exact"/>
        <w:rPr>
          <w:rFonts w:ascii="仿宋_GB2312" w:hAnsi="仿宋_GB2312" w:eastAsia="仿宋_GB2312" w:cs="仿宋_GB2312"/>
          <w:sz w:val="24"/>
          <w:lang w:val="zh-CN"/>
        </w:rPr>
      </w:pPr>
      <w:bookmarkStart w:id="3" w:name="_Hlt68072998"/>
      <w:bookmarkEnd w:id="3"/>
      <w:bookmarkStart w:id="4" w:name="_Hlt68073093"/>
      <w:bookmarkEnd w:id="4"/>
      <w:bookmarkStart w:id="5" w:name="_Hlt68403820"/>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953"/>
      <w:bookmarkStart w:id="7" w:name="_Toc84325929"/>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0157775"/>
      <w:bookmarkStart w:id="11" w:name="_Toc84325981"/>
      <w:bookmarkStart w:id="12" w:name="_Toc81372964"/>
      <w:bookmarkStart w:id="13" w:name="_Toc81372787"/>
      <w:r>
        <w:rPr>
          <w:rFonts w:hint="eastAsia" w:ascii="仿宋_GB2312" w:hAnsi="宋体" w:eastAsia="仿宋_GB2312"/>
          <w:b/>
          <w:sz w:val="24"/>
        </w:rPr>
        <w:t>7.招标项目设备名称及数量：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绍兴市人民医院生物安全在线监测系统采购项目（预算</w:t>
      </w:r>
      <w:r>
        <w:rPr>
          <w:rFonts w:hint="eastAsia" w:ascii="仿宋_GB2312" w:hAnsi="新宋体" w:eastAsia="仿宋_GB2312" w:cs="Arial"/>
          <w:b/>
          <w:bCs/>
          <w:sz w:val="24"/>
          <w:lang w:val="en-US" w:eastAsia="zh-CN"/>
        </w:rPr>
        <w:t>金额</w:t>
      </w:r>
      <w:r>
        <w:rPr>
          <w:rFonts w:hint="eastAsia" w:ascii="仿宋_GB2312" w:hAnsi="新宋体" w:eastAsia="仿宋_GB2312" w:cs="Arial"/>
          <w:b/>
          <w:bCs/>
          <w:sz w:val="24"/>
        </w:rPr>
        <w:t>：</w:t>
      </w:r>
      <w:r>
        <w:rPr>
          <w:rFonts w:hint="eastAsia" w:ascii="仿宋_GB2312" w:hAnsi="新宋体" w:eastAsia="仿宋_GB2312" w:cs="Arial"/>
          <w:b/>
          <w:bCs/>
          <w:sz w:val="24"/>
          <w:lang w:val="en-US" w:eastAsia="zh-CN"/>
        </w:rPr>
        <w:t>310546</w:t>
      </w:r>
      <w:r>
        <w:rPr>
          <w:rFonts w:hint="eastAsia" w:ascii="仿宋_GB2312" w:hAnsi="新宋体" w:eastAsia="仿宋_GB2312" w:cs="Arial"/>
          <w:b/>
          <w:bCs/>
          <w:sz w:val="24"/>
        </w:rPr>
        <w:t>元）</w:t>
      </w:r>
      <w:bookmarkStart w:id="14" w:name="_Toc32678"/>
      <w:bookmarkStart w:id="15" w:name="_Toc7206"/>
    </w:p>
    <w:bookmarkEnd w:id="9"/>
    <w:bookmarkEnd w:id="14"/>
    <w:bookmarkEnd w:id="15"/>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一</w:t>
      </w:r>
      <w:r>
        <w:rPr>
          <w:rFonts w:hint="eastAsia" w:ascii="仿宋" w:hAnsi="仿宋" w:eastAsia="仿宋" w:cs="仿宋"/>
          <w:kern w:val="0"/>
          <w:sz w:val="24"/>
        </w:rPr>
        <w:t>、采购内容一览表</w:t>
      </w:r>
    </w:p>
    <w:tbl>
      <w:tblPr>
        <w:tblStyle w:val="41"/>
        <w:tblW w:w="881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4"/>
        <w:gridCol w:w="3597"/>
        <w:gridCol w:w="2112"/>
        <w:gridCol w:w="21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994"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序号</w:t>
            </w:r>
          </w:p>
        </w:tc>
        <w:tc>
          <w:tcPr>
            <w:tcW w:w="3597"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采购内容</w:t>
            </w:r>
          </w:p>
        </w:tc>
        <w:tc>
          <w:tcPr>
            <w:tcW w:w="2112"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数量</w:t>
            </w:r>
          </w:p>
        </w:tc>
        <w:tc>
          <w:tcPr>
            <w:tcW w:w="2112" w:type="dxa"/>
            <w:vAlign w:val="center"/>
          </w:tcPr>
          <w:p>
            <w:pPr>
              <w:pStyle w:val="5"/>
              <w:spacing w:line="360" w:lineRule="auto"/>
              <w:ind w:firstLine="0" w:firstLineChars="0"/>
              <w:jc w:val="center"/>
              <w:rPr>
                <w:rFonts w:hint="eastAsia" w:ascii="仿宋" w:hAnsi="仿宋" w:eastAsia="仿宋" w:cs="仿宋"/>
                <w:b/>
                <w:bCs/>
                <w:kern w:val="0"/>
                <w:sz w:val="24"/>
                <w:lang w:eastAsia="zh-CN"/>
              </w:rPr>
            </w:pPr>
            <w:r>
              <w:rPr>
                <w:rFonts w:hint="eastAsia" w:ascii="仿宋" w:hAnsi="仿宋" w:eastAsia="仿宋" w:cs="仿宋"/>
                <w:b/>
                <w:bCs/>
                <w:kern w:val="0"/>
                <w:sz w:val="24"/>
                <w:lang w:eastAsia="zh-CN"/>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AI摄像头（含AI算法）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10台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widowControl/>
              <w:jc w:val="left"/>
              <w:rPr>
                <w:rFonts w:ascii="仿宋" w:hAnsi="仿宋" w:eastAsia="仿宋" w:cs="仿宋"/>
                <w:kern w:val="0"/>
                <w:sz w:val="24"/>
              </w:rPr>
            </w:pPr>
            <w:r>
              <w:rPr>
                <w:rFonts w:hint="eastAsia" w:ascii="仿宋" w:hAnsi="仿宋" w:eastAsia="仿宋" w:cs="仿宋"/>
                <w:color w:val="000000"/>
                <w:kern w:val="0"/>
                <w:sz w:val="24"/>
                <w:szCs w:val="24"/>
              </w:rPr>
              <w:t>32T生安眼终端（含AI算法）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核心产品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人脸识别门禁</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多合一环境监测</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24口交换机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汇聚交换机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光模块</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2对</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安全网关</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5"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移动运输箱</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4G/5G物联网卡</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2张</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hint="eastAsia" w:ascii="仿宋" w:hAnsi="仿宋" w:eastAsia="仿宋" w:cs="仿宋"/>
                <w:color w:val="000000"/>
                <w:sz w:val="24"/>
              </w:rPr>
            </w:pPr>
          </w:p>
        </w:tc>
        <w:tc>
          <w:tcPr>
            <w:tcW w:w="3597" w:type="dxa"/>
            <w:vAlign w:val="center"/>
          </w:tcPr>
          <w:p>
            <w:pPr>
              <w:spacing w:line="360" w:lineRule="auto"/>
              <w:jc w:val="left"/>
              <w:rPr>
                <w:rFonts w:hint="eastAsia" w:ascii="仿宋" w:hAnsi="仿宋" w:eastAsia="仿宋" w:cs="仿宋"/>
                <w:color w:val="000000"/>
                <w:sz w:val="24"/>
              </w:rPr>
            </w:pPr>
            <w:r>
              <w:rPr>
                <w:rFonts w:hint="eastAsia" w:ascii="仿宋" w:hAnsi="仿宋" w:eastAsia="仿宋" w:cs="仿宋"/>
                <w:color w:val="000000"/>
                <w:kern w:val="0"/>
                <w:sz w:val="24"/>
                <w:szCs w:val="24"/>
              </w:rPr>
              <w:t>安全专线、电路</w:t>
            </w:r>
          </w:p>
        </w:tc>
        <w:tc>
          <w:tcPr>
            <w:tcW w:w="2112" w:type="dxa"/>
            <w:vAlign w:val="center"/>
          </w:tcPr>
          <w:p>
            <w:pPr>
              <w:spacing w:line="360" w:lineRule="auto"/>
              <w:jc w:val="center"/>
              <w:rPr>
                <w:rFonts w:hint="eastAsia" w:ascii="仿宋" w:hAnsi="仿宋" w:eastAsia="仿宋" w:cs="仿宋"/>
                <w:color w:val="000000"/>
                <w:sz w:val="24"/>
              </w:rPr>
            </w:pPr>
            <w:r>
              <w:rPr>
                <w:rFonts w:hint="eastAsia" w:ascii="仿宋" w:hAnsi="仿宋" w:eastAsia="仿宋" w:cs="仿宋"/>
                <w:color w:val="000000"/>
                <w:kern w:val="0"/>
                <w:sz w:val="24"/>
                <w:szCs w:val="24"/>
              </w:rPr>
              <w:t>1条/两年</w:t>
            </w:r>
          </w:p>
        </w:tc>
        <w:tc>
          <w:tcPr>
            <w:tcW w:w="2112" w:type="dxa"/>
            <w:vAlign w:val="center"/>
          </w:tcPr>
          <w:p>
            <w:pPr>
              <w:spacing w:line="360" w:lineRule="auto"/>
              <w:jc w:val="center"/>
              <w:rPr>
                <w:rFonts w:hint="eastAsia" w:ascii="仿宋" w:hAnsi="仿宋" w:eastAsia="仿宋" w:cs="仿宋"/>
                <w:color w:val="000000"/>
                <w:kern w:val="0"/>
                <w:sz w:val="24"/>
                <w:szCs w:val="24"/>
              </w:rPr>
            </w:pPr>
          </w:p>
        </w:tc>
      </w:tr>
    </w:tbl>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二</w:t>
      </w:r>
      <w:r>
        <w:rPr>
          <w:rFonts w:hint="eastAsia" w:ascii="仿宋" w:hAnsi="仿宋" w:eastAsia="仿宋" w:cs="仿宋"/>
          <w:kern w:val="0"/>
          <w:sz w:val="24"/>
        </w:rPr>
        <w:t>、招标技术及其它要求</w:t>
      </w:r>
    </w:p>
    <w:tbl>
      <w:tblPr>
        <w:tblStyle w:val="41"/>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79"/>
        <w:gridCol w:w="6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871"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序号</w:t>
            </w:r>
          </w:p>
        </w:tc>
        <w:tc>
          <w:tcPr>
            <w:tcW w:w="1579"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名称</w:t>
            </w:r>
          </w:p>
        </w:tc>
        <w:tc>
          <w:tcPr>
            <w:tcW w:w="6164"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招标技术参数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579"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AI摄像头</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（含AI算法）</w:t>
            </w:r>
          </w:p>
        </w:tc>
        <w:tc>
          <w:tcPr>
            <w:tcW w:w="6164" w:type="dxa"/>
          </w:tcPr>
          <w:p>
            <w:pPr>
              <w:widowControl/>
              <w:numPr>
                <w:ilvl w:val="0"/>
                <w:numId w:val="1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感光面尺寸：1/2.7英寸及以上；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图像尺寸：5MP 2560(H)*1920(V)及以上；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镜头视角：W端 ≥水平95°； T端 ≤水平33°；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处理器：内置CPU、GPU、NPU一体化芯片；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镜头：500W变焦镜头，2.8mm-12mm；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补光：支持红外补光识别100米距离目标；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电源：支持DC12V、支持PoE(IEEE 802.3af)；</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内存：DDR4 至少1.0GB；</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智能编码：在同一静止场景相同图像质量情况下，H.265编码开启智能编码功能和不开启智能编码相比，码率节约85%（需提供第三方权威机构出具的检验检测报告）；</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(10) 最低照度：彩色:0.0002Lux(F1.6,AGC ON),黑白:0.0001Lux(F1.6,AGC ON),0Lux(红外开启)（需提供第三方权威机构出具的检验检测报告复印件）；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外部接口：SD接口支持最大容量 提供MicroSD卡插槽，支持MicroSDHC/MicroSDXC，支持最大容量256GB内存卡；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音频输入接口：支持(1路LINE IN或1路外置MIC)；</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音频输出接口：支持(1路LINE OUT)；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RS485接口：支持，1个半双工RS485接口；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开关量接口：支持，2路输入/1路输出；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以太网络接口：1个RJ45 10M/100M自适应以太网口；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通信协议：GB/T 28181(2011，2016协议规格),SDK(私有协议),Rest API(私有协议),GA/T 1400；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防护等级：IP67；</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多算法切换：支持4种及以上算法切换运行。（需提供第三方权威机构出具的检验检测报告复印件）；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场景自适应：支持自动识别背光、运动速度、雾（雨）天、正常等场景，并能在＜1s的时间内快速自适应调整相应的图像参数。（需提供第三方权威机构出具的检验检测报告复印件）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(21) 软件定义：使用开放架构，支持快速集成智能算法或应用APP，智能算法或APP可以独立升级；支持智能算法模块动态加载，加载过程中，视频业务不中断。（需提供第三方权威机构出具的检验检测报告复印件）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(22) 图像质量诊断：支持图像诊断雪花、偏色、画面冻结、增益失衡、摄像机抖动、条纹噪声设置选项。（需提供第三方权威机构出具的检验检测报告复印件）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(23) 行为分析：快速移动检测,越线检测,入侵检测,区域进入/离开检测,徘徊检测；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(24) 目标检测：目标检测,目标属性检测,目标识别；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(25) 设备防入侵检测：具有防入侵检测联动告警设置选项，具有网卡混杂模式检查、系统敏感文件检查、非法超级账户检测、僵尸网络检测、rootkit检测、程序白名单、挖矿恶意进程检测等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(26) 设备安全启动功能：设备支持安全启动设置选项，具有在启动过程中，OS+应用软件逐级校验uboot的设置选项。（需提供第三方权威机构出具的检验检测报告复印件）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(27) 医护穿戴检测：设备支持内嵌医护穿戴检测智能算法，监测医护人员的穿戴是否符合医护穿戴要求，未规范穿戴医护服、医护帽、口罩等防护装备时发出提示，可设置多个防区，支持至少16个防区的设置，支持多边形防区设置，多边形防区可设置至少32个边，算法不受光线、水雾、灰尘、阴影、摄像机抖动影响，检测率（召回率）97%+，平均每天每百路视频的误报次数不超过10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32T生安眼终端（含AI算法）</w:t>
            </w: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核心产品</w:t>
            </w:r>
          </w:p>
        </w:tc>
        <w:tc>
          <w:tcPr>
            <w:tcW w:w="6164" w:type="dxa"/>
          </w:tcPr>
          <w:p>
            <w:pPr>
              <w:widowControl/>
              <w:numPr>
                <w:ilvl w:val="0"/>
                <w:numId w:val="11"/>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尺寸：≤长500mm*宽430mm*高285mm；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工作温度：-10℃～55℃；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存储温度：-20℃～60℃；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湿度：10%～90%RH（无结冰、无凝露）；</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供电电压：AC220V±10%(50HZ±5%)；</w:t>
            </w:r>
          </w:p>
          <w:p>
            <w:pPr>
              <w:widowControl/>
              <w:numPr>
                <w:ilvl w:val="-1"/>
                <w:numId w:val="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(6) </w:t>
            </w:r>
            <w:r>
              <w:rPr>
                <w:rFonts w:hint="eastAsia" w:ascii="仿宋" w:hAnsi="仿宋" w:eastAsia="仿宋" w:cs="仿宋"/>
                <w:color w:val="000000"/>
                <w:kern w:val="0"/>
                <w:sz w:val="24"/>
                <w:szCs w:val="24"/>
                <w:lang w:val="en-US" w:eastAsia="zh-CN" w:bidi="ar-SA"/>
              </w:rPr>
              <w:t>屏幕：≥10英寸工业级屏幕，具备实时显示实验室人员进出统计功能，可对环境监测、设备设施、人员违规、风险管控进行实时预警展示，支持对实验室视频监管区域进行实时视频预览并支持不同监管区域的一键切换。（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设备重启时间：≤120S；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操作系统：Linux；</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 主板：专业工业主板；</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CPU：主频≥3.5GHz 睿频≥5.0 GHz；</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内存：≥64G；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储存：≥256G固态硬盘；≥1T企业级存储RAID1配置；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网络：2个千兆网卡，1个WAN口、3个LAN口；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)网络录像模块：≥32T企业级硬盘；支持≥8路网络录像机接入，支持H265编码；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视频分析AI模块：支持防护服、面罩、手套、护目镜、口罩算法，可对违规行为进行AI识别预警。 AI准确率：AI准确率90%以上，异常告警错误率5%以下 。检测任务：支持≥8路检测任务。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功耗：≤600W；</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可靠性：具备7*24小时工作可靠性，年故障时间小于0.5天；</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开箱监测：具备双人双锁，开箱监测功能模块；未经授权的开箱行为自动形成告警信息（需提供不少于5张的体现产品功能的实际应用图片复印件）。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 xml:space="preserve">)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系统自检：具备自动检测硬件状态、各接入设备状态和各监控组件情况的功能。（需提供不少于2张的体现产品功能的实际应用图片复印件）。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机箱状态监控：监管终端内置霍尔传感器、陀螺仪、温湿度传感器和控制单元，实时监测机箱闭合状态、机箱倾斜角度和温湿度等环境参数。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信息展示：监管系统首页显示最新的门禁解锁记录、最新AI告警信息和最近5条环境告警信息；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环境安全监控：具备显示实时环境信息和待处理的环境告警功能；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环境状态：展示实时环境参数，具有“正常”、“异常”和“离线”三种状态展示功能；可按照测点名称对环境信息进行模糊查询；支持查看不同时间段的数据曲线；支持异常数据记录导出至表格或打印；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 环境告警：环境数值超过测点规定数值时，产生环境告警记录。异常告警列表显示所有未处理的环境告警信息。可按照设备编码对环境告警记录进行模糊搜索。</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 门禁出入记录：显示实验室所有房间的门禁解锁记录，可按照发生时间、验证结果、进出方向、设备sn、人员姓名、人员编码和房间名称对记录列表进行模糊搜索。支持门禁记录导出至表格或打印。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门禁人员权限：可按照人员编号和人员姓名对人员列表进行模糊搜索，支持人员信息导出至表格或打印；支持对列表中的人员从其所在房间的所有门禁设备上进行删除。该功能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AI视频监控：实时监控显示所有检测任务的实时画面，支持切换实时画面的排列方式；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AI监控异常列表：显示所有不符合检测任务标准的异常情况，可按照发生时间、房间名称和报警行为对异常列表进行模糊搜索（需提供不少于3张的体现产品功能的实际应用图片复印件）。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29</w:t>
            </w:r>
            <w:r>
              <w:rPr>
                <w:rFonts w:hint="eastAsia" w:ascii="仿宋" w:hAnsi="仿宋" w:eastAsia="仿宋" w:cs="仿宋"/>
                <w:color w:val="000000"/>
                <w:kern w:val="0"/>
                <w:sz w:val="24"/>
                <w:szCs w:val="24"/>
              </w:rPr>
              <w:t>) 设备管理：具备对门禁设备、环境一体机设备、NVR设备和AI盒子设备的添加、修改、删除功能；可按照设备编号和设备名称对设备列表进行模糊搜索（需提供不少于3张的体现产品功能的实际应用图片复印件）。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系统管理：可对实验室内房间进行规划；可对房间内的测点进行添加、修改和删除操作；可查看生安眼系统平台端为终端分配的实验室信息。</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xml:space="preserve">) </w:t>
            </w:r>
            <w:r>
              <w:rPr>
                <w:rFonts w:hint="eastAsia" w:ascii="仿宋" w:hAnsi="仿宋" w:eastAsia="仿宋" w:cs="仿宋"/>
                <w:b w:val="0"/>
                <w:color w:val="000000"/>
                <w:kern w:val="0"/>
                <w:sz w:val="24"/>
                <w:szCs w:val="24"/>
              </w:rPr>
              <w:t>中标后签合同前</w:t>
            </w:r>
            <w:r>
              <w:rPr>
                <w:rFonts w:hint="eastAsia" w:ascii="仿宋" w:hAnsi="仿宋" w:eastAsia="仿宋" w:cs="仿宋"/>
                <w:color w:val="000000"/>
                <w:kern w:val="0"/>
                <w:sz w:val="24"/>
                <w:szCs w:val="24"/>
              </w:rPr>
              <w:t>需提供原厂授权书和售后服务承诺函。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人脸识别门禁</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可视对讲：支持可视对讲；支持配置一键呼叫室内机或管理机；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视频预览：支持管理中心远程视频预览，支持接入NVR设备，实现视频监控录像，编码格式H.264；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口罩检测：支持口罩检测模式，可配置提醒戴口罩模式、强制戴口罩模式，关联门禁控制；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认证结果显示：支持认证成功界面的“照片”、“姓名”、“工号”信息可配置是否显示；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认证结果语音：集成文字转语音（TTS）和语音合成技术，具备认证成功和认证失败的语音播报功能。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外接安全模块：支持通过RS485接入门控安全模块，防止主机被恶意破坏的情况下，门锁不被打开；</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读卡器模式：支持通过RS485或韦根（W26/W34）接入门禁控制器，作为读卡器模式使用；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WEB管理：支持Web端管理，可进行人员管理、参数配置、事件查询、系统维护等操作。</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操作系统：嵌入式Linux操作系统；</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屏幕参数：≥7英寸触摸显示屏，屏幕比例9:16，屏幕分辨率600*1024；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摄像头参数：≥200万双目摄像头；</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认证方式：支持人脸、刷卡（Mifare卡/IC卡、手机NFC卡、CPU卡序列号/内容、身份证卡序列号）、密码认证方式，可外接身份证、指纹、蓝牙、二维码功能模块；</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人脸识别：采用深度学习算法，支持单人或多人识别（最多5人同时认证）功能；支持照片、视频防假；1:N人脸识别速度≤0.2s，人脸验证准确率≥99%；</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存储容量：本地支持≥10000人脸库、≥50000张卡，≥15万条事件记录；</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硬件接口：LAN*1、RS485*1、Wiegand * 1、typeC类型USB接口*1、电锁*1、门磁*1、报警输入*2、报警输出*1、开门按钮*1、SD卡槽*1（最大支持512GB）、3.5mm音频输出接口*1；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使用环境：室内外环境；</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工作电压：DC12V~24V/2A；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尺寸：≤210*115*25mm；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密封性：IP65；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多合一环境监测</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监测功能：监测环境温度、湿度、噪音、气压；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温度监测：范围-40 ~ 60℃，精度±0.5℃；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湿度监测：范围 0 ~ 99%RH，精度±3%；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噪音监测：范围30~130db ，精度±0.5db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气压监测：范围 200~1200hPa，精度 ±0.1%；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信号输出：TCP/IP；</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电源输入： DC 12~24；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电流消耗：峰值≤600mA；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屏幕尺寸：≥2.8寸TFT彩屏；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尺寸：≤133*133*40mm；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密封性：IP21；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shd w:val="clear" w:color="auto" w:fill="auto"/>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24口交换机</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交换容量52Gbps，转发率38.7Mpps；24个10/100/1000Base-T电口，2个1000Base-X SFP端口；（支持POE+,POE输出≥370W，单端口≥30W）MAC16K，支持端口防雷6KV，支持4级拨码开关（标准交换、Vlan模式、流控模式、汇聚上联等功能）；双风扇设计；100V-240V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汇聚交换机</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交换容量：128Gbps，包转发率：78Mpps，24*10/100/1000Base-T以太网端口+4*1000 Base-X SFP光口；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光模块</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千兆单模光模块。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shd w:val="clear" w:color="auto" w:fill="auto"/>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8</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安全网关</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(1) 系统架构：1、桌面型产品，采用高性能多核硬件平台和自主安全操作系统；2、≥5个千兆电口，≥1个千兆COMBO口。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(2) 基础性能：1、最大吞吐量≥200M；2、最大并发会话数≥20万；3、每秒新建会话数≥5000。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工作模式：支持透明、路由、旁路等工作模式。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NAT：支持IPv4/IPv6源NAT、目的NAT、静态NAT；支持跨协议NAT转换：NAT64、NAT46，具备IVI、嵌入地址、地址池三种转换形式。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路由：支持基于目的地址、下一跳、出接口的静态路由协议；支持RIP、OSPF等动态路由协议；支持基于入接口、源/目的地址、用户、服务、应用、时间等多元组策略路由。</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(6)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一体化策略：支持基于IPv4/IPv6的一体化安全策略：在一条策略中可基于设备接口/安全域、源/目的IP地址、服务、应用、用户、时间等属性，配置入侵防护、病毒防护、Web访问策略、应用控制等安全防护功能；（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流量镜像：支持基于接口、源/目的地址、服务、用户、应用、时间等维度的流量镜像策略，并提供剥离VLAN、修改目的MAC等网络能力，便于第三方设备进行数据分析或转发。</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用户策略：支持基于IPv4/IPv6的用户识别、认证和绑定，提供跨3层IP和MAC地址的绑定功能，可手动导入或导出；支持用户资源访问控制策略，通过认证用户与业务资源绑定，设置访问时间段，精细化管控认证用户的资源访问权限。</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入侵防御：内置IPS检测引擎，支持命令执行、目录遍历、缓冲溢出、安全绕过、信息泄露等10余种特征类别，特征库数量不少于11000条，兼容CVE/CNCVE，特征库可直接查阅事件名称、CVE ID、受影响的系统、事件详情、处理建议、补丁下载等详细信息，支持事件集自动和手动两种更新方式；（需提供产品功能截图复印件）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(10) 病毒防护：支持HTTP，FTP，POP3，SMTP，IMAP协议的病毒查杀，支持查杀邮件附件、网页下载文件中包含的病毒；支持实时病毒连接阻断，病毒事件日志记录；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风险扫描：支持扫描IP网段常用端口或自定义端口，并将扫描结果同步至资产列表；支持IPv4/6网络下telnet、ssh、ftp、imap、pop3、smtp、mysql、postgresql、mssql、rlogim、vnc等常见协议的弱密码检测功能，支持快速扫描、全面扫描、自定义扫描、空密码、用户名和密码相同等检测方式，弱口令字典可自定义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应用识别：具备对应用程序的识别和控制能力，产品内置不少于5000种应用特征，基于覆盖平台、流行度、风险等维度内置不少于20种应用分类，如即时通讯、社交网络、电子邮件、在线视频、文件共享、P2P下载、电子商务、炒股软件、网络游戏、搜索引擎、数据库、代理翻墙等，支持在线更新或手动更新；支持自定义应用，可基于协议、端口、IP、域名等维度定义应用。（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流量控制：支持流量基于用户、ip地址、时间、服务以及应用等维度的线路带宽限制与保障策略；支持用户限额策略，可基于流量和时长两种限额类型、日限额和月限额两种统计维度；超过限额阈值，支持终端网页提醒，支持添加到惩罚流控通道或禁止上网的惩罚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(14) 资产管理：支持对IPv4/IPv6资产进行手动添加、扫描发现和流量自学习，支持资产信息列表的导入导出；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(15)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安全分析：支持入侵攻击源、目的地图实时展示，支持病毒与入侵事件攻击源、攻击目的、攻击事件TOP 10统计；支持基于威胁情报分析安全状态，提供源IP、目的IP、情报指标和情报类型的TOP10统计，并可基于统计周期、威胁类型、情报指标、情报来源、风险等级、情报类别等维度进行情报检索；（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产品资质：1、具有公安部颁发的《计算机信息系统安全专用产品销售许可证》；2、具有中华人民共和国国家版权局颁发的《计算机软件著作权登记证书》。（需提供产品证书复印件）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移动运输箱</w:t>
            </w:r>
          </w:p>
        </w:tc>
        <w:tc>
          <w:tcPr>
            <w:tcW w:w="6164" w:type="dxa"/>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 箱体尺寸：≥长420mm*宽320mm*高270mm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样本存储空间：≥长280mm*宽180mm*高210mm</w:t>
            </w:r>
            <w:r>
              <w:rPr>
                <w:rFonts w:hint="eastAsia" w:ascii="仿宋" w:hAnsi="仿宋" w:eastAsia="仿宋" w:cs="仿宋"/>
                <w:color w:val="000000"/>
                <w:kern w:val="0"/>
                <w:sz w:val="24"/>
                <w:szCs w:val="24"/>
              </w:rPr>
              <w:br w:type="textWrapping"/>
            </w:r>
            <w:r>
              <w:rPr>
                <w:rFonts w:hint="eastAsia" w:ascii="仿宋" w:hAnsi="仿宋" w:eastAsia="仿宋" w:cs="仿宋"/>
                <w:spacing w:val="-2"/>
                <w:kern w:val="0"/>
                <w:sz w:val="24"/>
              </w:rPr>
              <w:t>★</w:t>
            </w:r>
            <w:r>
              <w:rPr>
                <w:rFonts w:hint="eastAsia" w:ascii="仿宋" w:hAnsi="仿宋" w:eastAsia="仿宋" w:cs="仿宋"/>
                <w:color w:val="000000"/>
                <w:kern w:val="0"/>
                <w:sz w:val="24"/>
                <w:szCs w:val="24"/>
              </w:rPr>
              <w:t>(3) 外包装材质：高强度航空铝</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绝热保温层材质：高密度聚苯乙烯泡沫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通信能力：支持4G、5G通信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室外定位：北斗，GPS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室内定位：基站</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传感器：温度传感器、加速度传感器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温度采集：测温范围为-40℃~105℃，精度为±0.5℃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加速度传感：测量范围为±2g至±8g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定位精度：&lt;10米</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耐跌落：跌落试验符合IATA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 码垛性能：码垛试验符合IATA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 密封性：密封试验符合IATA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(15) 耐穿孔性：穿孔试验符合IATA 危险品规格62版、危险物品安全航空运输技术细则 ICAO Doc 9284-AN/905 2021-2022要求，该项性能指标需提供经过CMA或CNAS相同等级认证的第三方检测机构出具的检测报告复印件(16) 开箱监测：具有实时开箱监测功能，可远程获得箱子开关状态。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移动监测：具有移动监测功能，箱子由静止状态变更为移动状态可上报状态变更数据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温度监测：具有实时温度监测功能，可远程获知箱内温度</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功耗调节：静息状态下可自动进入休眠模式，恢复移动时继续上报箱子轨迹数据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电池安全性：符合可充电型锂电池操作规范UN38.3要求，该项性能指标需提供第三方检测机构出具的检测报告复印件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11</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4G/5G物联网卡</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含一张4G/5G物联网卡、1G流量/月（含两年流量费）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安全专线、电路</w:t>
            </w:r>
          </w:p>
        </w:tc>
        <w:tc>
          <w:tcPr>
            <w:tcW w:w="6164" w:type="dxa"/>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xml:space="preserve">100Mb （含两年租赁费） </w:t>
            </w:r>
          </w:p>
          <w:p>
            <w:pPr>
              <w:widowControl/>
              <w:jc w:val="left"/>
              <w:rPr>
                <w:rFonts w:ascii="仿宋" w:hAnsi="仿宋" w:eastAsia="仿宋" w:cs="仿宋"/>
                <w:color w:val="000000"/>
                <w:kern w:val="0"/>
                <w:sz w:val="24"/>
                <w:szCs w:val="24"/>
              </w:rPr>
            </w:pPr>
            <w:r>
              <w:rPr>
                <w:rFonts w:hint="eastAsia" w:ascii="仿宋" w:hAnsi="仿宋" w:eastAsia="仿宋" w:cs="仿宋"/>
                <w:kern w:val="0"/>
                <w:sz w:val="24"/>
              </w:rPr>
              <w:t>为保证业务网络的连通和安全性，涉及对外互联网业务的线路网络安全，应具备全网实现攻击监测、攻击防护和分析溯源能力</w:t>
            </w:r>
          </w:p>
        </w:tc>
      </w:tr>
    </w:tbl>
    <w:p>
      <w:pPr>
        <w:spacing w:line="440" w:lineRule="exact"/>
        <w:rPr>
          <w:rFonts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相关要求：</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必须保证所有设备为原装正规渠道行货,有原厂服务、如有需要则提供正规渠道等证明，所有产品均原包装到用户，当场开箱验货.同时提供该设备相关技术参数的说明.如不符招标书技术要求,采购人有权退货并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为保证项目顺利实施和后续维护服务，项目须由中标人实施不允许转包，中标人中标后确定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3、中标人在签订合同时必须提供标书要求的所有硬件的原厂质保函(复印件无效，服务承诺书要求有明确服务年限)。本项目涉及招标人内部业务系统及原有设备调整所产生的所有费用均包含在投标报价中。</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4、项目实施进度要求: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4.1</w:t>
      </w:r>
      <w:r>
        <w:rPr>
          <w:rFonts w:hint="eastAsia" w:ascii="仿宋" w:hAnsi="仿宋" w:eastAsia="仿宋" w:cs="仿宋"/>
          <w:kern w:val="0"/>
          <w:sz w:val="24"/>
          <w:szCs w:val="24"/>
        </w:rPr>
        <w:t>中标人应务必在投标文件中标明工期及实施方案，签订合同后25个工作日内，中标方需将中标物品免费运送至采购方指定场所。</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4.2</w:t>
      </w:r>
      <w:r>
        <w:rPr>
          <w:rFonts w:hint="eastAsia" w:ascii="仿宋" w:hAnsi="仿宋" w:eastAsia="仿宋" w:cs="仿宋"/>
          <w:kern w:val="0"/>
          <w:sz w:val="24"/>
          <w:szCs w:val="24"/>
        </w:rPr>
        <w:t>本项目实施完成时间：自合同签订之日后1个月内完成。</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5、项目培训要求: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系统操作培训：主要面向使用人员（临床、医技、技术等），提供操作培训及文档；</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6、项目售后服务要求: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6.1</w:t>
      </w:r>
      <w:r>
        <w:rPr>
          <w:rFonts w:hint="eastAsia" w:ascii="仿宋" w:hAnsi="仿宋" w:eastAsia="仿宋" w:cs="仿宋"/>
          <w:kern w:val="0"/>
          <w:sz w:val="24"/>
          <w:szCs w:val="24"/>
        </w:rPr>
        <w:t>投标人必须根据本次招标文件所制定的目标和范围，提出相应的售后服务方案。</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6.2</w:t>
      </w:r>
      <w:r>
        <w:rPr>
          <w:rFonts w:hint="eastAsia" w:ascii="仿宋" w:hAnsi="仿宋" w:eastAsia="仿宋" w:cs="仿宋"/>
          <w:kern w:val="0"/>
          <w:sz w:val="24"/>
          <w:szCs w:val="24"/>
        </w:rPr>
        <w:t>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6.3</w:t>
      </w:r>
      <w:r>
        <w:rPr>
          <w:rFonts w:hint="eastAsia" w:ascii="仿宋" w:hAnsi="仿宋" w:eastAsia="仿宋" w:cs="仿宋"/>
          <w:kern w:val="0"/>
          <w:sz w:val="24"/>
          <w:szCs w:val="24"/>
        </w:rPr>
        <w:t>要求针对本项目成立实施项目组，明确项目经理及其他具体人员组成和分工。项目经理负责定期每月向甲方提交工作计划月报以及每周提交工作周报总结，监管项目按进度和计划有效开展。</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6.4</w:t>
      </w:r>
      <w:r>
        <w:rPr>
          <w:rFonts w:hint="eastAsia" w:ascii="仿宋" w:hAnsi="仿宋" w:eastAsia="仿宋" w:cs="仿宋"/>
          <w:kern w:val="0"/>
          <w:sz w:val="24"/>
          <w:szCs w:val="24"/>
        </w:rPr>
        <w:t>在本合同项目实施及维保期间内，中标方对合同范围内的产品免费提供更新、升级服务。</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6.5</w:t>
      </w:r>
      <w:r>
        <w:rPr>
          <w:rFonts w:hint="eastAsia" w:ascii="仿宋" w:hAnsi="仿宋" w:eastAsia="仿宋" w:cs="仿宋"/>
          <w:kern w:val="0"/>
          <w:sz w:val="24"/>
          <w:szCs w:val="24"/>
        </w:rPr>
        <w:t>免费质保期：自项目验收之日起，免费原厂质保服务至少为期</w:t>
      </w:r>
      <w:r>
        <w:rPr>
          <w:rFonts w:ascii="仿宋" w:hAnsi="仿宋" w:eastAsia="仿宋" w:cs="仿宋"/>
          <w:kern w:val="0"/>
          <w:sz w:val="24"/>
          <w:szCs w:val="24"/>
        </w:rPr>
        <w:t>2</w:t>
      </w:r>
      <w:r>
        <w:rPr>
          <w:rFonts w:hint="eastAsia" w:ascii="仿宋" w:hAnsi="仿宋" w:eastAsia="仿宋" w:cs="仿宋"/>
          <w:kern w:val="0"/>
          <w:sz w:val="24"/>
          <w:szCs w:val="24"/>
        </w:rPr>
        <w:t>年；（具体质保年限根据中标人响应的投标文件为准）。</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7、项目验收要求: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项目的工作内容及成果文档的提交应覆盖以下内容，电子文档是成果不可分割的部分。</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(1)、系统实施确认书；</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(2)、设备培训资料；</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(3)、设备安装维护手册；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(4)、使用操作手册；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(5)、项目验收报告。</w:t>
      </w:r>
    </w:p>
    <w:p>
      <w:pPr>
        <w:pStyle w:val="5"/>
        <w:spacing w:line="360" w:lineRule="auto"/>
        <w:ind w:firstLine="240" w:firstLineChars="100"/>
        <w:rPr>
          <w:rFonts w:ascii="仿宋" w:hAnsi="仿宋" w:eastAsia="仿宋" w:cs="仿宋"/>
          <w:kern w:val="0"/>
          <w:sz w:val="24"/>
          <w:szCs w:val="24"/>
        </w:rPr>
      </w:pPr>
      <w:r>
        <w:rPr>
          <w:rFonts w:hint="eastAsia" w:ascii="仿宋" w:hAnsi="仿宋" w:eastAsia="仿宋" w:cs="仿宋"/>
          <w:kern w:val="0"/>
          <w:sz w:val="24"/>
          <w:szCs w:val="24"/>
        </w:rPr>
        <w:t>8、付款方式：</w:t>
      </w:r>
    </w:p>
    <w:p>
      <w:pPr>
        <w:pStyle w:val="5"/>
        <w:spacing w:line="360" w:lineRule="auto"/>
        <w:ind w:firstLineChars="0"/>
        <w:rPr>
          <w:rFonts w:ascii="仿宋" w:hAnsi="仿宋" w:eastAsia="仿宋" w:cs="仿宋"/>
          <w:kern w:val="0"/>
          <w:sz w:val="24"/>
          <w:szCs w:val="24"/>
          <w:lang w:val="zh-CN"/>
        </w:rPr>
      </w:pPr>
      <w:r>
        <w:rPr>
          <w:rFonts w:hint="eastAsia" w:ascii="仿宋" w:hAnsi="仿宋" w:eastAsia="仿宋" w:cs="仿宋"/>
          <w:kern w:val="0"/>
          <w:sz w:val="24"/>
          <w:szCs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
        <w:pageBreakBefore/>
        <w:spacing w:line="800" w:lineRule="exact"/>
        <w:ind w:firstLine="726"/>
        <w:jc w:val="center"/>
        <w:rPr>
          <w:rFonts w:hint="eastAsia" w:ascii="仿宋_GB2312" w:hAnsi="宋体" w:eastAsia="仿宋_GB2312" w:cs="Times New Roman"/>
          <w:b/>
          <w:kern w:val="2"/>
          <w:sz w:val="36"/>
          <w:szCs w:val="36"/>
          <w:lang w:val="en-US" w:eastAsia="zh-CN" w:bidi="ar-SA"/>
        </w:rPr>
      </w:pPr>
      <w:r>
        <w:rPr>
          <w:rFonts w:hint="eastAsia" w:ascii="仿宋_GB2312" w:hAnsi="宋体" w:eastAsia="仿宋_GB2312" w:cs="Times New Roman"/>
          <w:b/>
          <w:kern w:val="2"/>
          <w:sz w:val="36"/>
          <w:szCs w:val="36"/>
          <w:lang w:val="en-US" w:eastAsia="zh-CN" w:bidi="ar-SA"/>
        </w:rPr>
        <w:t>第四部分  政府采购合同参考范本</w:t>
      </w:r>
    </w:p>
    <w:p>
      <w:pPr>
        <w:rPr>
          <w:rFonts w:hint="eastAsia" w:ascii="仿宋" w:hAnsi="仿宋" w:eastAsia="仿宋" w:cs="仿宋"/>
          <w:sz w:val="24"/>
          <w:szCs w:val="24"/>
        </w:rPr>
      </w:pPr>
    </w:p>
    <w:p>
      <w:pPr>
        <w:rPr>
          <w:rFonts w:hint="eastAsia" w:ascii="仿宋" w:hAnsi="仿宋" w:eastAsia="仿宋" w:cs="仿宋"/>
          <w:sz w:val="24"/>
          <w:szCs w:val="24"/>
          <w:u w:val="single"/>
        </w:rPr>
      </w:pPr>
      <w:r>
        <w:rPr>
          <w:rFonts w:hint="eastAsia" w:ascii="仿宋" w:hAnsi="仿宋" w:eastAsia="仿宋" w:cs="仿宋"/>
          <w:sz w:val="24"/>
          <w:szCs w:val="24"/>
        </w:rPr>
        <w:t>合同编号：</w:t>
      </w:r>
      <w:r>
        <w:rPr>
          <w:rFonts w:hint="eastAsia" w:ascii="仿宋" w:hAnsi="仿宋" w:eastAsia="仿宋" w:cs="仿宋"/>
          <w:sz w:val="24"/>
          <w:szCs w:val="24"/>
          <w:u w:val="single"/>
        </w:rPr>
        <w:t xml:space="preserve">           </w:t>
      </w: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政府采购合同参考范本</w:t>
      </w: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（货物类）</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pStyle w:val="281"/>
        <w:jc w:val="center"/>
        <w:rPr>
          <w:rFonts w:hint="eastAsia" w:ascii="仿宋" w:hAnsi="仿宋" w:eastAsia="仿宋" w:cs="仿宋"/>
          <w:sz w:val="24"/>
          <w:szCs w:val="24"/>
        </w:rPr>
      </w:pPr>
    </w:p>
    <w:p>
      <w:pPr>
        <w:pStyle w:val="281"/>
        <w:ind w:firstLine="2843" w:firstLineChars="1180"/>
        <w:rPr>
          <w:rFonts w:hint="eastAsia" w:ascii="仿宋" w:hAnsi="仿宋" w:eastAsia="仿宋" w:cs="仿宋"/>
          <w:b/>
          <w:sz w:val="24"/>
          <w:szCs w:val="24"/>
        </w:rPr>
      </w:pPr>
      <w:r>
        <w:rPr>
          <w:rFonts w:hint="eastAsia" w:ascii="仿宋" w:hAnsi="仿宋" w:eastAsia="仿宋" w:cs="仿宋"/>
          <w:b/>
          <w:sz w:val="24"/>
          <w:szCs w:val="24"/>
        </w:rPr>
        <w:t>第一部分   合同书</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pPr>
        <w:pStyle w:val="280"/>
        <w:spacing w:before="120" w:line="22" w:lineRule="atLeast"/>
        <w:rPr>
          <w:rFonts w:hint="eastAsia" w:ascii="仿宋" w:hAnsi="仿宋" w:eastAsia="仿宋" w:cs="仿宋"/>
          <w:sz w:val="24"/>
          <w:szCs w:val="24"/>
        </w:rPr>
      </w:pPr>
    </w:p>
    <w:p>
      <w:pPr>
        <w:pStyle w:val="280"/>
        <w:spacing w:before="120" w:line="22" w:lineRule="atLeast"/>
        <w:rPr>
          <w:rFonts w:hint="eastAsia" w:ascii="仿宋" w:hAnsi="仿宋" w:eastAsia="仿宋" w:cs="仿宋"/>
          <w:sz w:val="24"/>
          <w:szCs w:val="24"/>
        </w:rPr>
      </w:pPr>
    </w:p>
    <w:p>
      <w:pPr>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签订地：</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widowControl/>
        <w:jc w:val="left"/>
        <w:rPr>
          <w:rFonts w:hint="eastAsia" w:ascii="仿宋" w:hAnsi="仿宋" w:eastAsia="仿宋" w:cs="仿宋"/>
          <w:kern w:val="0"/>
          <w:sz w:val="24"/>
          <w:szCs w:val="24"/>
        </w:rPr>
        <w:sectPr>
          <w:headerReference r:id="rId4" w:type="first"/>
          <w:headerReference r:id="rId3" w:type="default"/>
          <w:footerReference r:id="rId5"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hint="eastAsia" w:ascii="仿宋" w:hAnsi="仿宋" w:eastAsia="仿宋" w:cs="仿宋"/>
          <w:sz w:val="24"/>
          <w:szCs w:val="24"/>
          <w:u w:val="single"/>
        </w:rPr>
        <w:t xml:space="preserve">   （采购人）   </w:t>
      </w:r>
      <w:r>
        <w:rPr>
          <w:rFonts w:hint="eastAsia" w:ascii="仿宋" w:hAnsi="仿宋" w:eastAsia="仿宋" w:cs="仿宋"/>
          <w:sz w:val="24"/>
          <w:szCs w:val="24"/>
        </w:rPr>
        <w:t>以</w:t>
      </w:r>
      <w:r>
        <w:rPr>
          <w:rFonts w:hint="eastAsia" w:ascii="仿宋" w:hAnsi="仿宋" w:eastAsia="仿宋" w:cs="仿宋"/>
          <w:sz w:val="24"/>
          <w:szCs w:val="24"/>
          <w:u w:val="single"/>
        </w:rPr>
        <w:t xml:space="preserve">   （政府采购方式）  </w:t>
      </w:r>
      <w:r>
        <w:rPr>
          <w:rFonts w:hint="eastAsia" w:ascii="仿宋" w:hAnsi="仿宋" w:eastAsia="仿宋" w:cs="仿宋"/>
          <w:sz w:val="24"/>
          <w:szCs w:val="24"/>
        </w:rPr>
        <w:t>对</w:t>
      </w:r>
      <w:r>
        <w:rPr>
          <w:rFonts w:hint="eastAsia" w:ascii="仿宋" w:hAnsi="仿宋" w:eastAsia="仿宋" w:cs="仿宋"/>
          <w:sz w:val="24"/>
          <w:szCs w:val="24"/>
          <w:u w:val="single"/>
        </w:rPr>
        <w:t xml:space="preserve">   （同前页项目名称）   </w:t>
      </w:r>
      <w:r>
        <w:rPr>
          <w:rFonts w:hint="eastAsia" w:ascii="仿宋" w:hAnsi="仿宋" w:eastAsia="仿宋" w:cs="仿宋"/>
          <w:sz w:val="24"/>
          <w:szCs w:val="24"/>
        </w:rPr>
        <w:t>项目进行了采购。经</w:t>
      </w:r>
      <w:r>
        <w:rPr>
          <w:rFonts w:hint="eastAsia" w:ascii="仿宋" w:hAnsi="仿宋" w:eastAsia="仿宋" w:cs="仿宋"/>
          <w:sz w:val="24"/>
          <w:szCs w:val="24"/>
          <w:u w:val="single"/>
        </w:rPr>
        <w:t xml:space="preserve">   （相关评定主体名称）   </w:t>
      </w:r>
      <w:r>
        <w:rPr>
          <w:rFonts w:hint="eastAsia" w:ascii="仿宋" w:hAnsi="仿宋" w:eastAsia="仿宋" w:cs="仿宋"/>
          <w:sz w:val="24"/>
          <w:szCs w:val="24"/>
        </w:rPr>
        <w:t>评定，</w:t>
      </w:r>
      <w:r>
        <w:rPr>
          <w:rFonts w:hint="eastAsia" w:ascii="仿宋" w:hAnsi="仿宋" w:eastAsia="仿宋" w:cs="仿宋"/>
          <w:sz w:val="24"/>
          <w:szCs w:val="24"/>
          <w:u w:val="single"/>
        </w:rPr>
        <w:t xml:space="preserve">   （中标供应商名称）</w:t>
      </w:r>
      <w:r>
        <w:rPr>
          <w:rFonts w:hint="eastAsia" w:ascii="仿宋" w:hAnsi="仿宋" w:eastAsia="仿宋" w:cs="仿宋"/>
          <w:sz w:val="24"/>
          <w:szCs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szCs w:val="24"/>
          <w:u w:val="single"/>
        </w:rPr>
        <w:t xml:space="preserve">   （采购人）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spacing w:line="560" w:lineRule="exact"/>
        <w:ind w:firstLine="482" w:firstLineChars="200"/>
        <w:outlineLvl w:val="0"/>
        <w:rPr>
          <w:rFonts w:hint="eastAsia" w:ascii="仿宋" w:hAnsi="仿宋" w:eastAsia="仿宋" w:cs="仿宋"/>
          <w:b/>
          <w:sz w:val="24"/>
          <w:szCs w:val="24"/>
        </w:rPr>
      </w:pPr>
      <w:bookmarkStart w:id="16" w:name="_Toc2232"/>
      <w:bookmarkStart w:id="17" w:name="_Toc24059"/>
      <w:bookmarkStart w:id="18" w:name="_Toc3029"/>
      <w:r>
        <w:rPr>
          <w:rFonts w:hint="eastAsia" w:ascii="仿宋" w:hAnsi="仿宋" w:eastAsia="仿宋" w:cs="仿宋"/>
          <w:b/>
          <w:sz w:val="24"/>
          <w:szCs w:val="24"/>
        </w:rPr>
        <w:t>1.1 合同组成部分</w:t>
      </w:r>
      <w:bookmarkEnd w:id="16"/>
      <w:bookmarkEnd w:id="17"/>
      <w:bookmarkEnd w:id="1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1.1.2 中标通知书；</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1.1.3 投标文件（含澄清或者说明文件）；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1.1.4 招标文件（含澄清或者修改文件）；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1.1.5 其他相关采购文件。</w:t>
      </w:r>
    </w:p>
    <w:p>
      <w:pPr>
        <w:spacing w:line="560" w:lineRule="exact"/>
        <w:ind w:firstLine="482" w:firstLineChars="200"/>
        <w:outlineLvl w:val="0"/>
        <w:rPr>
          <w:rFonts w:hint="eastAsia" w:ascii="仿宋" w:hAnsi="仿宋" w:eastAsia="仿宋" w:cs="仿宋"/>
          <w:b/>
          <w:sz w:val="24"/>
          <w:szCs w:val="24"/>
        </w:rPr>
      </w:pPr>
      <w:bookmarkStart w:id="19" w:name="_Toc27126"/>
      <w:bookmarkStart w:id="20" w:name="_Toc24300"/>
      <w:bookmarkStart w:id="21" w:name="_Toc21295"/>
      <w:r>
        <w:rPr>
          <w:rFonts w:hint="eastAsia" w:ascii="仿宋" w:hAnsi="仿宋" w:eastAsia="仿宋" w:cs="仿宋"/>
          <w:b/>
          <w:sz w:val="24"/>
          <w:szCs w:val="24"/>
        </w:rPr>
        <w:t>1.2 货物</w:t>
      </w:r>
      <w:bookmarkEnd w:id="19"/>
      <w:bookmarkEnd w:id="20"/>
      <w:bookmarkEnd w:id="21"/>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1.2.1 货物名称：</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1.2.2 货物数量：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 货物质量：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22" w:name="_Toc23292"/>
      <w:bookmarkStart w:id="23" w:name="_Toc21551"/>
      <w:bookmarkStart w:id="24" w:name="_Toc21631"/>
      <w:r>
        <w:rPr>
          <w:rFonts w:hint="eastAsia" w:ascii="仿宋" w:hAnsi="仿宋" w:eastAsia="仿宋" w:cs="仿宋"/>
          <w:b/>
          <w:sz w:val="24"/>
          <w:szCs w:val="24"/>
        </w:rPr>
        <w:t>1.3 价款</w:t>
      </w:r>
      <w:bookmarkEnd w:id="22"/>
      <w:bookmarkEnd w:id="23"/>
      <w:bookmarkEnd w:id="2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本合同总价为：￥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bl>
    <w:p>
      <w:pPr>
        <w:spacing w:line="440" w:lineRule="exact"/>
        <w:ind w:firstLine="482" w:firstLineChars="200"/>
        <w:outlineLvl w:val="0"/>
        <w:rPr>
          <w:rFonts w:hint="eastAsia" w:ascii="仿宋" w:hAnsi="仿宋" w:eastAsia="仿宋" w:cs="仿宋"/>
          <w:b/>
          <w:sz w:val="24"/>
          <w:szCs w:val="24"/>
        </w:rPr>
      </w:pPr>
      <w:bookmarkStart w:id="25" w:name="_Toc1814"/>
      <w:bookmarkStart w:id="26" w:name="_Toc22618"/>
      <w:bookmarkStart w:id="27" w:name="_Toc10340"/>
      <w:r>
        <w:rPr>
          <w:rFonts w:hint="eastAsia" w:ascii="仿宋" w:hAnsi="仿宋" w:eastAsia="仿宋" w:cs="仿宋"/>
          <w:b/>
          <w:sz w:val="24"/>
          <w:szCs w:val="24"/>
        </w:rPr>
        <w:t>1.4 付款</w:t>
      </w:r>
      <w:bookmarkEnd w:id="25"/>
      <w:bookmarkEnd w:id="26"/>
      <w:bookmarkEnd w:id="27"/>
      <w:r>
        <w:rPr>
          <w:rFonts w:hint="eastAsia" w:ascii="仿宋" w:hAnsi="仿宋" w:eastAsia="仿宋" w:cs="仿宋"/>
          <w:b/>
          <w:sz w:val="24"/>
          <w:szCs w:val="24"/>
        </w:rPr>
        <w:t>方式、时间和条件</w:t>
      </w:r>
    </w:p>
    <w:p>
      <w:pPr>
        <w:pStyle w:val="282"/>
        <w:spacing w:before="0" w:beforeAutospacing="0" w:after="0" w:afterAutospacing="0" w:line="440" w:lineRule="exact"/>
        <w:ind w:firstLine="480"/>
        <w:rPr>
          <w:rFonts w:hint="eastAsia" w:ascii="仿宋" w:hAnsi="仿宋" w:eastAsia="仿宋" w:cs="仿宋"/>
          <w:sz w:val="24"/>
          <w:szCs w:val="24"/>
        </w:rPr>
      </w:pPr>
      <w:r>
        <w:rPr>
          <w:rFonts w:hint="eastAsia" w:ascii="仿宋" w:hAnsi="仿宋" w:eastAsia="仿宋" w:cs="仿宋"/>
          <w:sz w:val="24"/>
          <w:szCs w:val="24"/>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1.4.4资金支付的方式、时间和条件详见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2" w:firstLineChars="200"/>
        <w:outlineLvl w:val="0"/>
        <w:rPr>
          <w:rFonts w:hint="eastAsia" w:ascii="仿宋" w:hAnsi="仿宋" w:eastAsia="仿宋" w:cs="仿宋"/>
          <w:b/>
          <w:sz w:val="24"/>
          <w:szCs w:val="24"/>
        </w:rPr>
      </w:pPr>
      <w:bookmarkStart w:id="28" w:name="_Toc2846"/>
      <w:bookmarkStart w:id="29" w:name="_Toc19304"/>
      <w:bookmarkStart w:id="30" w:name="_Toc32071"/>
      <w:r>
        <w:rPr>
          <w:rFonts w:hint="eastAsia" w:ascii="仿宋" w:hAnsi="仿宋" w:eastAsia="仿宋" w:cs="仿宋"/>
          <w:b/>
          <w:sz w:val="24"/>
          <w:szCs w:val="24"/>
        </w:rPr>
        <w:t>1.5 货物交付期限、地点和方式</w:t>
      </w:r>
      <w:bookmarkEnd w:id="28"/>
      <w:bookmarkEnd w:id="29"/>
      <w:bookmarkEnd w:id="30"/>
    </w:p>
    <w:p>
      <w:pPr>
        <w:spacing w:line="44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1.5.1 交付期限：详见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1.5.2 交付地点：</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1.5.3 交付方式：</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31" w:name="_Toc19554"/>
      <w:bookmarkStart w:id="32" w:name="_Toc21423"/>
      <w:bookmarkStart w:id="33" w:name="_Toc27250"/>
      <w:r>
        <w:rPr>
          <w:rFonts w:hint="eastAsia" w:ascii="仿宋" w:hAnsi="仿宋" w:eastAsia="仿宋" w:cs="仿宋"/>
          <w:b/>
          <w:sz w:val="24"/>
          <w:szCs w:val="24"/>
        </w:rPr>
        <w:t>1.6 违约责任</w:t>
      </w:r>
      <w:bookmarkEnd w:id="31"/>
      <w:bookmarkEnd w:id="32"/>
      <w:bookmarkEnd w:id="3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sz w:val="24"/>
          <w:szCs w:val="24"/>
        </w:rPr>
      </w:pPr>
      <w:r>
        <w:rPr>
          <w:rFonts w:hint="eastAsia" w:ascii="仿宋" w:hAnsi="仿宋" w:eastAsia="仿宋" w:cs="仿宋"/>
          <w:sz w:val="24"/>
          <w:szCs w:val="24"/>
        </w:rPr>
        <w:t>1.6.7违约责任</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另有约定的，从其约定。</w:t>
      </w:r>
    </w:p>
    <w:p>
      <w:pPr>
        <w:spacing w:line="560" w:lineRule="exact"/>
        <w:ind w:firstLine="482" w:firstLineChars="200"/>
        <w:outlineLvl w:val="0"/>
        <w:rPr>
          <w:rFonts w:hint="eastAsia" w:ascii="仿宋" w:hAnsi="仿宋" w:eastAsia="仿宋" w:cs="仿宋"/>
          <w:b/>
          <w:sz w:val="24"/>
          <w:szCs w:val="24"/>
        </w:rPr>
      </w:pPr>
      <w:bookmarkStart w:id="34" w:name="_Toc28375"/>
      <w:bookmarkStart w:id="35" w:name="_Toc15583"/>
      <w:bookmarkStart w:id="36" w:name="_Toc16021"/>
      <w:r>
        <w:rPr>
          <w:rFonts w:hint="eastAsia" w:ascii="仿宋" w:hAnsi="仿宋" w:eastAsia="仿宋" w:cs="仿宋"/>
          <w:b/>
          <w:sz w:val="24"/>
          <w:szCs w:val="24"/>
        </w:rPr>
        <w:t>1.7 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sz w:val="24"/>
          <w:szCs w:val="24"/>
        </w:rPr>
      </w:pPr>
      <w:r>
        <w:rPr>
          <w:rFonts w:hint="eastAsia" w:ascii="仿宋" w:hAnsi="仿宋" w:eastAsia="仿宋" w:cs="仿宋"/>
          <w:sz w:val="24"/>
          <w:szCs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szCs w:val="24"/>
          <w:u w:val="single"/>
        </w:rPr>
        <w:t xml:space="preserve"> 合同专用条款  </w:t>
      </w:r>
      <w:r>
        <w:rPr>
          <w:rFonts w:hint="eastAsia" w:ascii="仿宋" w:hAnsi="仿宋" w:eastAsia="仿宋" w:cs="仿宋"/>
          <w:sz w:val="24"/>
          <w:szCs w:val="24"/>
        </w:rPr>
        <w:t>条款规定的方式解决：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1.7.1 将争议提交</w:t>
      </w:r>
      <w:r>
        <w:rPr>
          <w:rFonts w:hint="eastAsia" w:ascii="仿宋" w:hAnsi="仿宋" w:eastAsia="仿宋" w:cs="仿宋"/>
          <w:b/>
          <w:i/>
          <w:sz w:val="24"/>
          <w:szCs w:val="24"/>
          <w:u w:val="single"/>
        </w:rPr>
        <w:t>合同专用条款</w:t>
      </w:r>
      <w:r>
        <w:rPr>
          <w:rFonts w:hint="eastAsia" w:ascii="仿宋" w:hAnsi="仿宋" w:eastAsia="仿宋" w:cs="仿宋"/>
          <w:sz w:val="24"/>
          <w:szCs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1.7.2 向</w:t>
      </w:r>
      <w:r>
        <w:rPr>
          <w:rFonts w:hint="eastAsia" w:ascii="仿宋" w:hAnsi="仿宋" w:eastAsia="仿宋" w:cs="仿宋"/>
          <w:b/>
          <w:i/>
          <w:sz w:val="24"/>
          <w:szCs w:val="24"/>
          <w:u w:val="single"/>
        </w:rPr>
        <w:t>合同专用条款</w:t>
      </w:r>
      <w:r>
        <w:rPr>
          <w:rFonts w:hint="eastAsia" w:ascii="仿宋" w:hAnsi="仿宋" w:eastAsia="仿宋" w:cs="仿宋"/>
          <w:sz w:val="24"/>
          <w:szCs w:val="24"/>
        </w:rPr>
        <w:t>人民法院起诉。</w:t>
      </w:r>
    </w:p>
    <w:p>
      <w:pPr>
        <w:spacing w:line="560" w:lineRule="exact"/>
        <w:ind w:firstLine="482" w:firstLineChars="200"/>
        <w:outlineLvl w:val="0"/>
        <w:rPr>
          <w:rFonts w:hint="eastAsia" w:ascii="仿宋" w:hAnsi="仿宋" w:eastAsia="仿宋" w:cs="仿宋"/>
          <w:b/>
          <w:sz w:val="24"/>
          <w:szCs w:val="24"/>
        </w:rPr>
      </w:pPr>
      <w:bookmarkStart w:id="37" w:name="_Toc15322"/>
      <w:bookmarkStart w:id="38" w:name="_Toc11173"/>
      <w:bookmarkStart w:id="39" w:name="_Toc7245"/>
      <w:r>
        <w:rPr>
          <w:rFonts w:hint="eastAsia" w:ascii="仿宋" w:hAnsi="仿宋" w:eastAsia="仿宋" w:cs="仿宋"/>
          <w:b/>
          <w:sz w:val="24"/>
          <w:szCs w:val="24"/>
        </w:rPr>
        <w:t>1.8 合同生效</w:t>
      </w:r>
      <w:bookmarkEnd w:id="37"/>
      <w:bookmarkEnd w:id="38"/>
      <w:bookmarkEnd w:id="39"/>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本合同自双方当事人盖章或者签字时生效。</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b/>
          <w:sz w:val="24"/>
          <w:szCs w:val="24"/>
          <w:lang w:val="zh-CN"/>
        </w:rPr>
        <w:t>甲方</w:t>
      </w:r>
      <w:r>
        <w:rPr>
          <w:rFonts w:hint="eastAsia" w:ascii="仿宋" w:hAnsi="仿宋" w:eastAsia="仿宋" w:cs="仿宋"/>
          <w:sz w:val="24"/>
          <w:szCs w:val="24"/>
          <w:lang w:val="zh-CN"/>
        </w:rPr>
        <w:t xml:space="preserve">：                             </w:t>
      </w:r>
      <w:r>
        <w:rPr>
          <w:rFonts w:hint="eastAsia" w:ascii="仿宋" w:hAnsi="仿宋" w:eastAsia="仿宋" w:cs="仿宋"/>
          <w:b/>
          <w:sz w:val="24"/>
          <w:szCs w:val="24"/>
          <w:lang w:val="zh-CN"/>
        </w:rPr>
        <w:t xml:space="preserve">      乙方</w:t>
      </w:r>
      <w:r>
        <w:rPr>
          <w:rFonts w:hint="eastAsia" w:ascii="仿宋" w:hAnsi="仿宋" w:eastAsia="仿宋" w:cs="仿宋"/>
          <w:sz w:val="24"/>
          <w:szCs w:val="24"/>
          <w:lang w:val="zh-CN"/>
        </w:rPr>
        <w:t>：</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统一社会信用代码：                        统一社会信用代码或身份证号码：</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住所：                                   住所：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法定代表人或                             法定代表人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授权代表（签字）：                        或授权代表（签字）: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联系人：                                 联系人：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约定送达地址：                           约定送达地址：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邮政编码：                               邮政编码：</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电话:                                    电话: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传真:                                    传真:</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lang w:val="zh-CN"/>
        </w:rPr>
        <w:t>电子邮箱：                               电子邮箱：</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开户银行：                               开户银行：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开户名称：                               开户名称：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开户账号：</w:t>
      </w:r>
      <w:r>
        <w:rPr>
          <w:rFonts w:hint="eastAsia" w:ascii="仿宋" w:hAnsi="仿宋" w:eastAsia="仿宋" w:cs="仿宋"/>
          <w:sz w:val="24"/>
          <w:szCs w:val="24"/>
          <w:lang w:val="zh-CN"/>
        </w:rPr>
        <w:t xml:space="preserve">                               </w:t>
      </w:r>
      <w:r>
        <w:rPr>
          <w:rFonts w:hint="eastAsia" w:ascii="仿宋" w:hAnsi="仿宋" w:eastAsia="仿宋" w:cs="仿宋"/>
          <w:sz w:val="24"/>
          <w:szCs w:val="24"/>
        </w:rPr>
        <w:t>开户账号：</w:t>
      </w:r>
    </w:p>
    <w:p>
      <w:pPr>
        <w:widowControl/>
        <w:spacing w:line="560" w:lineRule="exact"/>
        <w:jc w:val="left"/>
        <w:rPr>
          <w:rFonts w:hint="eastAsia" w:ascii="仿宋" w:hAnsi="仿宋" w:eastAsia="仿宋" w:cs="仿宋"/>
          <w:b/>
          <w:sz w:val="24"/>
          <w:szCs w:val="24"/>
        </w:rPr>
      </w:pPr>
      <w:bookmarkStart w:id="40" w:name="_Toc331685783"/>
    </w:p>
    <w:p>
      <w:pPr>
        <w:pStyle w:val="281"/>
        <w:pageBreakBefore/>
        <w:spacing w:line="560" w:lineRule="exact"/>
        <w:ind w:firstLine="723"/>
        <w:jc w:val="center"/>
        <w:rPr>
          <w:rFonts w:hint="eastAsia" w:ascii="仿宋" w:hAnsi="仿宋" w:eastAsia="仿宋" w:cs="仿宋"/>
          <w:b/>
          <w:sz w:val="24"/>
          <w:szCs w:val="24"/>
        </w:rPr>
      </w:pPr>
      <w:r>
        <w:rPr>
          <w:rFonts w:hint="eastAsia" w:ascii="仿宋" w:hAnsi="仿宋" w:eastAsia="仿宋" w:cs="仿宋"/>
          <w:b/>
          <w:sz w:val="24"/>
          <w:szCs w:val="24"/>
        </w:rPr>
        <w:t>第二部分 合同一般条款</w:t>
      </w:r>
      <w:bookmarkEnd w:id="40"/>
    </w:p>
    <w:p>
      <w:pPr>
        <w:spacing w:line="560" w:lineRule="exact"/>
        <w:ind w:firstLine="482" w:firstLineChars="200"/>
        <w:outlineLvl w:val="0"/>
        <w:rPr>
          <w:rFonts w:hint="eastAsia" w:ascii="仿宋" w:hAnsi="仿宋" w:eastAsia="仿宋" w:cs="仿宋"/>
          <w:b/>
          <w:sz w:val="24"/>
          <w:szCs w:val="24"/>
        </w:rPr>
      </w:pPr>
      <w:bookmarkStart w:id="41" w:name="_Ref467379101"/>
      <w:bookmarkStart w:id="42" w:name="_Ref467379094"/>
      <w:bookmarkStart w:id="43" w:name="_Ref467379195"/>
      <w:bookmarkStart w:id="44" w:name="_Ref467378463"/>
      <w:bookmarkStart w:id="45" w:name="_Ref467379214"/>
      <w:bookmarkStart w:id="46" w:name="_Ref467379205"/>
      <w:bookmarkStart w:id="47" w:name="_Toc19614"/>
      <w:bookmarkStart w:id="48" w:name="_Ref467378404"/>
      <w:bookmarkStart w:id="49" w:name="_Toc259093669"/>
      <w:bookmarkStart w:id="50" w:name="_Ref467379225"/>
      <w:bookmarkStart w:id="51" w:name="_Toc28763"/>
      <w:bookmarkStart w:id="52" w:name="_Ref467379109"/>
      <w:bookmarkStart w:id="53" w:name="_Toc16917"/>
      <w:bookmarkStart w:id="54" w:name="_Toc279701240"/>
      <w:bookmarkStart w:id="55" w:name="_Ref467378499"/>
      <w:bookmarkStart w:id="56" w:name="_Toc487900349"/>
      <w:r>
        <w:rPr>
          <w:rFonts w:hint="eastAsia" w:ascii="仿宋" w:hAnsi="仿宋" w:eastAsia="仿宋" w:cs="仿宋"/>
          <w:b/>
          <w:sz w:val="24"/>
          <w:szCs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本合同中的下列词语应按以下内容进行解释：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szCs w:val="24"/>
        </w:rPr>
      </w:pPr>
      <w:bookmarkStart w:id="57" w:name="_Ref467378840"/>
      <w:r>
        <w:rPr>
          <w:rFonts w:hint="eastAsia" w:ascii="仿宋" w:hAnsi="仿宋" w:eastAsia="仿宋" w:cs="仿宋"/>
          <w:sz w:val="24"/>
          <w:szCs w:val="24"/>
        </w:rPr>
        <w:t>2.1.4 “甲方”系指与中标供应商签署合同的采购人</w:t>
      </w:r>
      <w:bookmarkEnd w:id="57"/>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bookmarkStart w:id="58" w:name="_Ref467379400"/>
      <w:r>
        <w:rPr>
          <w:rFonts w:hint="eastAsia" w:ascii="仿宋" w:hAnsi="仿宋" w:eastAsia="仿宋" w:cs="仿宋"/>
          <w:sz w:val="24"/>
          <w:szCs w:val="24"/>
        </w:rPr>
        <w:t>2.1.5 “乙方”系指根据合同约定交付货物的中标供应商</w:t>
      </w:r>
      <w:bookmarkEnd w:id="58"/>
      <w:r>
        <w:rPr>
          <w:rFonts w:hint="eastAsia" w:ascii="仿宋" w:hAnsi="仿宋" w:eastAsia="仿宋" w:cs="仿宋"/>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szCs w:val="24"/>
        </w:rPr>
      </w:pPr>
      <w:bookmarkStart w:id="59" w:name="_Ref467379436"/>
      <w:r>
        <w:rPr>
          <w:rFonts w:hint="eastAsia" w:ascii="仿宋" w:hAnsi="仿宋" w:eastAsia="仿宋" w:cs="仿宋"/>
          <w:sz w:val="24"/>
          <w:szCs w:val="24"/>
        </w:rPr>
        <w:t>2.1.6 “现场”系指合同约定货物将要运至或者安装的地点。</w:t>
      </w:r>
      <w:bookmarkEnd w:id="59"/>
    </w:p>
    <w:p>
      <w:pPr>
        <w:spacing w:line="560" w:lineRule="exact"/>
        <w:ind w:firstLine="482" w:firstLineChars="200"/>
        <w:outlineLvl w:val="0"/>
        <w:rPr>
          <w:rFonts w:hint="eastAsia" w:ascii="仿宋" w:hAnsi="仿宋" w:eastAsia="仿宋" w:cs="仿宋"/>
          <w:b/>
          <w:sz w:val="24"/>
          <w:szCs w:val="24"/>
        </w:rPr>
      </w:pPr>
      <w:bookmarkStart w:id="60" w:name="_Toc13336"/>
      <w:bookmarkStart w:id="61" w:name="_Toc259093670"/>
      <w:bookmarkStart w:id="62" w:name="_Toc27635"/>
      <w:bookmarkStart w:id="63" w:name="_Toc487900350"/>
      <w:bookmarkStart w:id="64" w:name="_Toc279701241"/>
      <w:bookmarkStart w:id="65" w:name="_Toc32504"/>
      <w:r>
        <w:rPr>
          <w:rFonts w:hint="eastAsia" w:ascii="仿宋" w:hAnsi="仿宋" w:eastAsia="仿宋" w:cs="仿宋"/>
          <w:b/>
          <w:sz w:val="24"/>
          <w:szCs w:val="24"/>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szCs w:val="24"/>
        </w:rPr>
      </w:pPr>
      <w:bookmarkStart w:id="66" w:name="_Toc27853"/>
      <w:bookmarkStart w:id="67" w:name="_Toc487900351"/>
      <w:bookmarkStart w:id="68" w:name="_Toc279701242"/>
      <w:bookmarkStart w:id="69" w:name="_Toc9829"/>
      <w:bookmarkStart w:id="70" w:name="_Toc31634"/>
      <w:bookmarkStart w:id="71" w:name="_Toc259093671"/>
      <w:r>
        <w:rPr>
          <w:rFonts w:hint="eastAsia" w:ascii="仿宋" w:hAnsi="仿宋" w:eastAsia="仿宋" w:cs="仿宋"/>
          <w:b/>
          <w:sz w:val="24"/>
          <w:szCs w:val="24"/>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2.3.2具有知识产权的计算机软件等货物的知识产权归属，详见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2" w:name="_Toc11932"/>
      <w:bookmarkStart w:id="73" w:name="_Toc29149"/>
      <w:bookmarkStart w:id="74" w:name="_Toc4194"/>
      <w:r>
        <w:rPr>
          <w:rFonts w:hint="eastAsia" w:ascii="仿宋" w:hAnsi="仿宋" w:eastAsia="仿宋" w:cs="仿宋"/>
          <w:b/>
          <w:sz w:val="24"/>
          <w:szCs w:val="24"/>
        </w:rPr>
        <w:t>2.4 包装和装运</w:t>
      </w:r>
      <w:bookmarkEnd w:id="72"/>
      <w:bookmarkEnd w:id="73"/>
      <w:bookmarkEnd w:id="7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2.4.1除</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2.4.2 装运货物的要求和通知，详见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5" w:name="_Ref467378541"/>
      <w:bookmarkStart w:id="76" w:name="_Ref467379536"/>
      <w:bookmarkStart w:id="77" w:name="_Toc487900354"/>
      <w:bookmarkStart w:id="78" w:name="_Ref467378591"/>
      <w:bookmarkStart w:id="79" w:name="_Ref467379542"/>
      <w:bookmarkStart w:id="80" w:name="_Toc279701245"/>
      <w:bookmarkStart w:id="81" w:name="_Toc259093674"/>
      <w:bookmarkStart w:id="82" w:name="_Ref467379527"/>
      <w:bookmarkStart w:id="83" w:name="_Toc26182"/>
      <w:bookmarkStart w:id="84" w:name="_Toc19074"/>
      <w:bookmarkStart w:id="85" w:name="_Toc30272"/>
      <w:r>
        <w:rPr>
          <w:rFonts w:hint="eastAsia" w:ascii="仿宋" w:hAnsi="仿宋" w:eastAsia="仿宋" w:cs="仿宋"/>
          <w:b/>
          <w:sz w:val="24"/>
          <w:szCs w:val="24"/>
        </w:rPr>
        <w:t>2.</w:t>
      </w:r>
      <w:bookmarkEnd w:id="75"/>
      <w:bookmarkEnd w:id="76"/>
      <w:bookmarkEnd w:id="77"/>
      <w:bookmarkEnd w:id="78"/>
      <w:bookmarkEnd w:id="79"/>
      <w:bookmarkEnd w:id="80"/>
      <w:bookmarkEnd w:id="81"/>
      <w:bookmarkEnd w:id="82"/>
      <w:r>
        <w:rPr>
          <w:rFonts w:hint="eastAsia" w:ascii="仿宋" w:hAnsi="仿宋" w:eastAsia="仿宋" w:cs="仿宋"/>
          <w:b/>
          <w:sz w:val="24"/>
          <w:szCs w:val="24"/>
        </w:rPr>
        <w:t>5 履约检查和问题反馈</w:t>
      </w:r>
      <w:bookmarkEnd w:id="83"/>
      <w:bookmarkEnd w:id="84"/>
      <w:bookmarkEnd w:id="85"/>
    </w:p>
    <w:p>
      <w:pPr>
        <w:spacing w:line="560" w:lineRule="exact"/>
        <w:ind w:firstLine="480" w:firstLineChars="200"/>
        <w:rPr>
          <w:rFonts w:hint="eastAsia" w:ascii="仿宋" w:hAnsi="仿宋" w:eastAsia="仿宋" w:cs="仿宋"/>
          <w:sz w:val="24"/>
          <w:szCs w:val="24"/>
        </w:rPr>
      </w:pPr>
      <w:bookmarkStart w:id="86" w:name="_Ref467379657"/>
      <w:r>
        <w:rPr>
          <w:rFonts w:hint="eastAsia" w:ascii="仿宋" w:hAnsi="仿宋" w:eastAsia="仿宋" w:cs="仿宋"/>
          <w:sz w:val="24"/>
          <w:szCs w:val="24"/>
        </w:rPr>
        <w:t>2.5.1</w:t>
      </w:r>
      <w:bookmarkEnd w:id="86"/>
      <w:bookmarkStart w:id="87" w:name="_Toc186431854"/>
      <w:bookmarkStart w:id="88" w:name="_Toc487900357"/>
      <w:bookmarkStart w:id="89" w:name="_Toc259093676"/>
      <w:bookmarkStart w:id="90" w:name="_Toc279701247"/>
      <w:bookmarkStart w:id="91" w:name="_Ref467379793"/>
      <w:bookmarkStart w:id="92" w:name="_Ref467379807"/>
      <w:r>
        <w:rPr>
          <w:rFonts w:hint="eastAsia" w:ascii="仿宋" w:hAnsi="仿宋" w:eastAsia="仿宋" w:cs="仿宋"/>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sz w:val="24"/>
          <w:szCs w:val="24"/>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sz w:val="24"/>
          <w:szCs w:val="24"/>
        </w:rPr>
      </w:pPr>
      <w:bookmarkStart w:id="94" w:name="_Ref467379923"/>
      <w:bookmarkStart w:id="95" w:name="_Ref467379852"/>
      <w:bookmarkStart w:id="96" w:name="_Ref467379863"/>
      <w:bookmarkStart w:id="97" w:name="_Toc259093677"/>
      <w:bookmarkStart w:id="98" w:name="_Toc279701248"/>
      <w:bookmarkStart w:id="99" w:name="_Toc487900358"/>
      <w:bookmarkStart w:id="100" w:name="_Toc16110"/>
      <w:bookmarkStart w:id="101" w:name="_Toc3225"/>
      <w:bookmarkStart w:id="102" w:name="_Toc774"/>
      <w:r>
        <w:rPr>
          <w:rFonts w:hint="eastAsia" w:ascii="仿宋" w:hAnsi="仿宋" w:eastAsia="仿宋" w:cs="仿宋"/>
          <w:b/>
          <w:sz w:val="24"/>
          <w:szCs w:val="24"/>
        </w:rPr>
        <w:t>2.6 技术资料</w:t>
      </w:r>
      <w:bookmarkEnd w:id="94"/>
      <w:bookmarkEnd w:id="95"/>
      <w:bookmarkEnd w:id="96"/>
      <w:bookmarkEnd w:id="97"/>
      <w:bookmarkEnd w:id="98"/>
      <w:bookmarkEnd w:id="99"/>
      <w:r>
        <w:rPr>
          <w:rFonts w:hint="eastAsia" w:ascii="仿宋" w:hAnsi="仿宋" w:eastAsia="仿宋" w:cs="仿宋"/>
          <w:b/>
          <w:sz w:val="24"/>
          <w:szCs w:val="24"/>
        </w:rPr>
        <w:t>和保密义务</w:t>
      </w:r>
      <w:bookmarkEnd w:id="100"/>
      <w:bookmarkEnd w:id="101"/>
      <w:bookmarkEnd w:id="10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2.6.2 乙方有义务妥善保管和保护由甲方提供的前款信息和资料等；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szCs w:val="24"/>
        </w:rPr>
      </w:pPr>
      <w:bookmarkStart w:id="103" w:name="_Toc7860"/>
      <w:r>
        <w:rPr>
          <w:rFonts w:hint="eastAsia" w:ascii="仿宋" w:hAnsi="仿宋" w:eastAsia="仿宋" w:cs="仿宋"/>
          <w:b/>
          <w:sz w:val="24"/>
          <w:szCs w:val="24"/>
        </w:rPr>
        <w:t>2.7 质量保证</w:t>
      </w:r>
      <w:bookmarkEnd w:id="10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szCs w:val="24"/>
        </w:rPr>
      </w:pPr>
      <w:bookmarkStart w:id="104" w:name="_Toc17244"/>
      <w:bookmarkStart w:id="105" w:name="_Toc279701252"/>
      <w:bookmarkStart w:id="106" w:name="_Toc259093681"/>
      <w:bookmarkStart w:id="107" w:name="_Toc487900362"/>
      <w:r>
        <w:rPr>
          <w:rFonts w:hint="eastAsia" w:ascii="仿宋" w:hAnsi="仿宋" w:eastAsia="仿宋" w:cs="仿宋"/>
          <w:b/>
          <w:sz w:val="24"/>
          <w:szCs w:val="24"/>
        </w:rPr>
        <w:t>2.8 货物的风险负担</w:t>
      </w:r>
      <w:bookmarkEnd w:id="104"/>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货物或者在途货物或者交付给第一承运人后的货物毁损、灭失的风险负担详见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108" w:name="_Toc14055"/>
      <w:r>
        <w:rPr>
          <w:rFonts w:hint="eastAsia" w:ascii="仿宋" w:hAnsi="仿宋" w:eastAsia="仿宋" w:cs="仿宋"/>
          <w:b/>
          <w:sz w:val="24"/>
          <w:szCs w:val="24"/>
        </w:rPr>
        <w:t>2.9 延迟交货</w:t>
      </w:r>
      <w:bookmarkEnd w:id="105"/>
      <w:bookmarkEnd w:id="106"/>
      <w:bookmarkEnd w:id="107"/>
      <w:bookmarkEnd w:id="10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szCs w:val="24"/>
        </w:rPr>
      </w:pPr>
      <w:bookmarkStart w:id="109" w:name="_Toc7502"/>
      <w:bookmarkStart w:id="110" w:name="_Ref467378121"/>
      <w:bookmarkStart w:id="111" w:name="_Toc279701254"/>
      <w:bookmarkStart w:id="112" w:name="_Toc487900364"/>
      <w:bookmarkStart w:id="113" w:name="_Toc259093683"/>
      <w:r>
        <w:rPr>
          <w:rFonts w:hint="eastAsia" w:ascii="仿宋" w:hAnsi="仿宋" w:eastAsia="仿宋" w:cs="仿宋"/>
          <w:b/>
          <w:sz w:val="24"/>
          <w:szCs w:val="24"/>
        </w:rPr>
        <w:t>2.10 合同变更</w:t>
      </w:r>
      <w:bookmarkEnd w:id="10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pPr>
        <w:spacing w:line="560" w:lineRule="exact"/>
        <w:ind w:firstLine="482" w:firstLineChars="200"/>
        <w:outlineLvl w:val="0"/>
        <w:rPr>
          <w:rFonts w:hint="eastAsia" w:ascii="仿宋" w:hAnsi="仿宋" w:eastAsia="仿宋" w:cs="仿宋"/>
          <w:b/>
          <w:sz w:val="24"/>
          <w:szCs w:val="24"/>
        </w:rPr>
      </w:pPr>
      <w:bookmarkStart w:id="117" w:name="_Toc22955"/>
      <w:bookmarkStart w:id="118" w:name="_Toc15237"/>
      <w:bookmarkStart w:id="119" w:name="_Toc10366"/>
      <w:r>
        <w:rPr>
          <w:rFonts w:hint="eastAsia" w:ascii="仿宋" w:hAnsi="仿宋" w:eastAsia="仿宋" w:cs="仿宋"/>
          <w:b/>
          <w:sz w:val="24"/>
          <w:szCs w:val="24"/>
        </w:rPr>
        <w:t>2.11 合同转让</w:t>
      </w:r>
      <w:bookmarkEnd w:id="114"/>
      <w:bookmarkEnd w:id="115"/>
      <w:bookmarkEnd w:id="116"/>
      <w:r>
        <w:rPr>
          <w:rFonts w:hint="eastAsia" w:ascii="仿宋" w:hAnsi="仿宋" w:eastAsia="仿宋" w:cs="仿宋"/>
          <w:b/>
          <w:sz w:val="24"/>
          <w:szCs w:val="24"/>
        </w:rPr>
        <w:t>和分包</w:t>
      </w:r>
      <w:bookmarkEnd w:id="117"/>
      <w:bookmarkEnd w:id="118"/>
      <w:bookmarkEnd w:id="119"/>
      <w:r>
        <w:rPr>
          <w:rFonts w:hint="eastAsia" w:ascii="仿宋" w:hAnsi="仿宋" w:eastAsia="仿宋" w:cs="仿宋"/>
          <w:b/>
          <w:sz w:val="24"/>
          <w:szCs w:val="24"/>
        </w:rPr>
        <w:t>（如有）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szCs w:val="24"/>
        </w:rPr>
      </w:pPr>
      <w:bookmarkStart w:id="120" w:name="_Toc14066"/>
      <w:bookmarkStart w:id="121" w:name="_Toc16508"/>
      <w:bookmarkStart w:id="122" w:name="_Toc13566"/>
      <w:r>
        <w:rPr>
          <w:rFonts w:hint="eastAsia" w:ascii="仿宋" w:hAnsi="仿宋" w:eastAsia="仿宋" w:cs="仿宋"/>
          <w:b/>
          <w:sz w:val="24"/>
          <w:szCs w:val="24"/>
        </w:rPr>
        <w:t>2.12 不可抗力</w:t>
      </w:r>
      <w:bookmarkEnd w:id="120"/>
      <w:bookmarkEnd w:id="121"/>
      <w:bookmarkEnd w:id="12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2.12.2 因不可抗力致使不能实现合同目的的，当事人可以解除合同；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2.12.3 因不可抗力致使合同有变更必要的，双方当事人应在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约定时间内以书面形式变更合同；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2.12.4受不可抗力影响的一方在不可抗力发生后，应在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约定时间内以书面形式通知对方当事人，并在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szCs w:val="24"/>
        </w:rPr>
      </w:pPr>
      <w:bookmarkStart w:id="123" w:name="_Toc30676"/>
      <w:bookmarkStart w:id="124" w:name="_Toc487900365"/>
      <w:bookmarkStart w:id="125" w:name="_Toc689"/>
      <w:bookmarkStart w:id="126" w:name="_Toc6969"/>
      <w:bookmarkStart w:id="127" w:name="_Toc279701255"/>
      <w:bookmarkStart w:id="128" w:name="_Toc259093684"/>
      <w:r>
        <w:rPr>
          <w:rFonts w:hint="eastAsia" w:ascii="仿宋" w:hAnsi="仿宋" w:eastAsia="仿宋" w:cs="仿宋"/>
          <w:b/>
          <w:sz w:val="24"/>
          <w:szCs w:val="24"/>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szCs w:val="24"/>
        </w:rPr>
      </w:pPr>
      <w:bookmarkStart w:id="129" w:name="_Toc259093687"/>
      <w:bookmarkStart w:id="130" w:name="_Toc8298"/>
      <w:bookmarkStart w:id="131" w:name="_Toc7102"/>
      <w:bookmarkStart w:id="132" w:name="_Toc487900368"/>
      <w:bookmarkStart w:id="133" w:name="_Toc279701258"/>
      <w:bookmarkStart w:id="134" w:name="_Toc16959"/>
      <w:r>
        <w:rPr>
          <w:rFonts w:hint="eastAsia" w:ascii="仿宋" w:hAnsi="仿宋" w:eastAsia="仿宋" w:cs="仿宋"/>
          <w:b/>
          <w:sz w:val="24"/>
          <w:szCs w:val="24"/>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szCs w:val="24"/>
        </w:rPr>
      </w:pPr>
      <w:bookmarkStart w:id="135" w:name="_Toc29333"/>
      <w:bookmarkStart w:id="136" w:name="_Toc6134"/>
      <w:bookmarkStart w:id="137" w:name="_Toc15387"/>
      <w:r>
        <w:rPr>
          <w:rFonts w:hint="eastAsia" w:ascii="仿宋" w:hAnsi="仿宋" w:eastAsia="仿宋" w:cs="仿宋"/>
          <w:b/>
          <w:sz w:val="24"/>
          <w:szCs w:val="24"/>
        </w:rPr>
        <w:t>2.15 合同中止、终止</w:t>
      </w:r>
      <w:bookmarkEnd w:id="135"/>
      <w:bookmarkEnd w:id="136"/>
      <w:bookmarkEnd w:id="13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2.15.1 双方当事人不得擅自中止或者终止合同；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szCs w:val="24"/>
        </w:rPr>
      </w:pPr>
      <w:bookmarkStart w:id="138" w:name="_Toc6596"/>
      <w:bookmarkStart w:id="139" w:name="_Toc1125"/>
      <w:bookmarkStart w:id="140" w:name="_Toc14563"/>
      <w:r>
        <w:rPr>
          <w:rFonts w:hint="eastAsia" w:ascii="仿宋" w:hAnsi="仿宋" w:eastAsia="仿宋" w:cs="仿宋"/>
          <w:b/>
          <w:sz w:val="24"/>
          <w:szCs w:val="24"/>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2.16.3 检验和验收标准、程序等具体内容以及前述验收书的效力详见</w:t>
      </w:r>
      <w:r>
        <w:rPr>
          <w:rFonts w:hint="eastAsia" w:ascii="仿宋" w:hAnsi="仿宋" w:eastAsia="仿宋" w:cs="仿宋"/>
          <w:b/>
          <w:i/>
          <w:sz w:val="24"/>
          <w:szCs w:val="24"/>
          <w:u w:val="single"/>
        </w:rPr>
        <w:t>合同专用条款</w:t>
      </w:r>
      <w:r>
        <w:rPr>
          <w:rFonts w:hint="eastAsia" w:ascii="仿宋" w:hAnsi="仿宋" w:eastAsia="仿宋" w:cs="仿宋"/>
          <w:i/>
          <w:sz w:val="24"/>
          <w:szCs w:val="24"/>
        </w:rPr>
        <w:t>。</w:t>
      </w:r>
    </w:p>
    <w:bookmarkEnd w:id="110"/>
    <w:bookmarkEnd w:id="111"/>
    <w:bookmarkEnd w:id="112"/>
    <w:bookmarkEnd w:id="113"/>
    <w:p>
      <w:pPr>
        <w:spacing w:line="560" w:lineRule="exact"/>
        <w:ind w:firstLine="482" w:firstLineChars="200"/>
        <w:outlineLvl w:val="0"/>
        <w:rPr>
          <w:rFonts w:hint="eastAsia" w:ascii="仿宋" w:hAnsi="仿宋" w:eastAsia="仿宋" w:cs="仿宋"/>
          <w:b/>
          <w:sz w:val="24"/>
          <w:szCs w:val="24"/>
        </w:rPr>
      </w:pPr>
      <w:bookmarkStart w:id="141" w:name="_Toc279701261"/>
      <w:bookmarkStart w:id="142" w:name="_Toc259093690"/>
      <w:bookmarkStart w:id="143" w:name="_Toc487900371"/>
      <w:bookmarkStart w:id="144" w:name="_Toc19604"/>
      <w:bookmarkStart w:id="145" w:name="_Toc25182"/>
      <w:bookmarkStart w:id="146" w:name="_Toc11284"/>
      <w:r>
        <w:rPr>
          <w:rFonts w:hint="eastAsia" w:ascii="仿宋" w:hAnsi="仿宋" w:eastAsia="仿宋" w:cs="仿宋"/>
          <w:b/>
          <w:sz w:val="24"/>
          <w:szCs w:val="24"/>
        </w:rPr>
        <w:t>2.17 通知</w:t>
      </w:r>
      <w:bookmarkEnd w:id="141"/>
      <w:bookmarkEnd w:id="142"/>
      <w:bookmarkEnd w:id="143"/>
      <w:r>
        <w:rPr>
          <w:rFonts w:hint="eastAsia" w:ascii="仿宋" w:hAnsi="仿宋" w:eastAsia="仿宋" w:cs="仿宋"/>
          <w:b/>
          <w:sz w:val="24"/>
          <w:szCs w:val="24"/>
        </w:rPr>
        <w:t>和送达</w:t>
      </w:r>
      <w:bookmarkEnd w:id="144"/>
      <w:bookmarkEnd w:id="145"/>
      <w:bookmarkEnd w:id="146"/>
    </w:p>
    <w:p>
      <w:pPr>
        <w:spacing w:line="560" w:lineRule="exact"/>
        <w:ind w:firstLine="480" w:firstLineChars="200"/>
        <w:rPr>
          <w:rFonts w:hint="eastAsia" w:ascii="仿宋" w:hAnsi="仿宋" w:eastAsia="仿宋" w:cs="仿宋"/>
          <w:sz w:val="24"/>
          <w:szCs w:val="24"/>
        </w:rPr>
      </w:pPr>
      <w:bookmarkStart w:id="147" w:name="_Toc6698"/>
      <w:bookmarkStart w:id="148" w:name="_Toc3135"/>
      <w:bookmarkStart w:id="149" w:name="_Toc279701262"/>
      <w:bookmarkStart w:id="150" w:name="_Toc259093691"/>
      <w:bookmarkStart w:id="151" w:name="_Toc487900372"/>
      <w:r>
        <w:rPr>
          <w:rFonts w:hint="eastAsia" w:ascii="仿宋" w:hAnsi="仿宋" w:eastAsia="仿宋" w:cs="仿宋"/>
          <w:sz w:val="24"/>
          <w:szCs w:val="24"/>
        </w:rPr>
        <w:t xml:space="preserve">2.17.1任何一方因履行合同而以合同第一部分尾部所列明的传真或电子邮件 </w:t>
      </w:r>
      <w:r>
        <w:rPr>
          <w:rFonts w:hint="eastAsia" w:ascii="仿宋" w:hAnsi="仿宋" w:eastAsia="仿宋" w:cs="仿宋"/>
          <w:sz w:val="24"/>
          <w:szCs w:val="24"/>
          <w:u w:val="single"/>
        </w:rPr>
        <w:t xml:space="preserve">       </w:t>
      </w:r>
      <w:r>
        <w:rPr>
          <w:rFonts w:hint="eastAsia" w:ascii="仿宋" w:hAnsi="仿宋" w:eastAsia="仿宋" w:cs="仿宋"/>
          <w:sz w:val="24"/>
          <w:szCs w:val="24"/>
        </w:rPr>
        <w:t>发出的所有通知、文件、材料，均视为已向对方当事人送达；任何一方变更上述送达方式或者地址的，应于</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sz w:val="24"/>
          <w:szCs w:val="24"/>
        </w:rPr>
      </w:pPr>
      <w:bookmarkStart w:id="152" w:name="_Toc23128"/>
      <w:bookmarkStart w:id="153" w:name="_Toc23294"/>
      <w:r>
        <w:rPr>
          <w:rFonts w:hint="eastAsia" w:ascii="仿宋" w:hAnsi="仿宋" w:eastAsia="仿宋" w:cs="仿宋"/>
          <w:sz w:val="24"/>
          <w:szCs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sz w:val="24"/>
          <w:szCs w:val="24"/>
        </w:rPr>
      </w:pPr>
      <w:bookmarkStart w:id="154" w:name="_Toc4355"/>
      <w:bookmarkStart w:id="155" w:name="_Toc30599"/>
      <w:bookmarkStart w:id="156" w:name="_Toc18540"/>
      <w:r>
        <w:rPr>
          <w:rFonts w:hint="eastAsia" w:ascii="仿宋" w:hAnsi="仿宋" w:eastAsia="仿宋" w:cs="仿宋"/>
          <w:b/>
          <w:sz w:val="24"/>
          <w:szCs w:val="24"/>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szCs w:val="24"/>
        </w:rPr>
      </w:pPr>
      <w:bookmarkStart w:id="157" w:name="_Toc18567"/>
      <w:bookmarkStart w:id="158" w:name="_Toc12773"/>
      <w:bookmarkStart w:id="159" w:name="_Toc259093692"/>
      <w:bookmarkStart w:id="160" w:name="_Toc279701263"/>
      <w:bookmarkStart w:id="161" w:name="_Toc10330"/>
      <w:bookmarkStart w:id="162" w:name="_Toc487900373"/>
      <w:r>
        <w:rPr>
          <w:rFonts w:hint="eastAsia" w:ascii="仿宋" w:hAnsi="仿宋" w:eastAsia="仿宋" w:cs="仿宋"/>
          <w:b/>
          <w:sz w:val="24"/>
          <w:szCs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2.19.1 合同使用汉语书就、变更和解释；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2.19.2 合同适用中华人民共和国法律。</w:t>
      </w:r>
    </w:p>
    <w:p>
      <w:pPr>
        <w:spacing w:line="560" w:lineRule="exact"/>
        <w:ind w:firstLine="482" w:firstLineChars="200"/>
        <w:outlineLvl w:val="0"/>
        <w:rPr>
          <w:rFonts w:hint="eastAsia" w:ascii="仿宋" w:hAnsi="仿宋" w:eastAsia="仿宋" w:cs="仿宋"/>
          <w:b/>
          <w:sz w:val="24"/>
          <w:szCs w:val="24"/>
        </w:rPr>
      </w:pPr>
      <w:bookmarkStart w:id="163" w:name="_Toc12004"/>
      <w:bookmarkStart w:id="164" w:name="_Toc16673"/>
      <w:bookmarkStart w:id="165" w:name="_Toc259093693"/>
      <w:bookmarkStart w:id="166" w:name="_Toc3148"/>
      <w:bookmarkStart w:id="167" w:name="_Toc279701264"/>
      <w:bookmarkStart w:id="168" w:name="_Toc487900374"/>
      <w:r>
        <w:rPr>
          <w:rFonts w:hint="eastAsia" w:ascii="仿宋" w:hAnsi="仿宋" w:eastAsia="仿宋" w:cs="仿宋"/>
          <w:b/>
          <w:sz w:val="24"/>
          <w:szCs w:val="24"/>
        </w:rPr>
        <w:t>2.20 履约保证金</w:t>
      </w:r>
      <w:bookmarkEnd w:id="163"/>
      <w:bookmarkEnd w:id="164"/>
      <w:bookmarkEnd w:id="165"/>
      <w:bookmarkEnd w:id="166"/>
      <w:bookmarkEnd w:id="167"/>
    </w:p>
    <w:p>
      <w:pPr>
        <w:pStyle w:val="282"/>
        <w:spacing w:before="0" w:beforeAutospacing="0" w:after="0" w:afterAutospacing="0" w:line="360" w:lineRule="auto"/>
        <w:ind w:firstLine="420"/>
        <w:rPr>
          <w:rFonts w:hint="eastAsia" w:ascii="仿宋" w:hAnsi="仿宋" w:eastAsia="仿宋" w:cs="仿宋"/>
          <w:sz w:val="24"/>
          <w:szCs w:val="24"/>
        </w:rPr>
      </w:pPr>
      <w:r>
        <w:rPr>
          <w:rFonts w:hint="eastAsia" w:ascii="仿宋" w:hAnsi="仿宋" w:eastAsia="仿宋" w:cs="仿宋"/>
          <w:sz w:val="24"/>
          <w:szCs w:val="24"/>
        </w:rPr>
        <w:t>2.20.1 采购文件要求乙方提交履约保证金的，乙方应按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2.20.2  履约保证金在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约定期间内不予退还。乙方在前述约定期间届满前能履行完合同约定义务事项的，甲方在前述约定期间届满之日起</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约定的方式将履约保证金退还乙方，逾期退还的，乙方可要求甲方支付违约金，违约金按每迟延退还一日的应退还而未退还金额的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%计算，最高限额为本合同履约保证金的</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sz w:val="24"/>
          <w:szCs w:val="24"/>
        </w:rPr>
      </w:pPr>
      <w:bookmarkStart w:id="169" w:name="_Toc14001"/>
      <w:bookmarkStart w:id="170" w:name="_Toc19890"/>
      <w:bookmarkStart w:id="171" w:name="_Toc6885"/>
      <w:r>
        <w:rPr>
          <w:rFonts w:hint="eastAsia" w:ascii="仿宋" w:hAnsi="仿宋" w:eastAsia="仿宋" w:cs="仿宋"/>
          <w:b/>
          <w:sz w:val="24"/>
          <w:szCs w:val="24"/>
        </w:rPr>
        <w:t>2.22合同份数</w:t>
      </w:r>
      <w:bookmarkEnd w:id="169"/>
      <w:bookmarkEnd w:id="170"/>
      <w:bookmarkEnd w:id="1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合同份数按</w:t>
      </w:r>
      <w:r>
        <w:rPr>
          <w:rFonts w:hint="eastAsia" w:ascii="仿宋" w:hAnsi="仿宋" w:eastAsia="仿宋" w:cs="仿宋"/>
          <w:b/>
          <w:i/>
          <w:sz w:val="24"/>
          <w:szCs w:val="24"/>
          <w:u w:val="single"/>
        </w:rPr>
        <w:t>合同专用条款</w:t>
      </w:r>
      <w:r>
        <w:rPr>
          <w:rFonts w:hint="eastAsia" w:ascii="仿宋" w:hAnsi="仿宋" w:eastAsia="仿宋" w:cs="仿宋"/>
          <w:sz w:val="24"/>
          <w:szCs w:val="24"/>
        </w:rPr>
        <w:t>规定，每份均具有同等法律效力。</w:t>
      </w:r>
    </w:p>
    <w:p>
      <w:pPr>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hint="eastAsia" w:ascii="仿宋" w:hAnsi="仿宋" w:eastAsia="仿宋" w:cs="仿宋"/>
          <w:b/>
          <w:sz w:val="24"/>
          <w:szCs w:val="24"/>
        </w:rPr>
      </w:pPr>
      <w:r>
        <w:rPr>
          <w:rFonts w:hint="eastAsia" w:ascii="仿宋" w:hAnsi="仿宋" w:eastAsia="仿宋" w:cs="仿宋"/>
          <w:color w:val="auto"/>
          <w:kern w:val="0"/>
          <w:sz w:val="24"/>
          <w:szCs w:val="24"/>
        </w:rPr>
        <w:br w:type="page"/>
      </w:r>
      <w:bookmarkStart w:id="172" w:name="_Toc331685784"/>
      <w:r>
        <w:rPr>
          <w:rFonts w:hint="eastAsia" w:ascii="仿宋" w:hAnsi="仿宋" w:eastAsia="仿宋" w:cs="仿宋"/>
          <w:b/>
          <w:sz w:val="24"/>
          <w:szCs w:val="24"/>
        </w:rPr>
        <w:t xml:space="preserve"> </w:t>
      </w:r>
      <w:bookmarkEnd w:id="172"/>
      <w:r>
        <w:rPr>
          <w:rFonts w:hint="eastAsia" w:ascii="仿宋" w:hAnsi="仿宋" w:eastAsia="仿宋" w:cs="仿宋"/>
          <w:b/>
          <w:sz w:val="24"/>
          <w:szCs w:val="24"/>
        </w:rPr>
        <w:t>第三部分  合同专用条款</w:t>
      </w:r>
    </w:p>
    <w:p>
      <w:pPr>
        <w:spacing w:line="560" w:lineRule="exact"/>
        <w:ind w:left="-420" w:leftChars="-200" w:right="-420" w:rightChars="-200" w:firstLine="480" w:firstLineChars="200"/>
        <w:rPr>
          <w:rFonts w:hint="eastAsia" w:ascii="仿宋" w:hAnsi="仿宋" w:eastAsia="仿宋" w:cs="仿宋"/>
          <w:sz w:val="24"/>
          <w:szCs w:val="24"/>
        </w:rPr>
      </w:pPr>
      <w:r>
        <w:rPr>
          <w:rFonts w:hint="eastAsia" w:ascii="仿宋" w:hAnsi="仿宋" w:eastAsia="仿宋" w:cs="仿宋"/>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条款号</w:t>
            </w:r>
          </w:p>
        </w:tc>
        <w:tc>
          <w:tcPr>
            <w:tcW w:w="8275"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1.4.4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1.5.1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1.5.2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1.5.3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1.6.7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2.8 </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2.20.1</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2.20.2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szCs w:val="24"/>
              </w:rPr>
            </w:pPr>
            <w:r>
              <w:rPr>
                <w:rFonts w:hint="eastAsia" w:ascii="仿宋" w:hAnsi="仿宋" w:eastAsia="仿宋" w:cs="仿宋"/>
                <w:sz w:val="24"/>
                <w:szCs w:val="24"/>
              </w:rPr>
              <w:t xml:space="preserve">2.22 </w:t>
            </w:r>
          </w:p>
        </w:tc>
        <w:tc>
          <w:tcPr>
            <w:tcW w:w="8275" w:type="dxa"/>
            <w:vAlign w:val="center"/>
          </w:tcPr>
          <w:p>
            <w:pPr>
              <w:spacing w:line="360" w:lineRule="auto"/>
              <w:rPr>
                <w:rFonts w:hint="eastAsia" w:ascii="仿宋" w:hAnsi="仿宋" w:eastAsia="仿宋" w:cs="仿宋"/>
                <w:sz w:val="24"/>
                <w:szCs w:val="24"/>
              </w:rPr>
            </w:pPr>
          </w:p>
        </w:tc>
      </w:tr>
    </w:tbl>
    <w:p>
      <w:pPr>
        <w:spacing w:line="360" w:lineRule="auto"/>
        <w:ind w:left="-420" w:leftChars="-200" w:right="-420" w:rightChars="-200" w:firstLine="480" w:firstLineChars="200"/>
        <w:rPr>
          <w:rFonts w:hint="eastAsia" w:ascii="仿宋" w:hAnsi="仿宋" w:eastAsia="仿宋" w:cs="仿宋"/>
          <w:sz w:val="24"/>
          <w:szCs w:val="24"/>
        </w:rPr>
      </w:pPr>
    </w:p>
    <w:p>
      <w:pPr>
        <w:spacing w:line="3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（注：在正式签约时，根据上述精神应拟就更为详尽的合同书）</w:t>
      </w:r>
    </w:p>
    <w:p>
      <w:pPr>
        <w:pStyle w:val="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kern w:val="0"/>
          <w:sz w:val="24"/>
        </w:rPr>
      </w:pPr>
      <w:r>
        <w:rPr>
          <w:rFonts w:hint="eastAsia" w:ascii="仿宋" w:hAnsi="仿宋" w:eastAsia="仿宋" w:cs="仿宋"/>
          <w:b/>
          <w:bCs/>
          <w:kern w:val="0"/>
          <w:sz w:val="24"/>
        </w:rPr>
        <w:t>2.评分标准：</w:t>
      </w:r>
      <w:r>
        <w:rPr>
          <w:rFonts w:hint="eastAsia" w:ascii="仿宋" w:hAnsi="仿宋" w:eastAsia="仿宋" w:cs="仿宋"/>
          <w:kern w:val="0"/>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kern w:val="0"/>
          <w:sz w:val="24"/>
        </w:rPr>
      </w:pPr>
      <w:r>
        <w:rPr>
          <w:rFonts w:hint="eastAsia" w:ascii="仿宋" w:hAnsi="仿宋" w:eastAsia="仿宋" w:cs="仿宋"/>
          <w:kern w:val="0"/>
          <w:sz w:val="24"/>
        </w:rPr>
        <w:t>2.1.商务技术分（70分）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29"/>
        <w:gridCol w:w="641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评分项目</w:t>
            </w:r>
          </w:p>
        </w:tc>
        <w:tc>
          <w:tcPr>
            <w:tcW w:w="3455"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评分细则</w:t>
            </w:r>
          </w:p>
        </w:tc>
        <w:tc>
          <w:tcPr>
            <w:tcW w:w="366"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投标人资质</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1、具有ISO 9001质量管理体系认证证书，得0.5分；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2、具有ISO 1</w:t>
            </w:r>
            <w:r>
              <w:rPr>
                <w:rFonts w:hint="eastAsia" w:ascii="仿宋" w:hAnsi="仿宋" w:eastAsia="仿宋" w:cs="仿宋"/>
                <w:color w:val="000000" w:themeColor="text1"/>
                <w:spacing w:val="-2"/>
                <w:kern w:val="0"/>
                <w:sz w:val="24"/>
                <w:szCs w:val="24"/>
              </w:rPr>
              <w:t>4001环境管理体系</w:t>
            </w:r>
            <w:r>
              <w:rPr>
                <w:rFonts w:hint="eastAsia" w:ascii="仿宋" w:hAnsi="仿宋" w:eastAsia="仿宋" w:cs="仿宋"/>
                <w:color w:val="auto"/>
                <w:spacing w:val="-2"/>
                <w:kern w:val="0"/>
                <w:sz w:val="24"/>
                <w:szCs w:val="24"/>
              </w:rPr>
              <w:t>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3、具有ISO/IEC 27001信息安全管理体系认证证书，得0.5分。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4、具有ISO/IEC 20000 信息技术服务管理体系认证证书，得0.5分；；</w:t>
            </w:r>
          </w:p>
          <w:p>
            <w:pPr>
              <w:jc w:val="left"/>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（以上证书投标时提供证书</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2</w:t>
            </w:r>
          </w:p>
        </w:tc>
        <w:tc>
          <w:tcPr>
            <w:tcW w:w="76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投标人类似业绩</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val="en-US" w:eastAsia="zh-CN"/>
              </w:rPr>
              <w:t>2019</w:t>
            </w:r>
            <w:r>
              <w:rPr>
                <w:rFonts w:hint="eastAsia" w:ascii="仿宋" w:hAnsi="仿宋" w:eastAsia="仿宋" w:cs="仿宋"/>
                <w:color w:val="auto"/>
                <w:spacing w:val="-2"/>
                <w:kern w:val="0"/>
                <w:sz w:val="24"/>
                <w:szCs w:val="24"/>
              </w:rPr>
              <w:t>年1月1日以来，投标</w:t>
            </w:r>
            <w:r>
              <w:rPr>
                <w:rFonts w:hint="eastAsia" w:ascii="仿宋" w:hAnsi="仿宋" w:eastAsia="仿宋" w:cs="仿宋"/>
                <w:color w:val="auto"/>
                <w:spacing w:val="-2"/>
                <w:kern w:val="0"/>
                <w:sz w:val="24"/>
                <w:szCs w:val="24"/>
                <w:lang w:eastAsia="zh-CN"/>
              </w:rPr>
              <w:t>人</w:t>
            </w:r>
            <w:r>
              <w:rPr>
                <w:rFonts w:hint="eastAsia" w:ascii="仿宋" w:hAnsi="仿宋" w:eastAsia="仿宋" w:cs="仿宋"/>
                <w:color w:val="auto"/>
                <w:spacing w:val="-2"/>
                <w:kern w:val="0"/>
                <w:sz w:val="24"/>
                <w:szCs w:val="24"/>
              </w:rPr>
              <w:t>具有生物安全</w:t>
            </w:r>
            <w:r>
              <w:rPr>
                <w:rFonts w:hint="eastAsia" w:ascii="仿宋" w:hAnsi="仿宋" w:eastAsia="仿宋" w:cs="仿宋"/>
                <w:color w:val="auto"/>
                <w:spacing w:val="-2"/>
                <w:kern w:val="0"/>
                <w:sz w:val="24"/>
                <w:szCs w:val="24"/>
                <w:lang w:eastAsia="zh-CN"/>
              </w:rPr>
              <w:t>在线监测</w:t>
            </w:r>
            <w:r>
              <w:rPr>
                <w:rFonts w:hint="eastAsia" w:ascii="仿宋" w:hAnsi="仿宋" w:eastAsia="仿宋" w:cs="仿宋"/>
                <w:color w:val="auto"/>
                <w:spacing w:val="-2"/>
                <w:kern w:val="0"/>
                <w:sz w:val="24"/>
                <w:szCs w:val="24"/>
              </w:rPr>
              <w:t>建设</w:t>
            </w:r>
            <w:r>
              <w:rPr>
                <w:rFonts w:hint="eastAsia" w:ascii="仿宋" w:hAnsi="仿宋" w:eastAsia="仿宋" w:cs="仿宋"/>
                <w:color w:val="auto"/>
                <w:spacing w:val="-2"/>
                <w:kern w:val="0"/>
                <w:sz w:val="24"/>
                <w:szCs w:val="24"/>
                <w:lang w:eastAsia="zh-CN"/>
              </w:rPr>
              <w:t>同类</w:t>
            </w:r>
            <w:r>
              <w:rPr>
                <w:rFonts w:hint="eastAsia" w:ascii="仿宋" w:hAnsi="仿宋" w:eastAsia="仿宋" w:cs="仿宋"/>
                <w:color w:val="auto"/>
                <w:spacing w:val="-2"/>
                <w:kern w:val="0"/>
                <w:sz w:val="24"/>
                <w:szCs w:val="24"/>
              </w:rPr>
              <w:t>项目案例的，每个得1分，最高得3分，没有不得分。</w:t>
            </w:r>
          </w:p>
          <w:p>
            <w:pPr>
              <w:widowControl/>
              <w:jc w:val="left"/>
              <w:rPr>
                <w:rFonts w:hint="eastAsia" w:ascii="仿宋" w:hAnsi="仿宋" w:eastAsia="仿宋" w:cs="仿宋"/>
                <w:color w:val="auto"/>
                <w:kern w:val="0"/>
                <w:sz w:val="24"/>
                <w:szCs w:val="24"/>
              </w:rPr>
            </w:pPr>
            <w:r>
              <w:rPr>
                <w:rFonts w:hint="eastAsia" w:ascii="仿宋" w:hAnsi="仿宋" w:eastAsia="仿宋" w:cs="仿宋"/>
                <w:color w:val="auto"/>
                <w:spacing w:val="-2"/>
                <w:kern w:val="0"/>
                <w:sz w:val="24"/>
                <w:szCs w:val="24"/>
              </w:rPr>
              <w:t>（投标时提供合同</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项目管理人员</w:t>
            </w:r>
          </w:p>
        </w:tc>
        <w:tc>
          <w:tcPr>
            <w:tcW w:w="3455" w:type="pct"/>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投标人拟派</w:t>
            </w:r>
            <w:r>
              <w:rPr>
                <w:rFonts w:hint="eastAsia" w:ascii="仿宋" w:hAnsi="仿宋" w:eastAsia="仿宋" w:cs="仿宋"/>
                <w:color w:val="auto"/>
                <w:sz w:val="24"/>
                <w:szCs w:val="24"/>
              </w:rPr>
              <w:t>项目负责</w:t>
            </w:r>
            <w:r>
              <w:rPr>
                <w:rFonts w:hint="eastAsia" w:ascii="仿宋" w:hAnsi="仿宋" w:eastAsia="仿宋" w:cs="仿宋"/>
                <w:color w:val="auto"/>
                <w:sz w:val="24"/>
                <w:szCs w:val="24"/>
                <w:lang w:eastAsia="zh-Hans"/>
              </w:rPr>
              <w:t>人具有信息系统项目管理师高级证书、</w:t>
            </w:r>
            <w:r>
              <w:rPr>
                <w:rFonts w:hint="eastAsia" w:ascii="仿宋" w:hAnsi="仿宋" w:eastAsia="仿宋" w:cs="仿宋"/>
                <w:color w:val="auto"/>
                <w:sz w:val="24"/>
                <w:szCs w:val="24"/>
                <w:highlight w:val="none"/>
                <w:lang w:eastAsia="zh-Hans"/>
              </w:rPr>
              <w:t>阿里</w:t>
            </w:r>
            <w:r>
              <w:rPr>
                <w:rFonts w:hint="eastAsia" w:ascii="仿宋" w:hAnsi="仿宋" w:eastAsia="仿宋" w:cs="仿宋"/>
                <w:color w:val="auto"/>
                <w:sz w:val="24"/>
                <w:szCs w:val="24"/>
                <w:highlight w:val="none"/>
                <w:lang w:eastAsia="zh-CN"/>
              </w:rPr>
              <w:t>云</w:t>
            </w:r>
            <w:r>
              <w:rPr>
                <w:rFonts w:hint="eastAsia" w:ascii="仿宋" w:hAnsi="仿宋" w:eastAsia="仿宋" w:cs="仿宋"/>
                <w:color w:val="auto"/>
                <w:sz w:val="24"/>
                <w:szCs w:val="24"/>
                <w:highlight w:val="none"/>
                <w:lang w:eastAsia="zh-Hans"/>
              </w:rPr>
              <w:t>ACE云计算专家、软件</w:t>
            </w:r>
            <w:r>
              <w:rPr>
                <w:rFonts w:hint="eastAsia" w:ascii="仿宋" w:hAnsi="仿宋" w:eastAsia="仿宋" w:cs="仿宋"/>
                <w:color w:val="auto"/>
                <w:sz w:val="24"/>
                <w:szCs w:val="24"/>
                <w:lang w:eastAsia="zh-Hans"/>
              </w:rPr>
              <w:t>设计师证书的，每</w:t>
            </w:r>
            <w:r>
              <w:rPr>
                <w:rFonts w:hint="eastAsia" w:ascii="仿宋" w:hAnsi="仿宋" w:eastAsia="仿宋" w:cs="仿宋"/>
                <w:color w:val="auto"/>
                <w:sz w:val="24"/>
                <w:szCs w:val="24"/>
                <w:lang w:eastAsia="zh-CN"/>
              </w:rPr>
              <w:t>提供</w:t>
            </w:r>
            <w:r>
              <w:rPr>
                <w:rFonts w:hint="eastAsia" w:ascii="仿宋" w:hAnsi="仿宋" w:eastAsia="仿宋" w:cs="仿宋"/>
                <w:color w:val="auto"/>
                <w:sz w:val="24"/>
                <w:szCs w:val="24"/>
                <w:lang w:eastAsia="zh-Hans"/>
              </w:rPr>
              <w:t>一</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sz w:val="24"/>
                <w:szCs w:val="24"/>
                <w:lang w:eastAsia="zh-Hans"/>
              </w:rPr>
              <w:t>得1分，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eastAsia="zh-Hans"/>
              </w:rPr>
              <w:t>3分</w:t>
            </w:r>
            <w:r>
              <w:rPr>
                <w:rFonts w:hint="eastAsia" w:ascii="仿宋" w:hAnsi="仿宋" w:eastAsia="仿宋" w:cs="仿宋"/>
                <w:color w:val="auto"/>
                <w:sz w:val="24"/>
                <w:szCs w:val="24"/>
                <w:lang w:eastAsia="zh-CN"/>
              </w:rPr>
              <w:t>。</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项目团队人员</w:t>
            </w:r>
          </w:p>
        </w:tc>
        <w:tc>
          <w:tcPr>
            <w:tcW w:w="3455" w:type="pct"/>
            <w:vAlign w:val="center"/>
          </w:tcPr>
          <w:p>
            <w:pPr>
              <w:rPr>
                <w:rFonts w:hint="eastAsia" w:ascii="仿宋" w:hAnsi="仿宋" w:eastAsia="仿宋" w:cs="仿宋"/>
                <w:color w:val="auto"/>
                <w:kern w:val="2"/>
                <w:sz w:val="24"/>
                <w:szCs w:val="24"/>
                <w:highlight w:val="none"/>
                <w:lang w:eastAsia="zh-Hans"/>
              </w:rPr>
            </w:pPr>
            <w:r>
              <w:rPr>
                <w:rFonts w:hint="eastAsia" w:ascii="仿宋" w:hAnsi="仿宋" w:eastAsia="仿宋" w:cs="仿宋"/>
                <w:color w:val="auto"/>
                <w:kern w:val="2"/>
                <w:sz w:val="24"/>
                <w:szCs w:val="24"/>
                <w:highlight w:val="none"/>
                <w:lang w:eastAsia="zh-Hans"/>
              </w:rPr>
              <w:t>1.投标人项目技术负责人具有OCP证书、阿里ACE云计算专家证书、HCIE证书，网络安全能力认证（CCSC）每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z w:val="24"/>
                <w:szCs w:val="24"/>
                <w:highlight w:val="none"/>
                <w:lang w:eastAsia="zh-Hans"/>
              </w:rPr>
            </w:pPr>
            <w:r>
              <w:rPr>
                <w:rFonts w:hint="eastAsia" w:ascii="仿宋" w:hAnsi="仿宋" w:eastAsia="仿宋" w:cs="仿宋"/>
                <w:color w:val="auto"/>
                <w:kern w:val="2"/>
                <w:sz w:val="24"/>
                <w:szCs w:val="24"/>
                <w:highlight w:val="none"/>
                <w:lang w:eastAsia="zh-Hans"/>
              </w:rPr>
              <w:t>2.售后服务负责人同时具有信息系统项目管理师高级证书、OCP证书、网络工程师和信息通讯技术高级工程师证书的，每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5</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技术指标</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完全满足招标文件技术参数配置要求的得1</w:t>
            </w:r>
            <w:r>
              <w:rPr>
                <w:rFonts w:hint="eastAsia" w:ascii="仿宋" w:hAnsi="仿宋" w:eastAsia="仿宋" w:cs="仿宋"/>
                <w:color w:val="auto"/>
                <w:spacing w:val="-2"/>
                <w:kern w:val="0"/>
                <w:sz w:val="24"/>
                <w:lang w:val="en-US" w:eastAsia="zh-CN"/>
              </w:rPr>
              <w:t>7</w:t>
            </w:r>
            <w:r>
              <w:rPr>
                <w:rFonts w:hint="eastAsia" w:ascii="仿宋" w:hAnsi="仿宋" w:eastAsia="仿宋" w:cs="仿宋"/>
                <w:color w:val="auto"/>
                <w:spacing w:val="-2"/>
                <w:kern w:val="0"/>
                <w:sz w:val="24"/>
                <w:lang w:eastAsia="zh-Hans"/>
              </w:rPr>
              <w:t>分，带▲的重要指标，每有一项负偏离扣3分，其他一般指标每有一项负偏离扣1分，扣完为止。含★为必须项,如有负偏离,作无效投标处理。非量化类的，若是功能一样，表述方式不一样则为符合，量化类的由评委视情况讨论决定。投标人须提供招标参数中要求提供的证书、认证、检测报告、截图等印证材料，否则视为负偏离。</w:t>
            </w:r>
          </w:p>
        </w:tc>
        <w:tc>
          <w:tcPr>
            <w:tcW w:w="366"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6</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设计方案</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1、根据投标人自行勘查现场后提供的系统架构图、网络架构图等等项目布局设计方案进行总体对比评分，完全满足或优于项目需求要求的得4.0-3.1分，基本符合项目需求的得3.0-2.1分，部分符合项目需求的得2-0.1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2、需根据绍兴地区卫生专网的现状，结合投标人自身技术条件情况，提供针对本项目的网络建设方案，依据方案的可行性进行打分，完全满足或优于项目需求要求的得2.0-1.1分，基本符合项目需求的得1.1-0.5分，部分符合项目需求的得0.5-0.1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3、目前已具备全市各级各类医疗卫生机构及卫生行政管理部门卫生专网的投标人，根据市场调研结果，需提供证明资料复印件，可得2分，不符合或不提供的不得分。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技术解决方案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项目总体技术解决方案（包括</w:t>
            </w:r>
            <w:r>
              <w:rPr>
                <w:rFonts w:hint="eastAsia" w:ascii="仿宋" w:hAnsi="仿宋" w:eastAsia="仿宋" w:cs="仿宋"/>
                <w:color w:val="auto"/>
                <w:spacing w:val="-2"/>
                <w:kern w:val="0"/>
                <w:sz w:val="24"/>
                <w:szCs w:val="24"/>
              </w:rPr>
              <w:t>对用户需求的理解程度，方案设计的合理性，系统设备的功能介绍等</w:t>
            </w:r>
            <w:r>
              <w:rPr>
                <w:rFonts w:hint="eastAsia" w:ascii="仿宋" w:hAnsi="仿宋" w:eastAsia="仿宋" w:cs="仿宋"/>
                <w:color w:val="auto"/>
                <w:kern w:val="0"/>
                <w:sz w:val="24"/>
                <w:szCs w:val="24"/>
              </w:rPr>
              <w:t>）</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3.1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施工组织方案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项目总体施工方案（包括实施流程计划、施工界面划分、施工进度安排、人力资源安排、施工安全及质量保证措施等）</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pStyle w:val="19"/>
              <w:ind w:left="0" w:leftChars="0" w:firstLine="118" w:firstLineChars="50"/>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9</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eastAsia="zh-CN"/>
              </w:rPr>
              <w:t>应急</w:t>
            </w:r>
            <w:r>
              <w:rPr>
                <w:rFonts w:hint="eastAsia" w:ascii="仿宋" w:hAnsi="仿宋" w:eastAsia="仿宋" w:cs="仿宋"/>
                <w:color w:val="auto"/>
                <w:spacing w:val="-2"/>
                <w:kern w:val="0"/>
                <w:sz w:val="24"/>
                <w:szCs w:val="24"/>
              </w:rPr>
              <w:t>方案</w:t>
            </w:r>
          </w:p>
        </w:tc>
        <w:tc>
          <w:tcPr>
            <w:tcW w:w="3455" w:type="pct"/>
            <w:vAlign w:val="center"/>
          </w:tcPr>
          <w:p>
            <w:pPr>
              <w:rPr>
                <w:rFonts w:hint="eastAsia" w:ascii="仿宋" w:hAnsi="仿宋" w:eastAsia="仿宋" w:cs="仿宋"/>
                <w:color w:val="auto"/>
                <w:kern w:val="0"/>
                <w:sz w:val="24"/>
                <w:szCs w:val="24"/>
              </w:rPr>
            </w:pPr>
            <w:r>
              <w:rPr>
                <w:rFonts w:hint="eastAsia" w:ascii="仿宋" w:hAnsi="仿宋" w:eastAsia="仿宋" w:cs="仿宋"/>
                <w:kern w:val="0"/>
                <w:sz w:val="24"/>
              </w:rPr>
              <w:t>按其提供的系统应急方案，根据方案设计是否合理，是否充分考虑用户实际使用需求，是否符合本项目对当前和未来发展的要求进行打分，优于项目需求的得</w:t>
            </w:r>
            <w:r>
              <w:rPr>
                <w:rFonts w:hint="eastAsia" w:ascii="仿宋" w:hAnsi="仿宋" w:eastAsia="仿宋" w:cs="仿宋"/>
                <w:kern w:val="0"/>
                <w:sz w:val="24"/>
                <w:lang w:val="en-US" w:eastAsia="zh-CN"/>
              </w:rPr>
              <w:t>3</w:t>
            </w: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.1分，符合项目需求的得</w:t>
            </w:r>
            <w:r>
              <w:rPr>
                <w:rFonts w:hint="eastAsia" w:ascii="仿宋" w:hAnsi="仿宋" w:eastAsia="仿宋" w:cs="仿宋"/>
                <w:kern w:val="0"/>
                <w:sz w:val="24"/>
                <w:lang w:val="en-US" w:eastAsia="zh-CN"/>
              </w:rPr>
              <w:t>2</w:t>
            </w:r>
            <w:r>
              <w:rPr>
                <w:rFonts w:hint="eastAsia" w:ascii="仿宋" w:hAnsi="仿宋" w:eastAsia="仿宋" w:cs="仿宋"/>
                <w:kern w:val="0"/>
                <w:sz w:val="24"/>
              </w:rPr>
              <w:t>.0-1.1分，部分符合项目需求的得1.0-0.1分，不符合不提供不得分。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10</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售后服务方案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项目售后服务方案（包括本地化售后服务机构、人员团队、服务流程、服务响应内容、服务质量保障体系、免费技术培训等）的针对性、合理性及完整程度等综合比较酌情评分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11</w:t>
            </w:r>
          </w:p>
        </w:tc>
        <w:tc>
          <w:tcPr>
            <w:tcW w:w="769" w:type="pct"/>
            <w:vAlign w:val="center"/>
          </w:tcPr>
          <w:p>
            <w:pP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互联互通对接兼容性</w:t>
            </w:r>
          </w:p>
        </w:tc>
        <w:tc>
          <w:tcPr>
            <w:tcW w:w="3455" w:type="pct"/>
            <w:vAlign w:val="center"/>
          </w:tcPr>
          <w:p>
            <w:pPr>
              <w:rPr>
                <w:rFonts w:hint="eastAsia" w:ascii="仿宋" w:hAnsi="仿宋" w:eastAsia="仿宋" w:cs="仿宋"/>
                <w:color w:val="auto"/>
                <w:kern w:val="0"/>
                <w:sz w:val="24"/>
                <w:szCs w:val="24"/>
                <w:lang w:val="en-US" w:eastAsia="zh-CN" w:bidi="ar-SA"/>
              </w:rPr>
            </w:pPr>
            <w:r>
              <w:rPr>
                <w:rFonts w:hint="eastAsia" w:ascii="仿宋" w:hAnsi="仿宋" w:eastAsia="仿宋" w:cs="仿宋"/>
                <w:b/>
                <w:bCs/>
                <w:color w:val="auto"/>
                <w:kern w:val="0"/>
                <w:sz w:val="24"/>
                <w:szCs w:val="24"/>
              </w:rPr>
              <w:t>要求由投标人</w:t>
            </w:r>
            <w:r>
              <w:rPr>
                <w:rFonts w:hint="eastAsia" w:ascii="仿宋" w:hAnsi="仿宋" w:eastAsia="仿宋" w:cs="仿宋"/>
                <w:b/>
                <w:bCs/>
                <w:color w:val="auto"/>
                <w:kern w:val="0"/>
                <w:sz w:val="24"/>
                <w:szCs w:val="24"/>
                <w:lang w:eastAsia="zh-CN"/>
              </w:rPr>
              <w:t>提供的</w:t>
            </w:r>
            <w:r>
              <w:rPr>
                <w:rFonts w:hint="eastAsia" w:ascii="仿宋" w:hAnsi="仿宋" w:eastAsia="仿宋" w:cs="仿宋"/>
                <w:color w:val="auto"/>
                <w:kern w:val="0"/>
                <w:sz w:val="24"/>
                <w:szCs w:val="24"/>
              </w:rPr>
              <w:t>多种硬件设备</w:t>
            </w:r>
            <w:r>
              <w:rPr>
                <w:rFonts w:hint="eastAsia" w:ascii="仿宋" w:hAnsi="仿宋" w:eastAsia="仿宋" w:cs="仿宋"/>
                <w:color w:val="auto"/>
                <w:kern w:val="0"/>
                <w:sz w:val="24"/>
                <w:szCs w:val="24"/>
                <w:lang w:eastAsia="zh-CN"/>
              </w:rPr>
              <w:t>与</w:t>
            </w:r>
            <w:r>
              <w:rPr>
                <w:rFonts w:hint="eastAsia" w:ascii="仿宋" w:hAnsi="仿宋" w:eastAsia="仿宋" w:cs="仿宋"/>
                <w:color w:val="auto"/>
                <w:kern w:val="0"/>
                <w:sz w:val="24"/>
                <w:szCs w:val="24"/>
              </w:rPr>
              <w:t>浙江省“生物安全在线”数智监管系统</w:t>
            </w:r>
            <w:r>
              <w:rPr>
                <w:rFonts w:hint="eastAsia" w:ascii="仿宋" w:hAnsi="仿宋" w:eastAsia="仿宋" w:cs="仿宋"/>
                <w:color w:val="auto"/>
                <w:kern w:val="0"/>
                <w:sz w:val="24"/>
                <w:szCs w:val="24"/>
                <w:lang w:eastAsia="zh-CN"/>
              </w:rPr>
              <w:t>互联互通对接方案进行综合评分，</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-0.1分，不符合或不提供的不得分</w:t>
            </w:r>
            <w:r>
              <w:rPr>
                <w:rFonts w:hint="eastAsia" w:ascii="仿宋" w:hAnsi="仿宋" w:eastAsia="仿宋" w:cs="仿宋"/>
                <w:color w:val="auto"/>
                <w:spacing w:val="-2"/>
                <w:kern w:val="0"/>
                <w:sz w:val="24"/>
                <w:szCs w:val="24"/>
                <w:lang w:eastAsia="zh-CN"/>
              </w:rPr>
              <w:t>。</w:t>
            </w:r>
          </w:p>
        </w:tc>
        <w:tc>
          <w:tcPr>
            <w:tcW w:w="366" w:type="pct"/>
            <w:vAlign w:val="center"/>
          </w:tcPr>
          <w:p>
            <w:pPr>
              <w:jc w:val="center"/>
              <w:rPr>
                <w:rFonts w:hint="eastAsia" w:ascii="仿宋" w:hAnsi="仿宋" w:eastAsia="仿宋" w:cs="仿宋"/>
                <w:color w:val="auto"/>
                <w:spacing w:val="-2"/>
                <w:kern w:val="0"/>
                <w:sz w:val="24"/>
                <w:szCs w:val="24"/>
                <w:lang w:val="en-US" w:eastAsia="zh-CN" w:bidi="ar-SA"/>
              </w:rPr>
            </w:pP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trPr>
        <w:tc>
          <w:tcPr>
            <w:tcW w:w="409" w:type="pct"/>
            <w:vMerge w:val="restar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2</w:t>
            </w:r>
          </w:p>
        </w:tc>
        <w:tc>
          <w:tcPr>
            <w:tcW w:w="769" w:type="pct"/>
            <w:vMerge w:val="restar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系统演示</w:t>
            </w: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要求提供一台生安眼终端作功能演示，演示如下内容：</w:t>
            </w:r>
          </w:p>
          <w:p>
            <w:pPr>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1、设备自检：通过点击内置系统的功能菜单，可实现自动检测硬件状态、各接入设备状态和各监控组件情况的功能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开箱自动监测：开机状态下通过钥匙开启机箱后，系统检测到开箱信息并告警；设备关机断电状态下，通过钥匙开启机箱后并复原，系统开机启动后，检测到开箱信息并告警；告警信息必须手工填报开箱原因后才能消除告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3、视频AI分析：支持防护服、面罩、护目镜、口罩算法，可对违规行为进行AI识别并预警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4、AI监控异常列表：显示所有不符合检测任务标准的异常情况，可按照发生时间、房间名称和报警行为对异常列表进行模糊搜索</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4分</w:t>
            </w:r>
          </w:p>
          <w:p>
            <w:pPr>
              <w:jc w:val="center"/>
              <w:rPr>
                <w:rFonts w:hint="eastAsia" w:ascii="仿宋" w:hAnsi="仿宋" w:eastAsia="仿宋" w:cs="仿宋"/>
                <w:color w:val="auto"/>
                <w:spacing w:val="-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要求提供一台移动运输箱（内置物联网卡），作“生物安全在线”数智监管系统平台对接演示，演示如下内容：</w:t>
            </w:r>
          </w:p>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1、运输监管功能：支持对运输箱进行扫码快速接收，支持查看运输箱的温度数据列表和温度变化曲线，支持送达交接与转运交接，并将运输状态业务数据上传至浙江省“生物安全在线”数智监管系统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2、运输异常预警：支持通过小程序端查看异常提醒功能。可查看当前运输单的温度、路线预警信息，并将预警处置结果上传至浙江省“生物安全在线”数智监管系统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b/>
                <w:bCs/>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8"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sz w:val="24"/>
              </w:rPr>
            </w:pPr>
            <w:r>
              <w:rPr>
                <w:rFonts w:hint="eastAsia" w:ascii="仿宋" w:hAnsi="仿宋" w:eastAsia="仿宋" w:cs="仿宋"/>
                <w:sz w:val="24"/>
              </w:rPr>
              <w:t>演示(讲解)：在评标时安排每个投标人进行</w:t>
            </w:r>
            <w:r>
              <w:rPr>
                <w:rFonts w:hint="eastAsia" w:ascii="仿宋" w:hAnsi="仿宋" w:eastAsia="仿宋" w:cs="仿宋"/>
                <w:sz w:val="24"/>
                <w:lang w:val="en-US" w:eastAsia="zh-CN"/>
              </w:rPr>
              <w:t>现场</w:t>
            </w:r>
            <w:r>
              <w:rPr>
                <w:rFonts w:hint="eastAsia" w:ascii="仿宋" w:hAnsi="仿宋" w:eastAsia="仿宋" w:cs="仿宋"/>
                <w:sz w:val="24"/>
              </w:rPr>
              <w:t>演示，演示后按要求解答评标委员会的提问。</w:t>
            </w:r>
          </w:p>
          <w:p>
            <w:pPr>
              <w:spacing w:line="360" w:lineRule="auto"/>
              <w:rPr>
                <w:rFonts w:hint="eastAsia" w:ascii="仿宋" w:hAnsi="仿宋" w:eastAsia="仿宋" w:cs="仿宋"/>
                <w:sz w:val="24"/>
              </w:rPr>
            </w:pPr>
            <w:r>
              <w:rPr>
                <w:rFonts w:hint="eastAsia" w:ascii="仿宋" w:hAnsi="仿宋" w:eastAsia="仿宋" w:cs="仿宋"/>
                <w:sz w:val="24"/>
              </w:rPr>
              <w:t>演示设备：演示所需设备由投标人自行准备。</w:t>
            </w:r>
          </w:p>
          <w:p>
            <w:pPr>
              <w:spacing w:line="360" w:lineRule="auto"/>
              <w:rPr>
                <w:rFonts w:hint="eastAsia" w:ascii="仿宋" w:hAnsi="仿宋" w:eastAsia="仿宋" w:cs="仿宋"/>
                <w:sz w:val="24"/>
              </w:rPr>
            </w:pPr>
            <w:r>
              <w:rPr>
                <w:rFonts w:hint="eastAsia" w:ascii="仿宋" w:hAnsi="仿宋" w:eastAsia="仿宋" w:cs="仿宋"/>
                <w:sz w:val="24"/>
              </w:rPr>
              <w:t>演示时间：每个投标人演示开始前的调试准备时间不超过</w:t>
            </w:r>
            <w:r>
              <w:rPr>
                <w:rFonts w:hint="eastAsia" w:ascii="仿宋" w:hAnsi="仿宋" w:eastAsia="仿宋" w:cs="仿宋"/>
                <w:sz w:val="24"/>
                <w:lang w:val="en-US" w:eastAsia="zh-CN"/>
              </w:rPr>
              <w:t>10</w:t>
            </w:r>
            <w:r>
              <w:rPr>
                <w:rFonts w:hint="eastAsia" w:ascii="仿宋" w:hAnsi="仿宋" w:eastAsia="仿宋" w:cs="仿宋"/>
                <w:sz w:val="24"/>
              </w:rPr>
              <w:t>分钟，演示时间不超过</w:t>
            </w:r>
            <w:r>
              <w:rPr>
                <w:rFonts w:hint="eastAsia" w:ascii="仿宋" w:hAnsi="仿宋" w:eastAsia="仿宋" w:cs="仿宋"/>
                <w:sz w:val="24"/>
                <w:lang w:val="en-US" w:eastAsia="zh-CN"/>
              </w:rPr>
              <w:t>10</w:t>
            </w:r>
            <w:r>
              <w:rPr>
                <w:rFonts w:hint="eastAsia" w:ascii="仿宋" w:hAnsi="仿宋" w:eastAsia="仿宋" w:cs="仿宋"/>
                <w:sz w:val="24"/>
              </w:rPr>
              <w:t>分钟，不包含评委提问解答时间。</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要求提供实验室设立单位数据平台（渲染图片或视频DEMO不得分），演示如下内容：</w:t>
            </w:r>
          </w:p>
          <w:p>
            <w:pPr>
              <w:rPr>
                <w:rFonts w:hint="eastAsia" w:ascii="仿宋" w:hAnsi="仿宋" w:eastAsia="仿宋" w:cs="仿宋"/>
                <w:sz w:val="24"/>
              </w:rPr>
            </w:pPr>
            <w:r>
              <w:rPr>
                <w:rFonts w:hint="eastAsia" w:ascii="仿宋" w:hAnsi="仿宋" w:eastAsia="仿宋" w:cs="仿宋"/>
                <w:sz w:val="24"/>
              </w:rPr>
              <w:t>1、实验室设立单位总体概况：展示实验室设立单位下属实验室数量、已备案情况、人员以及设备数量</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2、实验室人员进出统计：对当日、当月实验室进出人数进行统计，并实时展示人员进出通过门禁时的照片、姓名以及时间</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3、实验室活动管理：统计呈现下属实验室可完成病毒类、细菌、放线菌类、真菌类、以及其他菌种类别的实验活动，支持查看类别下各菌种名称以及危害程度分类等信息</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4、实验室生物安全评价：支持查看下属实验室自查、检查问题情况，包括问题总数、已整改未整改情况。同时，支持查看八大项维度方面实验室的评价得分</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5、实验室画像（视频监控画面）：支持将实验室设立单位下属各实验室视频监控画面进行切换播放。同时，在视频监控画面里对人员着装、是否佩戴口罩、防护帽等通过多维度做实时预警与呈现</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6、实时监测信息：针对环境、设施设备、人员行为进行实时监测分析</w:t>
            </w:r>
            <w:r>
              <w:rPr>
                <w:rFonts w:hint="eastAsia" w:ascii="仿宋" w:hAnsi="仿宋" w:eastAsia="仿宋" w:cs="仿宋"/>
                <w:sz w:val="24"/>
                <w:lang w:eastAsia="zh-CN"/>
              </w:rPr>
              <w:t>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7、风险管控：对实验室内环境、设施设备、人员行为的实时监测，以及在实验室内自查与飞行检查出来的问题，进行实验室问题汇总管控</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pStyle w:val="2"/>
              <w:rPr>
                <w:rFonts w:hint="eastAsia" w:ascii="仿宋" w:hAnsi="仿宋" w:eastAsia="仿宋" w:cs="仿宋"/>
                <w:sz w:val="24"/>
                <w:szCs w:val="24"/>
              </w:rPr>
            </w:pPr>
            <w:r>
              <w:rPr>
                <w:rFonts w:hint="eastAsia" w:ascii="仿宋" w:hAnsi="仿宋" w:eastAsia="仿宋" w:cs="仿宋"/>
                <w:kern w:val="0"/>
                <w:sz w:val="24"/>
                <w:szCs w:val="24"/>
              </w:rPr>
              <w:t>仅以PPT等非系统演示的</w:t>
            </w:r>
            <w:r>
              <w:rPr>
                <w:rFonts w:hint="eastAsia" w:ascii="仿宋" w:hAnsi="仿宋" w:eastAsia="仿宋" w:cs="仿宋"/>
                <w:kern w:val="0"/>
                <w:sz w:val="24"/>
                <w:szCs w:val="24"/>
                <w:lang w:eastAsia="zh-CN"/>
              </w:rPr>
              <w:t>不</w:t>
            </w:r>
            <w:r>
              <w:rPr>
                <w:rFonts w:hint="eastAsia" w:ascii="仿宋" w:hAnsi="仿宋" w:eastAsia="仿宋" w:cs="仿宋"/>
                <w:kern w:val="0"/>
                <w:sz w:val="24"/>
                <w:szCs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13</w:t>
            </w:r>
          </w:p>
        </w:tc>
        <w:tc>
          <w:tcPr>
            <w:tcW w:w="769"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实质性优惠</w:t>
            </w:r>
          </w:p>
        </w:tc>
        <w:tc>
          <w:tcPr>
            <w:tcW w:w="3455" w:type="pct"/>
            <w:vAlign w:val="center"/>
          </w:tcPr>
          <w:p>
            <w:pPr>
              <w:rPr>
                <w:rFonts w:hint="eastAsia" w:ascii="仿宋" w:hAnsi="仿宋" w:eastAsia="仿宋" w:cs="仿宋"/>
                <w:color w:val="auto"/>
                <w:kern w:val="0"/>
                <w:sz w:val="24"/>
                <w:szCs w:val="24"/>
                <w:lang w:val="en-US" w:eastAsia="zh-CN"/>
              </w:rPr>
            </w:pPr>
            <w:r>
              <w:rPr>
                <w:rFonts w:hint="eastAsia" w:ascii="仿宋" w:hAnsi="仿宋" w:eastAsia="仿宋" w:cs="仿宋"/>
                <w:color w:val="000000" w:themeColor="text1"/>
                <w:sz w:val="24"/>
              </w:rPr>
              <w:t>根据投标人提供的</w:t>
            </w:r>
            <w:r>
              <w:rPr>
                <w:rFonts w:hint="eastAsia" w:ascii="仿宋" w:hAnsi="仿宋" w:eastAsia="仿宋" w:cs="仿宋"/>
                <w:sz w:val="24"/>
              </w:rPr>
              <w:t>对项目具有实质性优惠措施进行打分，优于招标文件要求的得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分，符合招标文件要求的得</w:t>
            </w:r>
            <w:r>
              <w:rPr>
                <w:rFonts w:hint="eastAsia" w:ascii="仿宋" w:hAnsi="仿宋" w:eastAsia="仿宋" w:cs="仿宋"/>
                <w:sz w:val="24"/>
                <w:lang w:val="en-US" w:eastAsia="zh-CN"/>
              </w:rPr>
              <w:t>1.5</w:t>
            </w:r>
            <w:r>
              <w:rPr>
                <w:rFonts w:hint="eastAsia" w:ascii="仿宋" w:hAnsi="仿宋" w:eastAsia="仿宋" w:cs="仿宋"/>
                <w:sz w:val="24"/>
              </w:rPr>
              <w:t>-</w:t>
            </w:r>
            <w:r>
              <w:rPr>
                <w:rFonts w:hint="eastAsia" w:ascii="仿宋" w:hAnsi="仿宋" w:eastAsia="仿宋" w:cs="仿宋"/>
                <w:sz w:val="24"/>
                <w:lang w:val="en-US" w:eastAsia="zh-CN"/>
              </w:rPr>
              <w:t>0.6</w:t>
            </w:r>
            <w:r>
              <w:rPr>
                <w:rFonts w:hint="eastAsia" w:ascii="仿宋" w:hAnsi="仿宋" w:eastAsia="仿宋" w:cs="仿宋"/>
                <w:sz w:val="24"/>
              </w:rPr>
              <w:t>分，部分符合招标文件要求的得</w:t>
            </w:r>
            <w:r>
              <w:rPr>
                <w:rFonts w:hint="eastAsia" w:ascii="仿宋" w:hAnsi="仿宋" w:eastAsia="仿宋" w:cs="仿宋"/>
                <w:sz w:val="24"/>
                <w:lang w:val="en-US" w:eastAsia="zh-CN"/>
              </w:rPr>
              <w:t>0.5</w:t>
            </w:r>
            <w:r>
              <w:rPr>
                <w:rFonts w:hint="eastAsia" w:ascii="仿宋" w:hAnsi="仿宋" w:eastAsia="仿宋" w:cs="仿宋"/>
                <w:sz w:val="24"/>
              </w:rPr>
              <w:t>-0.1分，不符合不得分。</w:t>
            </w:r>
          </w:p>
        </w:tc>
        <w:tc>
          <w:tcPr>
            <w:tcW w:w="366" w:type="pct"/>
            <w:vAlign w:val="center"/>
          </w:tcPr>
          <w:p>
            <w:pPr>
              <w:jc w:val="center"/>
              <w:rPr>
                <w:rFonts w:hint="eastAsia"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2</w:t>
            </w:r>
          </w:p>
        </w:tc>
      </w:tr>
    </w:tbl>
    <w:p>
      <w:pPr>
        <w:spacing w:line="440" w:lineRule="exact"/>
        <w:rPr>
          <w:rFonts w:ascii="仿宋_GB2312" w:hAnsi="宋体" w:eastAsia="仿宋_GB2312"/>
          <w:b/>
          <w:bCs/>
          <w:iCs/>
          <w:sz w:val="24"/>
        </w:rPr>
      </w:pPr>
      <w:r>
        <w:rPr>
          <w:rFonts w:hint="eastAsia" w:ascii="仿宋_GB2312" w:hAnsi="宋体" w:eastAsia="仿宋_GB2312"/>
          <w:b/>
          <w:bCs/>
          <w:iCs/>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alt="" type="#_x0000_t75" style="height:42pt;width:390pt;" o:ole="t" filled="f" o:preferrelative="t" stroked="f" coordsize="21600,21600">
            <v:path/>
            <v:fill on="f" focussize="0,0"/>
            <v:stroke on="f"/>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pStyle w:val="191"/>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（7）投标人售后服务证明材料……………………………………………………（页码）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pStyle w:val="191"/>
        <w:spacing w:line="360" w:lineRule="auto"/>
        <w:ind w:left="0" w:firstLine="0" w:firstLineChars="0"/>
        <w:rPr>
          <w:rFonts w:hAnsi="仿宋_GB2312" w:cs="仿宋_GB2312"/>
        </w:rPr>
      </w:pPr>
      <w:r>
        <w:rPr>
          <w:rFonts w:hint="eastAsia" w:hAnsi="仿宋_GB2312" w:cs="仿宋_GB2312"/>
        </w:rPr>
        <w:t>（10）技术解决方案………………………………………………………………（页码）</w:t>
      </w:r>
    </w:p>
    <w:p>
      <w:pPr>
        <w:pStyle w:val="191"/>
        <w:spacing w:line="360" w:lineRule="auto"/>
        <w:ind w:left="0" w:firstLine="0" w:firstLineChars="0"/>
        <w:rPr>
          <w:rFonts w:hAnsi="仿宋_GB2312" w:cs="仿宋_GB2312"/>
        </w:rPr>
      </w:pPr>
      <w:r>
        <w:rPr>
          <w:rFonts w:hint="eastAsia" w:hAnsi="仿宋_GB2312" w:cs="仿宋_GB2312"/>
        </w:rPr>
        <w:t>（11）技术偏离说明表……………………………………………………………（页码）</w:t>
      </w:r>
    </w:p>
    <w:p>
      <w:pPr>
        <w:pStyle w:val="191"/>
        <w:spacing w:line="360" w:lineRule="auto"/>
        <w:ind w:left="0" w:firstLine="0" w:firstLineChars="0"/>
        <w:rPr>
          <w:rFonts w:hAnsi="仿宋_GB2312" w:cs="仿宋_GB2312"/>
        </w:rPr>
      </w:pPr>
      <w:r>
        <w:rPr>
          <w:rFonts w:hint="eastAsia" w:hAnsi="仿宋_GB2312" w:cs="仿宋_GB2312"/>
        </w:rPr>
        <w:t>（12）组织实施方案………………………………………………………………（页码）</w:t>
      </w:r>
    </w:p>
    <w:p>
      <w:pPr>
        <w:pStyle w:val="191"/>
        <w:spacing w:line="360" w:lineRule="auto"/>
        <w:ind w:left="0" w:firstLine="0" w:firstLineChars="0"/>
        <w:rPr>
          <w:rFonts w:hAnsi="仿宋_GB2312" w:cs="仿宋_GB2312"/>
        </w:rPr>
      </w:pPr>
      <w:r>
        <w:rPr>
          <w:rFonts w:hint="eastAsia" w:hAnsi="仿宋_GB2312" w:cs="仿宋_GB2312"/>
        </w:rPr>
        <w:t>（13）售后服务方案………………………………………………………………（页码）</w:t>
      </w:r>
    </w:p>
    <w:p>
      <w:pPr>
        <w:pStyle w:val="191"/>
        <w:spacing w:line="360" w:lineRule="auto"/>
        <w:ind w:left="0" w:firstLine="0" w:firstLineChars="0"/>
        <w:rPr>
          <w:rFonts w:hAnsi="仿宋_GB2312" w:cs="仿宋_GB2312"/>
        </w:rPr>
      </w:pPr>
      <w:r>
        <w:rPr>
          <w:rFonts w:hint="eastAsia" w:hAnsi="仿宋_GB2312" w:cs="仿宋_GB2312"/>
        </w:rPr>
        <w:t>（14）项目小组人员名单…………………………………………………………（页码）</w:t>
      </w:r>
    </w:p>
    <w:p>
      <w:pPr>
        <w:pStyle w:val="191"/>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（22）中小企业声明函</w:t>
      </w:r>
      <w:r>
        <w:rPr>
          <w:rFonts w:hint="eastAsia" w:hAnsi="仿宋_GB2312" w:cs="仿宋_GB2312"/>
          <w:lang w:val="zh-CN"/>
        </w:rPr>
        <w:t>（如有）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 w:hAnsi="仿宋" w:eastAsia="仿宋" w:cs="仿宋"/>
          <w:sz w:val="24"/>
          <w:u w:val="single"/>
        </w:rPr>
        <w:t>（项目名称）（招标编号:）</w:t>
      </w:r>
      <w:r>
        <w:rPr>
          <w:rFonts w:hint="eastAsia" w:ascii="仿宋_GB2312" w:hAnsi="仿宋" w:eastAsia="仿宋_GB2312" w:cs="仿宋_GB2312"/>
          <w:sz w:val="24"/>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alt="" type="#_x0000_t75" style="height:42pt;width:442.5pt;" o:ole="t" filled="f" o:preferrelative="t" stroked="f" coordsize="21600,21600">
            <v:path/>
            <v:fill on="f" focussize="0,0"/>
            <v:stroke on="f"/>
            <v:imagedata r:id="rId20" o:title=""/>
            <o:lock v:ext="edit" aspectratio="t"/>
            <w10:wrap type="none"/>
            <w10:anchorlock/>
          </v:shape>
          <o:OLEObject Type="Embed" ProgID="Package" ShapeID="_x0000_i1026" DrawAspect="Content" ObjectID="_1468075726" r:id="rId19">
            <o:LockedField>false</o:LockedField>
          </o:OLEObject>
        </w:object>
      </w:r>
      <w:r>
        <w:rPr>
          <w:rFonts w:ascii="仿宋_GB2312" w:hAnsi="仿宋_GB2312" w:eastAsia="仿宋_GB2312" w:cs="仿宋_GB2312"/>
          <w:b/>
          <w:kern w:val="0"/>
          <w:sz w:val="28"/>
          <w:szCs w:val="28"/>
        </w:rPr>
        <w:object>
          <v:shape id="_x0000_i1027" o:spt="75" alt="" type="#_x0000_t75" style="height:42pt;width:441.75pt;" o:ole="t" filled="f" o:preferrelative="t" stroked="f" coordsize="21600,21600">
            <v:path/>
            <v:fill on="f" focussize="0,0"/>
            <v:stroke on="f"/>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alt="" type="#_x0000_t75" style="height:42pt;width:390pt;" o:ole="t" filled="f" o:preferrelative="t" stroked="f" coordsize="21600,21600">
            <v:path/>
            <v:fill on="f" focussize="0,0"/>
            <v:stroke on="f"/>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6"/>
    </w:pP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default" w:eastAsia="宋体"/>
        <w:lang w:val="en-US" w:eastAsia="zh-CN"/>
      </w:rPr>
    </w:pPr>
    <w:r>
      <w:rPr>
        <w:rFonts w:hint="eastAsia"/>
        <w:lang w:val="en-US" w:eastAsia="zh-CN"/>
      </w:rPr>
      <w:t xml:space="preserve">华诚工程咨询集团有限公司  </w:t>
    </w:r>
    <w:r>
      <w:rPr>
        <w:rFonts w:hint="eastAsia"/>
      </w:rPr>
      <w:t xml:space="preserve">                                招标文件招标编号:HC</w:t>
    </w:r>
    <w:r>
      <w:rPr>
        <w:rFonts w:hint="eastAsia"/>
        <w:lang w:val="en-US" w:eastAsia="zh-CN"/>
      </w:rPr>
      <w:t>ZB</w:t>
    </w:r>
    <w:r>
      <w:rPr>
        <w:rFonts w:hint="eastAsia"/>
      </w:rPr>
      <w:t>-2022-0</w:t>
    </w:r>
    <w:r>
      <w:rPr>
        <w:rFonts w:hint="eastAsia"/>
        <w:lang w:val="en-US" w:eastAsia="zh-CN"/>
      </w:rPr>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rPr>
      <w:t xml:space="preserve">华诚工程咨询集团有限公司                         </w:t>
    </w:r>
    <w:r>
      <w:rPr>
        <w:rFonts w:hint="eastAsia"/>
        <w:lang w:val="en-US" w:eastAsia="zh-CN"/>
      </w:rPr>
      <w:t xml:space="preserve">      </w:t>
    </w:r>
    <w:r>
      <w:rPr>
        <w:rFonts w:hint="eastAsia"/>
      </w:rPr>
      <w:t xml:space="preserve">      招标编号:HC</w:t>
    </w:r>
    <w:r>
      <w:rPr>
        <w:rFonts w:hint="eastAsia"/>
        <w:lang w:val="en-US" w:eastAsia="zh-CN"/>
      </w:rPr>
      <w:t>ZB</w:t>
    </w:r>
    <w:r>
      <w:rPr>
        <w:rFonts w:hint="eastAsia"/>
      </w:rPr>
      <w:t>-2022-0</w:t>
    </w:r>
    <w:r>
      <w:rPr>
        <w:rFonts w:hint="eastAsia"/>
        <w:lang w:val="en-US" w:eastAsia="zh-CN"/>
      </w:rPr>
      <w:t xml:space="preserve">14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lang w:val="en-US" w:eastAsia="zh-CN"/>
      </w:rPr>
      <w:t>华诚工程咨询集团有限公司                              招标文件招标编号：HCZB-2022-014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招标文件招标编号：HCZB-2022-014</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招标文件招标编号：HCZB-2022-014</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招标文件招标编号：HCZB-2022-014</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1AE9"/>
    <w:multiLevelType w:val="singleLevel"/>
    <w:tmpl w:val="D7221AE9"/>
    <w:lvl w:ilvl="0" w:tentative="0">
      <w:start w:val="1"/>
      <w:numFmt w:val="decimal"/>
      <w:suff w:val="nothing"/>
      <w:lvlText w:val="%1"/>
      <w:lvlJc w:val="left"/>
      <w:pPr>
        <w:ind w:left="0" w:firstLine="420"/>
      </w:pPr>
      <w:rPr>
        <w:rFonts w:hint="default"/>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73D6F2"/>
    <w:multiLevelType w:val="singleLevel"/>
    <w:tmpl w:val="0073D6F2"/>
    <w:lvl w:ilvl="0" w:tentative="0">
      <w:start w:val="1"/>
      <w:numFmt w:val="decimal"/>
      <w:suff w:val="nothing"/>
      <w:lvlText w:val="（%1）"/>
      <w:lvlJc w:val="left"/>
    </w:lvl>
  </w:abstractNum>
  <w:abstractNum w:abstractNumId="5">
    <w:nsid w:val="0C30A3B1"/>
    <w:multiLevelType w:val="singleLevel"/>
    <w:tmpl w:val="0C30A3B1"/>
    <w:lvl w:ilvl="0" w:tentative="0">
      <w:start w:val="1"/>
      <w:numFmt w:val="decimal"/>
      <w:suff w:val="space"/>
      <w:lvlText w:val="(%1)"/>
      <w:lvlJc w:val="left"/>
    </w:lvl>
  </w:abstractNum>
  <w:abstractNum w:abstractNumId="6">
    <w:nsid w:val="3683B75B"/>
    <w:multiLevelType w:val="singleLevel"/>
    <w:tmpl w:val="3683B75B"/>
    <w:lvl w:ilvl="0" w:tentative="0">
      <w:start w:val="1"/>
      <w:numFmt w:val="decimal"/>
      <w:suff w:val="space"/>
      <w:lvlText w:val="(%1)"/>
      <w:lvlJc w:val="left"/>
    </w:lvl>
  </w:abstractNum>
  <w:abstractNum w:abstractNumId="7">
    <w:nsid w:val="55A64084"/>
    <w:multiLevelType w:val="singleLevel"/>
    <w:tmpl w:val="55A64084"/>
    <w:lvl w:ilvl="0" w:tentative="0">
      <w:start w:val="1"/>
      <w:numFmt w:val="chineseCounting"/>
      <w:suff w:val="space"/>
      <w:lvlText w:val="第%1部分"/>
      <w:lvlJc w:val="left"/>
      <w:rPr>
        <w:rFonts w:hint="eastAsia"/>
      </w:rPr>
    </w:lvl>
  </w:abstractNum>
  <w:abstractNum w:abstractNumId="8">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0">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2"/>
  </w:num>
  <w:num w:numId="3">
    <w:abstractNumId w:val="1"/>
  </w:num>
  <w:num w:numId="4">
    <w:abstractNumId w:val="10"/>
  </w:num>
  <w:num w:numId="5">
    <w:abstractNumId w:val="9"/>
  </w:num>
  <w:num w:numId="6">
    <w:abstractNumId w:val="7"/>
  </w:num>
  <w:num w:numId="7">
    <w:abstractNumId w:val="4"/>
  </w:num>
  <w:num w:numId="8">
    <w:abstractNumId w:val="11"/>
  </w:num>
  <w:num w:numId="9">
    <w:abstractNumId w:val="0"/>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626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2820DE0"/>
    <w:rsid w:val="074804D3"/>
    <w:rsid w:val="07F5068E"/>
    <w:rsid w:val="092B34F0"/>
    <w:rsid w:val="0DA50108"/>
    <w:rsid w:val="0DE978E6"/>
    <w:rsid w:val="0E727302"/>
    <w:rsid w:val="0F2D2B66"/>
    <w:rsid w:val="129259B9"/>
    <w:rsid w:val="134C274B"/>
    <w:rsid w:val="1C3247DE"/>
    <w:rsid w:val="1F8C6C4C"/>
    <w:rsid w:val="21A07278"/>
    <w:rsid w:val="249B690D"/>
    <w:rsid w:val="24D06C0B"/>
    <w:rsid w:val="26D3659F"/>
    <w:rsid w:val="26E50FB9"/>
    <w:rsid w:val="279F6D61"/>
    <w:rsid w:val="2ECD6CBC"/>
    <w:rsid w:val="33865964"/>
    <w:rsid w:val="36D81430"/>
    <w:rsid w:val="39114B8E"/>
    <w:rsid w:val="39150801"/>
    <w:rsid w:val="39672617"/>
    <w:rsid w:val="3B8444FC"/>
    <w:rsid w:val="3C902C47"/>
    <w:rsid w:val="41146C25"/>
    <w:rsid w:val="41E50C8A"/>
    <w:rsid w:val="427331A2"/>
    <w:rsid w:val="44213949"/>
    <w:rsid w:val="46FF308C"/>
    <w:rsid w:val="47097929"/>
    <w:rsid w:val="47890DCE"/>
    <w:rsid w:val="488D2A5A"/>
    <w:rsid w:val="48E4047E"/>
    <w:rsid w:val="535E40FE"/>
    <w:rsid w:val="58F32B99"/>
    <w:rsid w:val="591B31BB"/>
    <w:rsid w:val="5CA57CDE"/>
    <w:rsid w:val="5EAB17F0"/>
    <w:rsid w:val="653F7D14"/>
    <w:rsid w:val="666344C6"/>
    <w:rsid w:val="684D1945"/>
    <w:rsid w:val="685927E7"/>
    <w:rsid w:val="69D11A2C"/>
    <w:rsid w:val="6DC90FA3"/>
    <w:rsid w:val="6DF22EC0"/>
    <w:rsid w:val="71AE1DA3"/>
    <w:rsid w:val="725372C4"/>
    <w:rsid w:val="72E87C49"/>
    <w:rsid w:val="743401C9"/>
    <w:rsid w:val="746A5998"/>
    <w:rsid w:val="75F64FD2"/>
    <w:rsid w:val="784309DA"/>
    <w:rsid w:val="78873879"/>
    <w:rsid w:val="78912319"/>
    <w:rsid w:val="79D94471"/>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6"/>
    <w:qFormat/>
    <w:uiPriority w:val="0"/>
    <w:pPr>
      <w:keepNext/>
      <w:widowControl/>
      <w:numPr>
        <w:ilvl w:val="0"/>
        <w:numId w:val="4"/>
      </w:numPr>
      <w:jc w:val="left"/>
      <w:outlineLvl w:val="4"/>
    </w:pPr>
    <w:rPr>
      <w:kern w:val="0"/>
      <w:sz w:val="24"/>
      <w:szCs w:val="20"/>
    </w:rPr>
  </w:style>
  <w:style w:type="paragraph" w:styleId="9">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1"/>
    <w:qFormat/>
    <w:uiPriority w:val="0"/>
    <w:rPr>
      <w:rFonts w:ascii="宋体" w:hAnsi="Courier New"/>
      <w:szCs w:val="20"/>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7"/>
    <w:semiHidden/>
    <w:qFormat/>
    <w:uiPriority w:val="0"/>
    <w:pPr>
      <w:shd w:val="clear" w:color="auto" w:fill="000080"/>
    </w:pPr>
  </w:style>
  <w:style w:type="paragraph" w:styleId="17">
    <w:name w:val="annotation text"/>
    <w:basedOn w:val="1"/>
    <w:link w:val="69"/>
    <w:qFormat/>
    <w:uiPriority w:val="0"/>
    <w:pPr>
      <w:jc w:val="left"/>
    </w:pPr>
  </w:style>
  <w:style w:type="paragraph" w:styleId="18">
    <w:name w:val="Body Text"/>
    <w:basedOn w:val="1"/>
    <w:next w:val="1"/>
    <w:link w:val="82"/>
    <w:qFormat/>
    <w:uiPriority w:val="0"/>
    <w:pPr>
      <w:spacing w:line="360" w:lineRule="auto"/>
    </w:pPr>
    <w:rPr>
      <w:rFonts w:eastAsia="仿宋_GB2312"/>
      <w:sz w:val="28"/>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0"/>
    <w:pPr>
      <w:spacing w:after="120" w:line="480" w:lineRule="auto"/>
      <w:ind w:left="420" w:leftChars="200"/>
    </w:pPr>
  </w:style>
  <w:style w:type="paragraph" w:styleId="25">
    <w:name w:val="Balloon Text"/>
    <w:basedOn w:val="1"/>
    <w:link w:val="197"/>
    <w:semiHidden/>
    <w:qFormat/>
    <w:uiPriority w:val="0"/>
    <w:rPr>
      <w:sz w:val="18"/>
      <w:szCs w:val="18"/>
    </w:rPr>
  </w:style>
  <w:style w:type="paragraph" w:styleId="26">
    <w:name w:val="footer"/>
    <w:basedOn w:val="1"/>
    <w:link w:val="66"/>
    <w:qFormat/>
    <w:uiPriority w:val="99"/>
    <w:pPr>
      <w:tabs>
        <w:tab w:val="center" w:pos="4153"/>
        <w:tab w:val="right" w:pos="8306"/>
      </w:tabs>
      <w:snapToGrid w:val="0"/>
      <w:jc w:val="left"/>
    </w:pPr>
    <w:rPr>
      <w:sz w:val="18"/>
      <w:szCs w:val="18"/>
    </w:rPr>
  </w:style>
  <w:style w:type="paragraph" w:styleId="27">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8"/>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7"/>
    <w:next w:val="17"/>
    <w:link w:val="200"/>
    <w:semiHidden/>
    <w:qFormat/>
    <w:uiPriority w:val="0"/>
    <w:pPr>
      <w:widowControl/>
      <w:spacing w:afterLines="50"/>
    </w:pPr>
    <w:rPr>
      <w:b/>
      <w:bCs/>
      <w:kern w:val="0"/>
      <w:sz w:val="24"/>
      <w:szCs w:val="20"/>
    </w:rPr>
  </w:style>
  <w:style w:type="paragraph" w:styleId="39">
    <w:name w:val="Body Text First Indent"/>
    <w:basedOn w:val="18"/>
    <w:next w:val="1"/>
    <w:link w:val="201"/>
    <w:qFormat/>
    <w:uiPriority w:val="0"/>
    <w:pPr>
      <w:spacing w:after="120" w:line="240" w:lineRule="auto"/>
      <w:ind w:firstLine="420" w:firstLineChars="100"/>
    </w:pPr>
    <w:rPr>
      <w:rFonts w:eastAsia="宋体"/>
      <w:sz w:val="21"/>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5"/>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6"/>
    <w:qFormat/>
    <w:uiPriority w:val="0"/>
    <w:rPr>
      <w:rFonts w:eastAsia="仿宋_GB2312"/>
      <w:b/>
      <w:kern w:val="2"/>
      <w:sz w:val="32"/>
      <w:lang w:val="en-US" w:eastAsia="zh-CN" w:bidi="ar-SA"/>
    </w:rPr>
  </w:style>
  <w:style w:type="character" w:customStyle="1" w:styleId="55">
    <w:name w:val="标题 4 Char1"/>
    <w:link w:val="7"/>
    <w:qFormat/>
    <w:uiPriority w:val="0"/>
    <w:rPr>
      <w:rFonts w:ascii="Arial" w:hAnsi="Arial" w:eastAsia="黑体"/>
      <w:b/>
      <w:kern w:val="2"/>
      <w:sz w:val="28"/>
      <w:lang w:val="en-US" w:eastAsia="zh-CN" w:bidi="ar-SA"/>
    </w:rPr>
  </w:style>
  <w:style w:type="character" w:customStyle="1" w:styleId="56">
    <w:name w:val="标题 5 Char1"/>
    <w:link w:val="8"/>
    <w:qFormat/>
    <w:uiPriority w:val="0"/>
    <w:rPr>
      <w:rFonts w:eastAsia="宋体"/>
      <w:sz w:val="24"/>
      <w:lang w:val="en-US" w:eastAsia="zh-CN" w:bidi="ar-SA"/>
    </w:rPr>
  </w:style>
  <w:style w:type="character" w:customStyle="1" w:styleId="57">
    <w:name w:val="标题 6 Char1"/>
    <w:link w:val="9"/>
    <w:qFormat/>
    <w:uiPriority w:val="0"/>
    <w:rPr>
      <w:rFonts w:ascii="宋体" w:hAnsi="Arial" w:eastAsia="宋体"/>
      <w:sz w:val="24"/>
      <w:lang w:val="en-US" w:eastAsia="zh-CN" w:bidi="ar-SA"/>
    </w:rPr>
  </w:style>
  <w:style w:type="character" w:customStyle="1" w:styleId="58">
    <w:name w:val="标题 7 Char1"/>
    <w:link w:val="10"/>
    <w:qFormat/>
    <w:uiPriority w:val="0"/>
    <w:rPr>
      <w:rFonts w:ascii="宋体" w:hAnsi="Arial" w:eastAsia="宋体"/>
      <w:b/>
      <w:sz w:val="24"/>
      <w:lang w:val="en-US" w:eastAsia="zh-CN" w:bidi="ar-SA"/>
    </w:rPr>
  </w:style>
  <w:style w:type="character" w:customStyle="1" w:styleId="59">
    <w:name w:val="标题 8 Char1"/>
    <w:link w:val="11"/>
    <w:qFormat/>
    <w:uiPriority w:val="0"/>
    <w:rPr>
      <w:rFonts w:ascii="Arial" w:hAnsi="Arial" w:eastAsia="黑体"/>
      <w:sz w:val="24"/>
      <w:lang w:val="en-US" w:eastAsia="zh-CN" w:bidi="ar-SA"/>
    </w:rPr>
  </w:style>
  <w:style w:type="character" w:customStyle="1" w:styleId="60">
    <w:name w:val="标题 9 Char1"/>
    <w:link w:val="12"/>
    <w:qFormat/>
    <w:uiPriority w:val="0"/>
    <w:rPr>
      <w:rFonts w:ascii="Arial" w:hAnsi="Arial" w:eastAsia="黑体"/>
      <w:sz w:val="24"/>
      <w:lang w:val="en-US" w:eastAsia="zh-CN" w:bidi="ar-SA"/>
    </w:rPr>
  </w:style>
  <w:style w:type="character" w:customStyle="1" w:styleId="61">
    <w:name w:val="纯文本 Char"/>
    <w:link w:val="2"/>
    <w:qFormat/>
    <w:uiPriority w:val="0"/>
    <w:rPr>
      <w:rFonts w:ascii="宋体" w:hAnsi="Courier New" w:eastAsia="宋体"/>
      <w:kern w:val="2"/>
      <w:sz w:val="21"/>
      <w:lang w:val="en-US" w:eastAsia="zh-CN" w:bidi="ar-SA"/>
    </w:rPr>
  </w:style>
  <w:style w:type="paragraph" w:customStyle="1" w:styleId="62">
    <w:name w:val="表正文"/>
    <w:basedOn w:val="1"/>
    <w:next w:val="2"/>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0"/>
    <w:rPr>
      <w:rFonts w:eastAsia="宋体"/>
      <w:kern w:val="2"/>
      <w:sz w:val="18"/>
      <w:szCs w:val="18"/>
      <w:lang w:val="en-US" w:eastAsia="zh-CN" w:bidi="ar-SA"/>
    </w:rPr>
  </w:style>
  <w:style w:type="character" w:customStyle="1" w:styleId="66">
    <w:name w:val="页脚 Char"/>
    <w:link w:val="26"/>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7"/>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8"/>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6"/>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6"/>
    <w:qFormat/>
    <w:uiPriority w:val="0"/>
    <w:rPr>
      <w:rFonts w:ascii="Tahoma" w:hAnsi="Tahoma"/>
      <w:sz w:val="24"/>
    </w:rPr>
  </w:style>
  <w:style w:type="paragraph" w:customStyle="1" w:styleId="137">
    <w:name w:val="Char Char Char"/>
    <w:basedOn w:val="16"/>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5"/>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4"/>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5"/>
    <w:semiHidden/>
    <w:qFormat/>
    <w:uiPriority w:val="0"/>
    <w:rPr>
      <w:kern w:val="2"/>
      <w:sz w:val="18"/>
      <w:szCs w:val="18"/>
    </w:rPr>
  </w:style>
  <w:style w:type="character" w:customStyle="1" w:styleId="198">
    <w:name w:val="正文文本缩进 3 Char"/>
    <w:basedOn w:val="43"/>
    <w:link w:val="30"/>
    <w:qFormat/>
    <w:uiPriority w:val="0"/>
    <w:rPr>
      <w:kern w:val="2"/>
      <w:sz w:val="16"/>
      <w:szCs w:val="16"/>
    </w:rPr>
  </w:style>
  <w:style w:type="character" w:customStyle="1" w:styleId="199">
    <w:name w:val="HTML 预设格式 Char"/>
    <w:basedOn w:val="43"/>
    <w:link w:val="34"/>
    <w:qFormat/>
    <w:uiPriority w:val="0"/>
    <w:rPr>
      <w:rFonts w:ascii="黑体" w:hAnsi="Courier New" w:eastAsia="黑体" w:cs="Courier New"/>
    </w:rPr>
  </w:style>
  <w:style w:type="character" w:customStyle="1" w:styleId="200">
    <w:name w:val="批注主题 Char"/>
    <w:basedOn w:val="166"/>
    <w:link w:val="38"/>
    <w:semiHidden/>
    <w:qFormat/>
    <w:uiPriority w:val="0"/>
    <w:rPr>
      <w:rFonts w:eastAsia="宋体"/>
      <w:b/>
      <w:bCs/>
      <w:kern w:val="2"/>
      <w:sz w:val="24"/>
      <w:szCs w:val="24"/>
      <w:lang w:val="en-US" w:eastAsia="zh-CN" w:bidi="ar-SA"/>
    </w:rPr>
  </w:style>
  <w:style w:type="character" w:customStyle="1" w:styleId="201">
    <w:name w:val="正文首行缩进 Char"/>
    <w:basedOn w:val="161"/>
    <w:link w:val="39"/>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54606</Words>
  <Characters>59037</Characters>
  <Lines>336</Lines>
  <Paragraphs>94</Paragraphs>
  <TotalTime>0</TotalTime>
  <ScaleCrop>false</ScaleCrop>
  <LinksUpToDate>false</LinksUpToDate>
  <CharactersWithSpaces>63078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2023-01-10T05:40:40Z</cp:lastPrinted>
  <dcterms:modified xsi:type="dcterms:W3CDTF">2023-01-10T08:21:24Z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