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2A7" w:rsidRPr="00A5250E" w:rsidRDefault="00A652A7" w:rsidP="00A652A7">
      <w:pPr>
        <w:snapToGrid w:val="0"/>
        <w:spacing w:line="360" w:lineRule="auto"/>
        <w:rPr>
          <w:rFonts w:ascii="仿宋_GB2312" w:eastAsia="仿宋_GB2312" w:hAnsi="仿宋_GB2312" w:cs="仿宋_GB2312"/>
          <w:sz w:val="36"/>
          <w:szCs w:val="20"/>
        </w:rPr>
      </w:pPr>
      <w:r w:rsidRPr="00A5250E">
        <w:rPr>
          <w:rFonts w:ascii="仿宋_GB2312" w:eastAsia="仿宋_GB2312" w:hAnsi="仿宋_GB2312" w:cs="仿宋_GB2312" w:hint="eastAsia"/>
          <w:sz w:val="36"/>
          <w:szCs w:val="20"/>
        </w:rPr>
        <w:t>附表1</w:t>
      </w:r>
    </w:p>
    <w:tbl>
      <w:tblPr>
        <w:tblW w:w="0" w:type="auto"/>
        <w:tblInd w:w="40" w:type="dxa"/>
        <w:tblLook w:val="04A0" w:firstRow="1" w:lastRow="0" w:firstColumn="1" w:lastColumn="0" w:noHBand="0" w:noVBand="1"/>
      </w:tblPr>
      <w:tblGrid>
        <w:gridCol w:w="719"/>
        <w:gridCol w:w="515"/>
        <w:gridCol w:w="1723"/>
        <w:gridCol w:w="3963"/>
        <w:gridCol w:w="1834"/>
        <w:gridCol w:w="1021"/>
        <w:gridCol w:w="956"/>
        <w:gridCol w:w="1274"/>
        <w:gridCol w:w="1375"/>
        <w:gridCol w:w="722"/>
      </w:tblGrid>
      <w:tr w:rsidR="00A652A7" w:rsidRPr="00A5250E" w:rsidTr="001C4FB9">
        <w:trPr>
          <w:trHeight w:val="885"/>
        </w:trPr>
        <w:tc>
          <w:tcPr>
            <w:tcW w:w="0" w:type="auto"/>
            <w:gridSpan w:val="10"/>
            <w:tcBorders>
              <w:top w:val="nil"/>
              <w:left w:val="nil"/>
              <w:bottom w:val="single" w:sz="4" w:space="0" w:color="auto"/>
              <w:right w:val="nil"/>
            </w:tcBorders>
            <w:shd w:val="clear" w:color="auto" w:fill="auto"/>
            <w:vAlign w:val="center"/>
            <w:hideMark/>
          </w:tcPr>
          <w:p w:rsidR="00A652A7" w:rsidRDefault="00A652A7" w:rsidP="001C4FB9">
            <w:pPr>
              <w:widowControl/>
              <w:jc w:val="center"/>
              <w:rPr>
                <w:rFonts w:ascii="宋体" w:hAnsi="宋体" w:cs="宋体"/>
                <w:b/>
                <w:bCs/>
                <w:kern w:val="0"/>
                <w:sz w:val="32"/>
                <w:szCs w:val="36"/>
              </w:rPr>
            </w:pPr>
            <w:r w:rsidRPr="005E257B">
              <w:rPr>
                <w:rFonts w:ascii="宋体" w:hAnsi="宋体" w:cs="宋体" w:hint="eastAsia"/>
                <w:b/>
                <w:bCs/>
                <w:kern w:val="0"/>
                <w:sz w:val="32"/>
                <w:szCs w:val="36"/>
              </w:rPr>
              <w:t>绍兴市人民医院脑卒中高危人群筛查与干预项目快速检测随诊包及</w:t>
            </w:r>
            <w:r w:rsidRPr="005E257B">
              <w:rPr>
                <w:rFonts w:ascii="宋体" w:hAnsi="宋体" w:cs="宋体"/>
                <w:b/>
                <w:bCs/>
                <w:kern w:val="0"/>
                <w:sz w:val="32"/>
                <w:szCs w:val="36"/>
              </w:rPr>
              <w:t>配套</w:t>
            </w:r>
            <w:r>
              <w:rPr>
                <w:rFonts w:ascii="宋体" w:hAnsi="宋体" w:cs="宋体" w:hint="eastAsia"/>
                <w:b/>
                <w:bCs/>
                <w:kern w:val="0"/>
                <w:sz w:val="32"/>
                <w:szCs w:val="36"/>
              </w:rPr>
              <w:t>服务</w:t>
            </w:r>
            <w:r w:rsidRPr="005E257B">
              <w:rPr>
                <w:rFonts w:ascii="宋体" w:hAnsi="宋体" w:cs="宋体"/>
                <w:b/>
                <w:bCs/>
                <w:kern w:val="0"/>
                <w:sz w:val="32"/>
                <w:szCs w:val="36"/>
              </w:rPr>
              <w:t>招标</w:t>
            </w:r>
            <w:r w:rsidRPr="005E257B">
              <w:rPr>
                <w:rFonts w:ascii="宋体" w:hAnsi="宋体" w:cs="宋体" w:hint="eastAsia"/>
                <w:b/>
                <w:bCs/>
                <w:kern w:val="0"/>
                <w:sz w:val="32"/>
                <w:szCs w:val="36"/>
              </w:rPr>
              <w:t>采购</w:t>
            </w:r>
          </w:p>
          <w:p w:rsidR="00A652A7" w:rsidRPr="00A5250E" w:rsidRDefault="00A652A7" w:rsidP="001C4FB9">
            <w:pPr>
              <w:widowControl/>
              <w:jc w:val="center"/>
              <w:rPr>
                <w:rFonts w:ascii="宋体" w:hAnsi="宋体" w:cs="宋体"/>
                <w:b/>
                <w:bCs/>
                <w:kern w:val="0"/>
                <w:sz w:val="36"/>
                <w:szCs w:val="36"/>
              </w:rPr>
            </w:pPr>
            <w:r w:rsidRPr="005E257B">
              <w:rPr>
                <w:rFonts w:ascii="宋体" w:hAnsi="宋体" w:cs="宋体" w:hint="eastAsia"/>
                <w:b/>
                <w:bCs/>
                <w:kern w:val="0"/>
                <w:sz w:val="32"/>
                <w:szCs w:val="36"/>
              </w:rPr>
              <w:t>投标产品基本信息汇总表</w:t>
            </w:r>
          </w:p>
        </w:tc>
      </w:tr>
      <w:tr w:rsidR="00A652A7" w:rsidRPr="00A5250E" w:rsidTr="001C4FB9">
        <w:trPr>
          <w:trHeight w:val="69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652A7" w:rsidRPr="00A5250E" w:rsidRDefault="00A652A7" w:rsidP="001C4FB9">
            <w:pPr>
              <w:widowControl/>
              <w:jc w:val="center"/>
              <w:rPr>
                <w:rFonts w:ascii="宋体" w:hAnsi="宋体" w:cs="宋体"/>
                <w:b/>
                <w:bCs/>
                <w:kern w:val="0"/>
                <w:sz w:val="20"/>
                <w:szCs w:val="20"/>
              </w:rPr>
            </w:pPr>
            <w:r w:rsidRPr="00A5250E">
              <w:rPr>
                <w:rFonts w:ascii="宋体" w:hAnsi="宋体" w:cs="宋体" w:hint="eastAsia"/>
                <w:b/>
                <w:bCs/>
                <w:kern w:val="0"/>
                <w:sz w:val="20"/>
                <w:szCs w:val="20"/>
              </w:rPr>
              <w:t>投标企业</w:t>
            </w:r>
          </w:p>
        </w:tc>
        <w:tc>
          <w:tcPr>
            <w:tcW w:w="515" w:type="dxa"/>
            <w:tcBorders>
              <w:top w:val="single" w:sz="4" w:space="0" w:color="auto"/>
              <w:left w:val="nil"/>
              <w:bottom w:val="single" w:sz="4" w:space="0" w:color="auto"/>
              <w:right w:val="single" w:sz="4" w:space="0" w:color="auto"/>
            </w:tcBorders>
            <w:shd w:val="clear" w:color="000000" w:fill="D9D9D9"/>
            <w:vAlign w:val="center"/>
            <w:hideMark/>
          </w:tcPr>
          <w:p w:rsidR="00A652A7" w:rsidRPr="00A5250E" w:rsidRDefault="00A652A7" w:rsidP="001C4FB9">
            <w:pPr>
              <w:widowControl/>
              <w:jc w:val="center"/>
              <w:rPr>
                <w:rFonts w:ascii="宋体" w:hAnsi="宋体" w:cs="宋体"/>
                <w:b/>
                <w:bCs/>
                <w:kern w:val="0"/>
                <w:sz w:val="20"/>
                <w:szCs w:val="20"/>
              </w:rPr>
            </w:pPr>
            <w:r w:rsidRPr="00A5250E">
              <w:rPr>
                <w:rFonts w:ascii="宋体" w:hAnsi="宋体" w:cs="宋体" w:hint="eastAsia"/>
                <w:b/>
                <w:bCs/>
                <w:kern w:val="0"/>
                <w:sz w:val="20"/>
                <w:szCs w:val="20"/>
              </w:rPr>
              <w:t>标段</w:t>
            </w:r>
          </w:p>
        </w:tc>
        <w:tc>
          <w:tcPr>
            <w:tcW w:w="1723" w:type="dxa"/>
            <w:tcBorders>
              <w:top w:val="single" w:sz="4" w:space="0" w:color="auto"/>
              <w:left w:val="nil"/>
              <w:bottom w:val="single" w:sz="4" w:space="0" w:color="auto"/>
              <w:right w:val="single" w:sz="4" w:space="0" w:color="auto"/>
            </w:tcBorders>
            <w:shd w:val="clear" w:color="000000" w:fill="D9D9D9"/>
            <w:vAlign w:val="center"/>
            <w:hideMark/>
          </w:tcPr>
          <w:p w:rsidR="00A652A7" w:rsidRPr="00A5250E" w:rsidRDefault="00A652A7" w:rsidP="001C4FB9">
            <w:pPr>
              <w:widowControl/>
              <w:jc w:val="center"/>
              <w:rPr>
                <w:rFonts w:ascii="宋体" w:hAnsi="宋体" w:cs="宋体"/>
                <w:b/>
                <w:bCs/>
                <w:kern w:val="0"/>
                <w:sz w:val="20"/>
                <w:szCs w:val="20"/>
              </w:rPr>
            </w:pPr>
            <w:r w:rsidRPr="00A5250E">
              <w:rPr>
                <w:rFonts w:ascii="宋体" w:hAnsi="宋体" w:cs="宋体" w:hint="eastAsia"/>
                <w:b/>
                <w:bCs/>
                <w:kern w:val="0"/>
                <w:sz w:val="20"/>
                <w:szCs w:val="20"/>
              </w:rPr>
              <w:t>标段名称</w:t>
            </w:r>
          </w:p>
        </w:tc>
        <w:tc>
          <w:tcPr>
            <w:tcW w:w="3963" w:type="dxa"/>
            <w:tcBorders>
              <w:top w:val="single" w:sz="4" w:space="0" w:color="auto"/>
              <w:left w:val="nil"/>
              <w:bottom w:val="single" w:sz="4" w:space="0" w:color="auto"/>
              <w:right w:val="single" w:sz="4" w:space="0" w:color="auto"/>
            </w:tcBorders>
            <w:shd w:val="clear" w:color="000000" w:fill="D9D9D9"/>
            <w:vAlign w:val="center"/>
            <w:hideMark/>
          </w:tcPr>
          <w:p w:rsidR="00A652A7" w:rsidRPr="00A5250E" w:rsidRDefault="00A652A7" w:rsidP="001C4FB9">
            <w:pPr>
              <w:widowControl/>
              <w:jc w:val="center"/>
              <w:rPr>
                <w:rFonts w:ascii="宋体" w:hAnsi="宋体" w:cs="宋体"/>
                <w:b/>
                <w:bCs/>
                <w:kern w:val="0"/>
                <w:sz w:val="20"/>
                <w:szCs w:val="20"/>
              </w:rPr>
            </w:pPr>
            <w:r>
              <w:rPr>
                <w:rFonts w:ascii="宋体" w:hAnsi="宋体" w:cs="宋体" w:hint="eastAsia"/>
                <w:b/>
                <w:bCs/>
                <w:kern w:val="0"/>
                <w:sz w:val="20"/>
                <w:szCs w:val="20"/>
              </w:rPr>
              <w:t>产品</w:t>
            </w:r>
            <w:r>
              <w:rPr>
                <w:rFonts w:ascii="宋体" w:hAnsi="宋体" w:cs="宋体"/>
                <w:b/>
                <w:bCs/>
                <w:kern w:val="0"/>
                <w:sz w:val="20"/>
                <w:szCs w:val="20"/>
              </w:rPr>
              <w:t>明细</w:t>
            </w:r>
          </w:p>
        </w:tc>
        <w:tc>
          <w:tcPr>
            <w:tcW w:w="1834" w:type="dxa"/>
            <w:tcBorders>
              <w:top w:val="single" w:sz="4" w:space="0" w:color="auto"/>
              <w:left w:val="nil"/>
              <w:bottom w:val="single" w:sz="4" w:space="0" w:color="auto"/>
              <w:right w:val="single" w:sz="4" w:space="0" w:color="auto"/>
            </w:tcBorders>
            <w:shd w:val="clear" w:color="000000" w:fill="D9D9D9"/>
            <w:vAlign w:val="center"/>
            <w:hideMark/>
          </w:tcPr>
          <w:p w:rsidR="00A652A7" w:rsidRPr="00A5250E" w:rsidRDefault="00A652A7" w:rsidP="001C4FB9">
            <w:pPr>
              <w:widowControl/>
              <w:jc w:val="center"/>
              <w:rPr>
                <w:rFonts w:ascii="宋体" w:hAnsi="宋体" w:cs="宋体"/>
                <w:b/>
                <w:bCs/>
                <w:kern w:val="0"/>
                <w:sz w:val="20"/>
                <w:szCs w:val="20"/>
              </w:rPr>
            </w:pPr>
            <w:r w:rsidRPr="00A5250E">
              <w:rPr>
                <w:rFonts w:ascii="宋体" w:hAnsi="宋体" w:cs="宋体" w:hint="eastAsia"/>
                <w:b/>
                <w:bCs/>
                <w:kern w:val="0"/>
                <w:sz w:val="20"/>
                <w:szCs w:val="20"/>
              </w:rPr>
              <w:t>注册证号/批准文号</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652A7" w:rsidRPr="00A5250E" w:rsidRDefault="00A652A7" w:rsidP="001C4FB9">
            <w:pPr>
              <w:widowControl/>
              <w:jc w:val="center"/>
              <w:rPr>
                <w:rFonts w:ascii="宋体" w:hAnsi="宋体" w:cs="宋体"/>
                <w:b/>
                <w:bCs/>
                <w:kern w:val="0"/>
                <w:sz w:val="20"/>
                <w:szCs w:val="20"/>
              </w:rPr>
            </w:pPr>
            <w:r w:rsidRPr="00A5250E">
              <w:rPr>
                <w:rFonts w:ascii="宋体" w:hAnsi="宋体" w:cs="宋体" w:hint="eastAsia"/>
                <w:b/>
                <w:bCs/>
                <w:kern w:val="0"/>
                <w:sz w:val="20"/>
                <w:szCs w:val="20"/>
              </w:rPr>
              <w:t>注册证产品名称</w:t>
            </w:r>
          </w:p>
        </w:tc>
        <w:tc>
          <w:tcPr>
            <w:tcW w:w="956" w:type="dxa"/>
            <w:tcBorders>
              <w:top w:val="single" w:sz="4" w:space="0" w:color="auto"/>
              <w:left w:val="nil"/>
              <w:bottom w:val="single" w:sz="4" w:space="0" w:color="auto"/>
              <w:right w:val="single" w:sz="4" w:space="0" w:color="auto"/>
            </w:tcBorders>
            <w:shd w:val="clear" w:color="000000" w:fill="D9D9D9"/>
            <w:vAlign w:val="center"/>
            <w:hideMark/>
          </w:tcPr>
          <w:p w:rsidR="00A652A7" w:rsidRPr="00A5250E" w:rsidRDefault="00A652A7" w:rsidP="001C4FB9">
            <w:pPr>
              <w:widowControl/>
              <w:jc w:val="center"/>
              <w:rPr>
                <w:rFonts w:ascii="宋体" w:hAnsi="宋体" w:cs="宋体"/>
                <w:b/>
                <w:bCs/>
                <w:kern w:val="0"/>
                <w:sz w:val="20"/>
                <w:szCs w:val="20"/>
              </w:rPr>
            </w:pPr>
            <w:r w:rsidRPr="00A5250E">
              <w:rPr>
                <w:rFonts w:ascii="宋体" w:hAnsi="宋体" w:cs="宋体" w:hint="eastAsia"/>
                <w:b/>
                <w:bCs/>
                <w:kern w:val="0"/>
                <w:sz w:val="20"/>
                <w:szCs w:val="20"/>
              </w:rPr>
              <w:t>规格、型号</w:t>
            </w:r>
          </w:p>
        </w:tc>
        <w:tc>
          <w:tcPr>
            <w:tcW w:w="1274" w:type="dxa"/>
            <w:tcBorders>
              <w:top w:val="single" w:sz="4" w:space="0" w:color="auto"/>
              <w:left w:val="nil"/>
              <w:bottom w:val="single" w:sz="4" w:space="0" w:color="auto"/>
              <w:right w:val="single" w:sz="4" w:space="0" w:color="auto"/>
            </w:tcBorders>
            <w:shd w:val="clear" w:color="000000" w:fill="D9D9D9"/>
            <w:vAlign w:val="center"/>
            <w:hideMark/>
          </w:tcPr>
          <w:p w:rsidR="00A652A7" w:rsidRPr="000C47C4" w:rsidRDefault="00A652A7" w:rsidP="001C4FB9">
            <w:pPr>
              <w:widowControl/>
              <w:jc w:val="center"/>
              <w:rPr>
                <w:rFonts w:ascii="宋体" w:hAnsi="宋体" w:cs="宋体"/>
                <w:b/>
                <w:bCs/>
                <w:kern w:val="0"/>
                <w:sz w:val="20"/>
                <w:szCs w:val="20"/>
                <w:highlight w:val="yellow"/>
              </w:rPr>
            </w:pPr>
            <w:r w:rsidRPr="000C47C4">
              <w:rPr>
                <w:rFonts w:ascii="宋体" w:hAnsi="宋体" w:cs="宋体" w:hint="eastAsia"/>
                <w:b/>
                <w:bCs/>
                <w:kern w:val="0"/>
                <w:sz w:val="20"/>
                <w:szCs w:val="20"/>
                <w:highlight w:val="yellow"/>
              </w:rPr>
              <w:t>省采购平台产品代码</w:t>
            </w:r>
          </w:p>
        </w:tc>
        <w:tc>
          <w:tcPr>
            <w:tcW w:w="1375" w:type="dxa"/>
            <w:tcBorders>
              <w:top w:val="single" w:sz="4" w:space="0" w:color="auto"/>
              <w:left w:val="nil"/>
              <w:bottom w:val="single" w:sz="4" w:space="0" w:color="auto"/>
              <w:right w:val="single" w:sz="4" w:space="0" w:color="auto"/>
            </w:tcBorders>
            <w:shd w:val="clear" w:color="000000" w:fill="D9D9D9"/>
            <w:vAlign w:val="center"/>
            <w:hideMark/>
          </w:tcPr>
          <w:p w:rsidR="00A652A7" w:rsidRPr="00A5250E" w:rsidRDefault="00A652A7" w:rsidP="001C4FB9">
            <w:pPr>
              <w:widowControl/>
              <w:jc w:val="center"/>
              <w:rPr>
                <w:rFonts w:ascii="宋体" w:hAnsi="宋体" w:cs="宋体"/>
                <w:b/>
                <w:bCs/>
                <w:kern w:val="0"/>
                <w:sz w:val="20"/>
                <w:szCs w:val="20"/>
              </w:rPr>
            </w:pPr>
            <w:r w:rsidRPr="00A5250E">
              <w:rPr>
                <w:rFonts w:ascii="宋体" w:hAnsi="宋体" w:cs="宋体" w:hint="eastAsia"/>
                <w:b/>
                <w:bCs/>
                <w:kern w:val="0"/>
                <w:sz w:val="20"/>
                <w:szCs w:val="20"/>
              </w:rPr>
              <w:t>生产企业</w:t>
            </w:r>
          </w:p>
        </w:tc>
        <w:tc>
          <w:tcPr>
            <w:tcW w:w="722" w:type="dxa"/>
            <w:tcBorders>
              <w:top w:val="single" w:sz="4" w:space="0" w:color="auto"/>
              <w:left w:val="nil"/>
              <w:bottom w:val="single" w:sz="4" w:space="0" w:color="auto"/>
              <w:right w:val="single" w:sz="4" w:space="0" w:color="auto"/>
            </w:tcBorders>
            <w:shd w:val="clear" w:color="000000" w:fill="D9D9D9"/>
            <w:vAlign w:val="center"/>
            <w:hideMark/>
          </w:tcPr>
          <w:p w:rsidR="00A652A7" w:rsidRPr="00A5250E" w:rsidRDefault="00A652A7" w:rsidP="001C4FB9">
            <w:pPr>
              <w:widowControl/>
              <w:jc w:val="center"/>
              <w:rPr>
                <w:rFonts w:ascii="宋体" w:hAnsi="宋体" w:cs="宋体"/>
                <w:b/>
                <w:bCs/>
                <w:kern w:val="0"/>
                <w:sz w:val="20"/>
                <w:szCs w:val="20"/>
              </w:rPr>
            </w:pPr>
            <w:r w:rsidRPr="00A5250E">
              <w:rPr>
                <w:rFonts w:ascii="宋体" w:hAnsi="宋体" w:cs="宋体" w:hint="eastAsia"/>
                <w:b/>
                <w:bCs/>
                <w:kern w:val="0"/>
                <w:sz w:val="20"/>
                <w:szCs w:val="20"/>
              </w:rPr>
              <w:t>计</w:t>
            </w:r>
            <w:r>
              <w:rPr>
                <w:rFonts w:ascii="宋体" w:hAnsi="宋体" w:cs="宋体" w:hint="eastAsia"/>
                <w:b/>
                <w:bCs/>
                <w:kern w:val="0"/>
                <w:sz w:val="20"/>
                <w:szCs w:val="20"/>
              </w:rPr>
              <w:t>量</w:t>
            </w:r>
            <w:r w:rsidRPr="00A5250E">
              <w:rPr>
                <w:rFonts w:ascii="宋体" w:hAnsi="宋体" w:cs="宋体" w:hint="eastAsia"/>
                <w:b/>
                <w:bCs/>
                <w:kern w:val="0"/>
                <w:sz w:val="20"/>
                <w:szCs w:val="20"/>
              </w:rPr>
              <w:t>单位</w:t>
            </w:r>
          </w:p>
        </w:tc>
      </w:tr>
      <w:tr w:rsidR="00A652A7" w:rsidRPr="00A5250E" w:rsidTr="001C4FB9">
        <w:trPr>
          <w:trHeight w:val="510"/>
        </w:trPr>
        <w:tc>
          <w:tcPr>
            <w:tcW w:w="0" w:type="auto"/>
            <w:vMerge w:val="restart"/>
            <w:tcBorders>
              <w:top w:val="nil"/>
              <w:left w:val="single" w:sz="4" w:space="0" w:color="auto"/>
              <w:right w:val="single" w:sz="4" w:space="0" w:color="auto"/>
            </w:tcBorders>
            <w:shd w:val="clear" w:color="auto" w:fill="auto"/>
            <w:vAlign w:val="center"/>
            <w:hideMark/>
          </w:tcPr>
          <w:p w:rsidR="00A652A7" w:rsidRPr="00A5250E" w:rsidRDefault="00A652A7" w:rsidP="001C4FB9">
            <w:pPr>
              <w:widowControl/>
              <w:rPr>
                <w:rFonts w:ascii="宋体" w:hAnsi="宋体" w:cs="宋体"/>
                <w:kern w:val="0"/>
                <w:sz w:val="20"/>
                <w:szCs w:val="20"/>
              </w:rPr>
            </w:pPr>
          </w:p>
        </w:tc>
        <w:tc>
          <w:tcPr>
            <w:tcW w:w="515" w:type="dxa"/>
            <w:vMerge w:val="restart"/>
            <w:tcBorders>
              <w:top w:val="nil"/>
              <w:left w:val="nil"/>
              <w:right w:val="single" w:sz="4" w:space="0" w:color="auto"/>
            </w:tcBorders>
            <w:shd w:val="clear" w:color="auto" w:fill="auto"/>
            <w:vAlign w:val="center"/>
            <w:hideMark/>
          </w:tcPr>
          <w:p w:rsidR="00A652A7" w:rsidRPr="004A2B7E" w:rsidRDefault="00A652A7" w:rsidP="001C4FB9">
            <w:pPr>
              <w:widowControl/>
              <w:jc w:val="center"/>
              <w:rPr>
                <w:color w:val="000000"/>
                <w:sz w:val="20"/>
                <w:szCs w:val="20"/>
              </w:rPr>
            </w:pPr>
            <w:r>
              <w:rPr>
                <w:rFonts w:hint="eastAsia"/>
                <w:color w:val="000000"/>
                <w:sz w:val="20"/>
                <w:szCs w:val="20"/>
              </w:rPr>
              <w:t>标段一</w:t>
            </w:r>
            <w:r w:rsidRPr="00A5250E">
              <w:rPr>
                <w:rFonts w:ascii="宋体" w:hAnsi="宋体" w:cs="宋体" w:hint="eastAsia"/>
                <w:kern w:val="0"/>
                <w:sz w:val="20"/>
                <w:szCs w:val="20"/>
              </w:rPr>
              <w:t xml:space="preserve">　</w:t>
            </w:r>
          </w:p>
        </w:tc>
        <w:tc>
          <w:tcPr>
            <w:tcW w:w="1723" w:type="dxa"/>
            <w:vMerge w:val="restart"/>
            <w:tcBorders>
              <w:top w:val="nil"/>
              <w:left w:val="nil"/>
              <w:right w:val="single" w:sz="4" w:space="0" w:color="auto"/>
            </w:tcBorders>
            <w:shd w:val="clear" w:color="auto" w:fill="auto"/>
            <w:vAlign w:val="center"/>
            <w:hideMark/>
          </w:tcPr>
          <w:p w:rsidR="00A652A7" w:rsidRPr="004A2B7E" w:rsidRDefault="00A652A7" w:rsidP="001C4FB9">
            <w:pPr>
              <w:jc w:val="center"/>
              <w:rPr>
                <w:sz w:val="20"/>
                <w:szCs w:val="20"/>
              </w:rPr>
            </w:pPr>
            <w:r>
              <w:rPr>
                <w:rFonts w:hint="eastAsia"/>
                <w:sz w:val="20"/>
                <w:szCs w:val="20"/>
              </w:rPr>
              <w:t>脑卒中高危人群筛查与干预项目快速检测随诊包</w:t>
            </w:r>
          </w:p>
        </w:tc>
        <w:tc>
          <w:tcPr>
            <w:tcW w:w="3963"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4A2B7E">
              <w:rPr>
                <w:rFonts w:ascii="宋体" w:hAnsi="宋体" w:cs="宋体" w:hint="eastAsia"/>
                <w:kern w:val="0"/>
                <w:sz w:val="20"/>
                <w:szCs w:val="20"/>
              </w:rPr>
              <w:t>“卡迪克CardioChek@PA”脂类检测条</w:t>
            </w:r>
          </w:p>
        </w:tc>
        <w:tc>
          <w:tcPr>
            <w:tcW w:w="1834"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1274"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1375"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722" w:type="dxa"/>
            <w:tcBorders>
              <w:top w:val="nil"/>
              <w:left w:val="nil"/>
              <w:bottom w:val="single" w:sz="4" w:space="0" w:color="auto"/>
              <w:right w:val="single" w:sz="4" w:space="0" w:color="auto"/>
            </w:tcBorders>
            <w:shd w:val="clear" w:color="auto" w:fill="auto"/>
            <w:noWrap/>
            <w:vAlign w:val="center"/>
            <w:hideMark/>
          </w:tcPr>
          <w:p w:rsidR="00A652A7" w:rsidRPr="00A5250E" w:rsidRDefault="00A652A7" w:rsidP="001C4FB9">
            <w:pPr>
              <w:widowControl/>
              <w:jc w:val="left"/>
              <w:rPr>
                <w:rFonts w:ascii="宋体" w:hAnsi="宋体" w:cs="宋体"/>
                <w:kern w:val="0"/>
                <w:sz w:val="20"/>
                <w:szCs w:val="20"/>
              </w:rPr>
            </w:pPr>
            <w:r w:rsidRPr="00A5250E">
              <w:rPr>
                <w:rFonts w:ascii="宋体" w:hAnsi="宋体" w:cs="宋体" w:hint="eastAsia"/>
                <w:kern w:val="0"/>
                <w:sz w:val="20"/>
                <w:szCs w:val="20"/>
              </w:rPr>
              <w:t xml:space="preserve">　</w:t>
            </w:r>
          </w:p>
        </w:tc>
      </w:tr>
      <w:tr w:rsidR="00A652A7" w:rsidRPr="00A5250E" w:rsidTr="001C4FB9">
        <w:trPr>
          <w:trHeight w:val="510"/>
        </w:trPr>
        <w:tc>
          <w:tcPr>
            <w:tcW w:w="0" w:type="auto"/>
            <w:vMerge/>
            <w:tcBorders>
              <w:left w:val="single" w:sz="4" w:space="0" w:color="auto"/>
              <w:right w:val="single" w:sz="4" w:space="0" w:color="auto"/>
            </w:tcBorders>
            <w:shd w:val="clear" w:color="auto" w:fill="auto"/>
            <w:vAlign w:val="center"/>
            <w:hideMark/>
          </w:tcPr>
          <w:p w:rsidR="00A652A7" w:rsidRPr="00A5250E" w:rsidRDefault="00A652A7" w:rsidP="001C4FB9">
            <w:pPr>
              <w:jc w:val="center"/>
              <w:rPr>
                <w:rFonts w:ascii="宋体" w:hAnsi="宋体" w:cs="宋体"/>
                <w:kern w:val="0"/>
                <w:sz w:val="20"/>
                <w:szCs w:val="20"/>
              </w:rPr>
            </w:pPr>
          </w:p>
        </w:tc>
        <w:tc>
          <w:tcPr>
            <w:tcW w:w="515" w:type="dxa"/>
            <w:vMerge/>
            <w:tcBorders>
              <w:left w:val="nil"/>
              <w:right w:val="single" w:sz="4" w:space="0" w:color="auto"/>
            </w:tcBorders>
            <w:shd w:val="clear" w:color="auto" w:fill="auto"/>
            <w:vAlign w:val="center"/>
            <w:hideMark/>
          </w:tcPr>
          <w:p w:rsidR="00A652A7" w:rsidRPr="00A5250E" w:rsidRDefault="00A652A7" w:rsidP="001C4FB9">
            <w:pPr>
              <w:jc w:val="center"/>
              <w:rPr>
                <w:rFonts w:ascii="宋体" w:hAnsi="宋体" w:cs="宋体"/>
                <w:kern w:val="0"/>
                <w:sz w:val="20"/>
                <w:szCs w:val="20"/>
              </w:rPr>
            </w:pPr>
          </w:p>
        </w:tc>
        <w:tc>
          <w:tcPr>
            <w:tcW w:w="1723" w:type="dxa"/>
            <w:vMerge/>
            <w:tcBorders>
              <w:left w:val="nil"/>
              <w:right w:val="single" w:sz="4" w:space="0" w:color="auto"/>
            </w:tcBorders>
            <w:shd w:val="clear" w:color="auto" w:fill="auto"/>
            <w:vAlign w:val="center"/>
            <w:hideMark/>
          </w:tcPr>
          <w:p w:rsidR="00A652A7" w:rsidRPr="00A5250E" w:rsidRDefault="00A652A7" w:rsidP="001C4FB9">
            <w:pPr>
              <w:jc w:val="center"/>
              <w:rPr>
                <w:rFonts w:ascii="宋体" w:hAnsi="宋体" w:cs="宋体"/>
                <w:kern w:val="0"/>
                <w:sz w:val="20"/>
                <w:szCs w:val="20"/>
              </w:rPr>
            </w:pPr>
          </w:p>
        </w:tc>
        <w:tc>
          <w:tcPr>
            <w:tcW w:w="3963"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4A2B7E">
              <w:rPr>
                <w:rFonts w:ascii="宋体" w:hAnsi="宋体" w:cs="宋体" w:hint="eastAsia"/>
                <w:kern w:val="0"/>
                <w:sz w:val="20"/>
                <w:szCs w:val="20"/>
              </w:rPr>
              <w:t>“三诺安稳+”血糖检测试纸</w:t>
            </w:r>
          </w:p>
        </w:tc>
        <w:tc>
          <w:tcPr>
            <w:tcW w:w="1834"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1274"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1375"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722" w:type="dxa"/>
            <w:tcBorders>
              <w:top w:val="nil"/>
              <w:left w:val="nil"/>
              <w:bottom w:val="single" w:sz="4" w:space="0" w:color="auto"/>
              <w:right w:val="single" w:sz="4" w:space="0" w:color="auto"/>
            </w:tcBorders>
            <w:shd w:val="clear" w:color="auto" w:fill="auto"/>
            <w:noWrap/>
            <w:vAlign w:val="center"/>
            <w:hideMark/>
          </w:tcPr>
          <w:p w:rsidR="00A652A7" w:rsidRPr="00A5250E" w:rsidRDefault="00A652A7" w:rsidP="001C4FB9">
            <w:pPr>
              <w:widowControl/>
              <w:jc w:val="left"/>
              <w:rPr>
                <w:rFonts w:ascii="宋体" w:hAnsi="宋体" w:cs="宋体"/>
                <w:kern w:val="0"/>
                <w:sz w:val="20"/>
                <w:szCs w:val="20"/>
              </w:rPr>
            </w:pPr>
            <w:r w:rsidRPr="00A5250E">
              <w:rPr>
                <w:rFonts w:ascii="宋体" w:hAnsi="宋体" w:cs="宋体" w:hint="eastAsia"/>
                <w:kern w:val="0"/>
                <w:sz w:val="20"/>
                <w:szCs w:val="20"/>
              </w:rPr>
              <w:t xml:space="preserve">　</w:t>
            </w:r>
          </w:p>
        </w:tc>
      </w:tr>
      <w:tr w:rsidR="00A652A7" w:rsidRPr="00A5250E" w:rsidTr="001C4FB9">
        <w:trPr>
          <w:trHeight w:val="510"/>
        </w:trPr>
        <w:tc>
          <w:tcPr>
            <w:tcW w:w="0" w:type="auto"/>
            <w:vMerge/>
            <w:tcBorders>
              <w:left w:val="single" w:sz="4" w:space="0" w:color="auto"/>
              <w:right w:val="single" w:sz="4" w:space="0" w:color="auto"/>
            </w:tcBorders>
            <w:shd w:val="clear" w:color="auto" w:fill="auto"/>
            <w:vAlign w:val="center"/>
            <w:hideMark/>
          </w:tcPr>
          <w:p w:rsidR="00A652A7" w:rsidRPr="00A5250E" w:rsidRDefault="00A652A7" w:rsidP="001C4FB9">
            <w:pPr>
              <w:jc w:val="center"/>
              <w:rPr>
                <w:rFonts w:ascii="宋体" w:hAnsi="宋体" w:cs="宋体"/>
                <w:kern w:val="0"/>
                <w:sz w:val="20"/>
                <w:szCs w:val="20"/>
              </w:rPr>
            </w:pPr>
          </w:p>
        </w:tc>
        <w:tc>
          <w:tcPr>
            <w:tcW w:w="515" w:type="dxa"/>
            <w:vMerge/>
            <w:tcBorders>
              <w:left w:val="nil"/>
              <w:right w:val="single" w:sz="4" w:space="0" w:color="auto"/>
            </w:tcBorders>
            <w:shd w:val="clear" w:color="auto" w:fill="auto"/>
            <w:vAlign w:val="center"/>
            <w:hideMark/>
          </w:tcPr>
          <w:p w:rsidR="00A652A7" w:rsidRPr="00A5250E" w:rsidRDefault="00A652A7" w:rsidP="001C4FB9">
            <w:pPr>
              <w:jc w:val="center"/>
              <w:rPr>
                <w:rFonts w:ascii="宋体" w:hAnsi="宋体" w:cs="宋体"/>
                <w:kern w:val="0"/>
                <w:sz w:val="20"/>
                <w:szCs w:val="20"/>
              </w:rPr>
            </w:pPr>
          </w:p>
        </w:tc>
        <w:tc>
          <w:tcPr>
            <w:tcW w:w="1723" w:type="dxa"/>
            <w:vMerge/>
            <w:tcBorders>
              <w:left w:val="nil"/>
              <w:right w:val="single" w:sz="4" w:space="0" w:color="auto"/>
            </w:tcBorders>
            <w:shd w:val="clear" w:color="auto" w:fill="auto"/>
            <w:vAlign w:val="center"/>
            <w:hideMark/>
          </w:tcPr>
          <w:p w:rsidR="00A652A7" w:rsidRPr="00A5250E" w:rsidRDefault="00A652A7" w:rsidP="001C4FB9">
            <w:pPr>
              <w:jc w:val="center"/>
              <w:rPr>
                <w:rFonts w:ascii="宋体" w:hAnsi="宋体" w:cs="宋体"/>
                <w:kern w:val="0"/>
                <w:sz w:val="20"/>
                <w:szCs w:val="20"/>
              </w:rPr>
            </w:pPr>
          </w:p>
        </w:tc>
        <w:tc>
          <w:tcPr>
            <w:tcW w:w="3963"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r w:rsidRPr="004A2B7E">
              <w:rPr>
                <w:rFonts w:ascii="宋体" w:hAnsi="宋体" w:cs="宋体" w:hint="eastAsia"/>
                <w:kern w:val="0"/>
                <w:sz w:val="20"/>
                <w:szCs w:val="20"/>
              </w:rPr>
              <w:t>“Hipro（禾柏）”同型半胱氨酸检测试剂盒（酶法）</w:t>
            </w:r>
          </w:p>
        </w:tc>
        <w:tc>
          <w:tcPr>
            <w:tcW w:w="1834"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1274"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1375"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722" w:type="dxa"/>
            <w:tcBorders>
              <w:top w:val="nil"/>
              <w:left w:val="nil"/>
              <w:bottom w:val="single" w:sz="4" w:space="0" w:color="auto"/>
              <w:right w:val="single" w:sz="4" w:space="0" w:color="auto"/>
            </w:tcBorders>
            <w:shd w:val="clear" w:color="auto" w:fill="auto"/>
            <w:noWrap/>
            <w:vAlign w:val="center"/>
            <w:hideMark/>
          </w:tcPr>
          <w:p w:rsidR="00A652A7" w:rsidRPr="00A5250E" w:rsidRDefault="00A652A7" w:rsidP="001C4FB9">
            <w:pPr>
              <w:widowControl/>
              <w:jc w:val="left"/>
              <w:rPr>
                <w:rFonts w:ascii="宋体" w:hAnsi="宋体" w:cs="宋体"/>
                <w:kern w:val="0"/>
                <w:sz w:val="20"/>
                <w:szCs w:val="20"/>
              </w:rPr>
            </w:pPr>
            <w:r w:rsidRPr="00A5250E">
              <w:rPr>
                <w:rFonts w:ascii="宋体" w:hAnsi="宋体" w:cs="宋体" w:hint="eastAsia"/>
                <w:kern w:val="0"/>
                <w:sz w:val="20"/>
                <w:szCs w:val="20"/>
              </w:rPr>
              <w:t xml:space="preserve">　</w:t>
            </w:r>
          </w:p>
        </w:tc>
      </w:tr>
      <w:tr w:rsidR="00A652A7" w:rsidRPr="00A5250E" w:rsidTr="001C4FB9">
        <w:trPr>
          <w:trHeight w:val="510"/>
        </w:trPr>
        <w:tc>
          <w:tcPr>
            <w:tcW w:w="0" w:type="auto"/>
            <w:vMerge/>
            <w:tcBorders>
              <w:left w:val="single" w:sz="4" w:space="0" w:color="auto"/>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p>
        </w:tc>
        <w:tc>
          <w:tcPr>
            <w:tcW w:w="515" w:type="dxa"/>
            <w:vMerge/>
            <w:tcBorders>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p>
        </w:tc>
        <w:tc>
          <w:tcPr>
            <w:tcW w:w="1723" w:type="dxa"/>
            <w:vMerge/>
            <w:tcBorders>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p>
        </w:tc>
        <w:tc>
          <w:tcPr>
            <w:tcW w:w="3963"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r w:rsidRPr="004A2B7E">
              <w:rPr>
                <w:rFonts w:ascii="宋体" w:hAnsi="宋体" w:cs="宋体" w:hint="eastAsia"/>
                <w:kern w:val="0"/>
                <w:sz w:val="20"/>
                <w:szCs w:val="20"/>
              </w:rPr>
              <w:t>“Hipro（禾柏）”糖化血红蛋白试剂盒（免疫散射速率法）</w:t>
            </w:r>
          </w:p>
        </w:tc>
        <w:tc>
          <w:tcPr>
            <w:tcW w:w="1834"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1274"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1375" w:type="dxa"/>
            <w:tcBorders>
              <w:top w:val="nil"/>
              <w:left w:val="nil"/>
              <w:bottom w:val="single" w:sz="4" w:space="0" w:color="auto"/>
              <w:right w:val="single" w:sz="4" w:space="0" w:color="auto"/>
            </w:tcBorders>
            <w:shd w:val="clear" w:color="auto" w:fill="auto"/>
            <w:vAlign w:val="center"/>
            <w:hideMark/>
          </w:tcPr>
          <w:p w:rsidR="00A652A7" w:rsidRPr="00A5250E" w:rsidRDefault="00A652A7" w:rsidP="001C4FB9">
            <w:pPr>
              <w:widowControl/>
              <w:jc w:val="center"/>
              <w:rPr>
                <w:rFonts w:ascii="宋体" w:hAnsi="宋体" w:cs="宋体"/>
                <w:kern w:val="0"/>
                <w:sz w:val="20"/>
                <w:szCs w:val="20"/>
              </w:rPr>
            </w:pPr>
            <w:r w:rsidRPr="00A5250E">
              <w:rPr>
                <w:rFonts w:ascii="宋体" w:hAnsi="宋体" w:cs="宋体" w:hint="eastAsia"/>
                <w:kern w:val="0"/>
                <w:sz w:val="20"/>
                <w:szCs w:val="20"/>
              </w:rPr>
              <w:t xml:space="preserve">　</w:t>
            </w:r>
          </w:p>
        </w:tc>
        <w:tc>
          <w:tcPr>
            <w:tcW w:w="722" w:type="dxa"/>
            <w:tcBorders>
              <w:top w:val="nil"/>
              <w:left w:val="nil"/>
              <w:bottom w:val="single" w:sz="4" w:space="0" w:color="auto"/>
              <w:right w:val="single" w:sz="4" w:space="0" w:color="auto"/>
            </w:tcBorders>
            <w:shd w:val="clear" w:color="auto" w:fill="auto"/>
            <w:noWrap/>
            <w:vAlign w:val="center"/>
            <w:hideMark/>
          </w:tcPr>
          <w:p w:rsidR="00A652A7" w:rsidRPr="00A5250E" w:rsidRDefault="00A652A7" w:rsidP="001C4FB9">
            <w:pPr>
              <w:widowControl/>
              <w:jc w:val="left"/>
              <w:rPr>
                <w:rFonts w:ascii="宋体" w:hAnsi="宋体" w:cs="宋体"/>
                <w:kern w:val="0"/>
                <w:sz w:val="20"/>
                <w:szCs w:val="20"/>
              </w:rPr>
            </w:pPr>
            <w:r w:rsidRPr="00A5250E">
              <w:rPr>
                <w:rFonts w:ascii="宋体" w:hAnsi="宋体" w:cs="宋体" w:hint="eastAsia"/>
                <w:kern w:val="0"/>
                <w:sz w:val="20"/>
                <w:szCs w:val="20"/>
              </w:rPr>
              <w:t xml:space="preserve">　</w:t>
            </w:r>
          </w:p>
        </w:tc>
      </w:tr>
    </w:tbl>
    <w:p w:rsidR="00A652A7" w:rsidRPr="005F685F" w:rsidRDefault="00A652A7" w:rsidP="00A652A7">
      <w:pPr>
        <w:rPr>
          <w:rFonts w:ascii="仿宋" w:eastAsia="仿宋" w:hAnsi="仿宋" w:cs="仿宋_GB2312" w:hint="eastAsia"/>
          <w:sz w:val="24"/>
          <w:szCs w:val="20"/>
        </w:rPr>
        <w:sectPr w:rsidR="00A652A7" w:rsidRPr="005F685F" w:rsidSect="00802523">
          <w:pgSz w:w="16838" w:h="11906" w:orient="landscape" w:code="9"/>
          <w:pgMar w:top="1406" w:right="1246" w:bottom="1758" w:left="1440" w:header="1021" w:footer="902" w:gutter="0"/>
          <w:cols w:space="425"/>
          <w:titlePg/>
          <w:docGrid w:type="lines" w:linePitch="312"/>
        </w:sectPr>
      </w:pPr>
      <w:r w:rsidRPr="005F685F">
        <w:rPr>
          <w:rFonts w:ascii="仿宋" w:eastAsia="仿宋" w:hAnsi="仿宋" w:cs="仿宋_GB2312" w:hint="eastAsia"/>
          <w:sz w:val="24"/>
          <w:szCs w:val="20"/>
        </w:rPr>
        <w:t>注</w:t>
      </w:r>
      <w:r w:rsidRPr="005F685F">
        <w:rPr>
          <w:rFonts w:ascii="仿宋" w:eastAsia="仿宋" w:hAnsi="仿宋" w:cs="仿宋_GB2312"/>
          <w:sz w:val="24"/>
          <w:szCs w:val="20"/>
        </w:rPr>
        <w:t>：</w:t>
      </w:r>
      <w:r w:rsidRPr="005F685F">
        <w:rPr>
          <w:rFonts w:ascii="仿宋" w:eastAsia="仿宋" w:hAnsi="仿宋" w:cs="仿宋_GB2312" w:hint="eastAsia"/>
          <w:sz w:val="24"/>
          <w:szCs w:val="20"/>
        </w:rPr>
        <w:t>严禁改动《投标产品基本信息汇总表》的既定内容和格式（除行高和列宽），禁止合并单元格</w:t>
      </w:r>
      <w:r>
        <w:rPr>
          <w:rFonts w:ascii="仿宋" w:eastAsia="仿宋" w:hAnsi="仿宋" w:cs="仿宋_GB2312" w:hint="eastAsia"/>
          <w:sz w:val="24"/>
          <w:szCs w:val="20"/>
        </w:rPr>
        <w:t>。</w:t>
      </w:r>
      <w:r w:rsidRPr="005F685F">
        <w:rPr>
          <w:rFonts w:ascii="仿宋" w:eastAsia="仿宋" w:hAnsi="仿宋" w:cs="仿宋_GB2312" w:hint="eastAsia"/>
          <w:sz w:val="24"/>
          <w:szCs w:val="20"/>
        </w:rPr>
        <w:t>因投标企业随意更改内容和格式而造成不确定性的后果由投标企业自行承担。投标企业应根据要求认真如实填写《投标产品基本信息汇总表》每一项。《投标产品基本信息汇总表》所反映的投标产品信息将作为采购人进行资格审查和评标议价的基本依据，投标企业应认真填写。因投标企业填写失误造成产品无法成交的，由投标企业自行承担相应后果。</w:t>
      </w:r>
    </w:p>
    <w:p w:rsidR="00D377B9" w:rsidRPr="00A652A7" w:rsidRDefault="00D377B9" w:rsidP="00A652A7">
      <w:bookmarkStart w:id="0" w:name="_GoBack"/>
      <w:bookmarkEnd w:id="0"/>
    </w:p>
    <w:sectPr w:rsidR="00D377B9" w:rsidRPr="00A652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2A7"/>
    <w:rsid w:val="00A652A7"/>
    <w:rsid w:val="00D37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6DB916-20E3-477B-A9FB-E3B4C4C0C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2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Words>
  <Characters>430</Characters>
  <Application>Microsoft Office Word</Application>
  <DocSecurity>0</DocSecurity>
  <Lines>3</Lines>
  <Paragraphs>1</Paragraphs>
  <ScaleCrop>false</ScaleCrop>
  <Company/>
  <LinksUpToDate>false</LinksUpToDate>
  <CharactersWithSpaces>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Baoo</dc:creator>
  <cp:keywords/>
  <dc:description/>
  <cp:lastModifiedBy>Baoo</cp:lastModifiedBy>
  <cp:revision>1</cp:revision>
  <dcterms:created xsi:type="dcterms:W3CDTF">2018-12-26T11:09:00Z</dcterms:created>
  <dcterms:modified xsi:type="dcterms:W3CDTF">2018-12-26T11:10:00Z</dcterms:modified>
</cp:coreProperties>
</file>