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u w:val="single"/>
        </w:rPr>
      </w:pPr>
    </w:p>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w:t>
      </w:r>
    </w:p>
    <w:p>
      <w:pPr>
        <w:jc w:val="center"/>
        <w:outlineLvl w:val="0"/>
        <w:rPr>
          <w:rFonts w:ascii="仿宋" w:hAnsi="仿宋" w:eastAsia="仿宋" w:cs="仿宋"/>
          <w:sz w:val="44"/>
        </w:rPr>
      </w:pPr>
      <w:r>
        <w:rPr>
          <w:rFonts w:hint="eastAsia" w:ascii="仿宋" w:hAnsi="仿宋" w:eastAsia="仿宋" w:cs="仿宋"/>
          <w:b/>
          <w:spacing w:val="-12"/>
          <w:sz w:val="48"/>
          <w:szCs w:val="48"/>
        </w:rPr>
        <w:t>干部保健基地家具采购项目</w:t>
      </w: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b/>
          <w:sz w:val="72"/>
          <w:szCs w:val="72"/>
        </w:rPr>
      </w:pPr>
      <w:r>
        <w:rPr>
          <w:rFonts w:hint="eastAsia" w:ascii="仿宋" w:hAnsi="仿宋" w:eastAsia="仿宋" w:cs="仿宋"/>
          <w:b/>
          <w:sz w:val="72"/>
          <w:szCs w:val="72"/>
        </w:rPr>
        <w:t>件</w:t>
      </w:r>
    </w:p>
    <w:p>
      <w:pPr>
        <w:jc w:val="center"/>
        <w:outlineLvl w:val="0"/>
        <w:rPr>
          <w:rFonts w:ascii="仿宋" w:hAnsi="仿宋" w:eastAsia="仿宋" w:cs="仿宋"/>
          <w:b/>
          <w:sz w:val="36"/>
          <w:szCs w:val="36"/>
        </w:rPr>
      </w:pPr>
    </w:p>
    <w:p>
      <w:pPr>
        <w:jc w:val="center"/>
        <w:rPr>
          <w:rFonts w:ascii="仿宋" w:hAnsi="仿宋" w:eastAsia="仿宋" w:cs="仿宋"/>
          <w:b/>
          <w:sz w:val="28"/>
          <w:szCs w:val="28"/>
        </w:rPr>
      </w:pPr>
    </w:p>
    <w:p>
      <w:pPr>
        <w:jc w:val="center"/>
        <w:rPr>
          <w:rFonts w:ascii="仿宋" w:hAnsi="仿宋" w:eastAsia="仿宋" w:cs="仿宋"/>
          <w:b/>
          <w:sz w:val="28"/>
          <w:szCs w:val="28"/>
        </w:rPr>
      </w:pPr>
    </w:p>
    <w:p>
      <w:pPr>
        <w:pStyle w:val="3"/>
        <w:numPr>
          <w:ilvl w:val="0"/>
          <w:numId w:val="0"/>
        </w:numPr>
        <w:jc w:val="center"/>
        <w:rPr>
          <w:rFonts w:ascii="仿宋" w:hAnsi="仿宋" w:eastAsia="仿宋" w:cs="仿宋"/>
          <w:sz w:val="20"/>
          <w:szCs w:val="6"/>
        </w:rPr>
      </w:pPr>
      <w:r>
        <w:rPr>
          <w:rFonts w:hint="eastAsia" w:ascii="仿宋" w:hAnsi="仿宋" w:eastAsia="仿宋" w:cs="仿宋"/>
          <w:sz w:val="28"/>
          <w:szCs w:val="28"/>
        </w:rPr>
        <w:t>招标编号:HCZB-</w:t>
      </w:r>
      <w:bookmarkStart w:id="174" w:name="_GoBack"/>
      <w:r>
        <w:rPr>
          <w:rFonts w:hint="eastAsia" w:ascii="仿宋" w:hAnsi="仿宋" w:eastAsia="仿宋" w:cs="仿宋"/>
          <w:sz w:val="28"/>
          <w:szCs w:val="28"/>
        </w:rPr>
        <w:t>2022</w:t>
      </w:r>
      <w:bookmarkEnd w:id="174"/>
      <w:r>
        <w:rPr>
          <w:rFonts w:hint="eastAsia" w:ascii="仿宋" w:hAnsi="仿宋" w:eastAsia="仿宋" w:cs="仿宋"/>
          <w:sz w:val="28"/>
          <w:szCs w:val="28"/>
        </w:rPr>
        <w:t>-013</w:t>
      </w: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621040175"/>
              </w:rPr>
              <w:t>监督单</w:t>
            </w:r>
            <w:r>
              <w:rPr>
                <w:rFonts w:hint="eastAsia" w:ascii="仿宋" w:hAnsi="仿宋" w:eastAsia="仿宋" w:cs="仿宋"/>
                <w:spacing w:val="1"/>
                <w:kern w:val="0"/>
                <w:sz w:val="28"/>
                <w:szCs w:val="28"/>
                <w:fitText w:val="1680" w:id="62104017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rPr>
          <w:trHeight w:val="580" w:hRule="atLeast"/>
          <w:jc w:val="center"/>
        </w:trPr>
        <w:tc>
          <w:tcPr>
            <w:tcW w:w="7791" w:type="dxa"/>
            <w:gridSpan w:val="2"/>
            <w:vAlign w:val="center"/>
          </w:tcPr>
          <w:p>
            <w:pPr>
              <w:spacing w:after="100" w:afterAutospacing="1" w:line="440" w:lineRule="exact"/>
              <w:jc w:val="center"/>
              <w:rPr>
                <w:rFonts w:ascii="仿宋" w:hAnsi="仿宋" w:eastAsia="仿宋" w:cs="仿宋"/>
                <w:sz w:val="28"/>
                <w:szCs w:val="28"/>
              </w:rPr>
            </w:pPr>
            <w:r>
              <w:rPr>
                <w:rFonts w:hint="eastAsia" w:ascii="仿宋_GB2312" w:eastAsia="仿宋_GB2312"/>
                <w:sz w:val="28"/>
                <w:szCs w:val="28"/>
              </w:rPr>
              <w:t>二○二</w:t>
            </w:r>
            <w:r>
              <w:rPr>
                <w:rFonts w:hint="eastAsia" w:ascii="仿宋_GB2312" w:eastAsia="仿宋_GB2312"/>
                <w:sz w:val="28"/>
                <w:szCs w:val="28"/>
                <w:lang w:val="en-US" w:eastAsia="zh-CN"/>
              </w:rPr>
              <w:t>三</w:t>
            </w:r>
            <w:r>
              <w:rPr>
                <w:rFonts w:hint="eastAsia" w:ascii="仿宋_GB2312" w:eastAsia="仿宋_GB2312"/>
                <w:sz w:val="28"/>
                <w:szCs w:val="28"/>
              </w:rPr>
              <w:t>年月</w:t>
            </w:r>
          </w:p>
        </w:tc>
      </w:tr>
    </w:tbl>
    <w:p>
      <w:pPr>
        <w:jc w:val="center"/>
        <w:rPr>
          <w:rFonts w:ascii="仿宋" w:hAnsi="仿宋" w:eastAsia="仿宋" w:cs="仿宋"/>
          <w:b/>
          <w:sz w:val="44"/>
          <w:szCs w:val="44"/>
        </w:rPr>
      </w:pPr>
    </w:p>
    <w:p>
      <w:pPr>
        <w:rPr>
          <w:rFonts w:ascii="仿宋" w:hAnsi="仿宋" w:eastAsia="仿宋" w:cs="仿宋"/>
          <w:b/>
          <w:sz w:val="44"/>
          <w:szCs w:val="44"/>
        </w:rPr>
        <w:sectPr>
          <w:headerReference r:id="rId4" w:type="first"/>
          <w:headerReference r:id="rId3" w:type="default"/>
          <w:pgSz w:w="11907" w:h="16840"/>
          <w:pgMar w:top="1474" w:right="1814" w:bottom="1474" w:left="1814" w:header="851" w:footer="850" w:gutter="0"/>
          <w:cols w:space="0" w:num="1"/>
          <w:titlePg/>
          <w:docGrid w:linePitch="286" w:charSpace="0"/>
        </w:sectPr>
      </w:pPr>
    </w:p>
    <w:p>
      <w:pPr>
        <w:pStyle w:val="2"/>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numPr>
          <w:ilvl w:val="0"/>
          <w:numId w:val="6"/>
        </w:numPr>
        <w:jc w:val="center"/>
        <w:rPr>
          <w:rFonts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9"/>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项目编号：HCZB-2022-013</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项目名称：绍兴市人民医院干部保健基地家具采购项目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预算金额（元）：203000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最高限价（元）：200684</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标项名称:绍兴市人民医院干部保健基地家具采购项目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数量:1项</w:t>
            </w:r>
            <w:r>
              <w:rPr>
                <w:rFonts w:hint="eastAsia" w:ascii="仿宋" w:hAnsi="仿宋" w:eastAsia="仿宋" w:cs="仿宋"/>
                <w:szCs w:val="24"/>
              </w:rPr>
              <w:br w:type="textWrapping"/>
            </w:r>
            <w:r>
              <w:rPr>
                <w:rFonts w:hint="eastAsia" w:ascii="仿宋" w:hAnsi="仿宋" w:eastAsia="仿宋" w:cs="仿宋"/>
                <w:szCs w:val="24"/>
              </w:rPr>
              <w:t>  预算金额（元）:203000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482"/>
              <w:rPr>
                <w:rFonts w:ascii="仿宋" w:hAnsi="仿宋" w:eastAsia="仿宋" w:cs="仿宋"/>
                <w:b/>
                <w:bCs/>
                <w:szCs w:val="24"/>
              </w:rPr>
            </w:pPr>
            <w:r>
              <w:rPr>
                <w:rFonts w:hint="eastAsia" w:ascii="仿宋" w:hAnsi="仿宋" w:eastAsia="仿宋" w:cs="仿宋"/>
                <w:b/>
                <w:bCs/>
                <w:szCs w:val="24"/>
              </w:rPr>
              <w:t>本项目（否）接受联合体投标。</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69"/>
              <w:spacing w:afterLines="0" w:line="440" w:lineRule="exact"/>
              <w:ind w:firstLine="422"/>
              <w:rPr>
                <w:rFonts w:ascii="仿宋" w:hAnsi="仿宋" w:eastAsia="仿宋" w:cs="仿宋"/>
                <w:b/>
                <w:bCs/>
                <w:szCs w:val="24"/>
              </w:rPr>
            </w:pPr>
            <w:sdt>
              <w:sdtPr>
                <w:rPr>
                  <w:rFonts w:hint="eastAsia" w:ascii="仿宋" w:hAnsi="仿宋" w:eastAsia="仿宋" w:cs="仿宋"/>
                  <w:b/>
                  <w:bCs/>
                  <w:sz w:val="21"/>
                  <w:szCs w:val="21"/>
                </w:rPr>
                <w:id w:val="725337177"/>
              </w:sdtPr>
              <w:sdtEndPr>
                <w:rPr>
                  <w:rFonts w:hint="eastAsia" w:ascii="仿宋" w:hAnsi="仿宋" w:eastAsia="仿宋" w:cs="仿宋"/>
                  <w:b/>
                  <w:bCs/>
                  <w:sz w:val="21"/>
                  <w:szCs w:val="21"/>
                </w:rPr>
              </w:sdtEndPr>
              <w:sdtContent>
                <w:r>
                  <w:rPr>
                    <w:rFonts w:hint="eastAsia" w:ascii="仿宋" w:hAnsi="仿宋" w:eastAsia="仿宋" w:cs="仿宋"/>
                    <w:b/>
                    <w:bCs/>
                  </w:rPr>
                  <w:sym w:font="Wingdings" w:char="00A8"/>
                </w:r>
              </w:sdtContent>
            </w:sdt>
            <w:r>
              <w:rPr>
                <w:rFonts w:hint="eastAsia" w:ascii="仿宋" w:hAnsi="仿宋" w:eastAsia="仿宋" w:cs="仿宋"/>
                <w:b/>
                <w:bCs/>
              </w:rPr>
              <w:t>无；</w:t>
            </w:r>
          </w:p>
          <w:p>
            <w:pPr>
              <w:spacing w:line="360" w:lineRule="auto"/>
              <w:ind w:firstLine="422" w:firstLineChars="200"/>
              <w:rPr>
                <w:rFonts w:ascii="仿宋" w:hAnsi="仿宋" w:eastAsia="仿宋" w:cs="仿宋"/>
                <w:sz w:val="24"/>
              </w:rPr>
            </w:pPr>
            <w:sdt>
              <w:sdtPr>
                <w:rPr>
                  <w:rFonts w:hint="eastAsia" w:ascii="仿宋" w:hAnsi="仿宋" w:eastAsia="仿宋" w:cs="仿宋"/>
                  <w:b/>
                  <w:bCs/>
                  <w:szCs w:val="21"/>
                </w:rPr>
                <w:id w:val="519822208"/>
              </w:sdtPr>
              <w:sdtEndPr>
                <w:rPr>
                  <w:rFonts w:hint="eastAsia" w:ascii="仿宋" w:hAnsi="仿宋" w:eastAsia="仿宋" w:cs="仿宋"/>
                  <w:b/>
                  <w:bCs/>
                  <w:szCs w:val="21"/>
                </w:rPr>
              </w:sdtEndPr>
              <w:sdtContent>
                <w:r>
                  <w:rPr>
                    <w:rFonts w:hint="eastAsia" w:ascii="仿宋" w:hAnsi="仿宋" w:eastAsia="仿宋" w:cs="仿宋"/>
                    <w:b/>
                    <w:bCs/>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8" w:firstLineChars="374"/>
              <w:rPr>
                <w:rFonts w:ascii="仿宋" w:hAnsi="仿宋" w:eastAsia="仿宋" w:cs="仿宋"/>
                <w:sz w:val="24"/>
              </w:rPr>
            </w:pPr>
            <w:sdt>
              <w:sdtPr>
                <w:rPr>
                  <w:rFonts w:hint="eastAsia" w:ascii="仿宋" w:hAnsi="仿宋" w:eastAsia="仿宋" w:cs="仿宋"/>
                  <w:b/>
                  <w:bCs/>
                  <w:szCs w:val="21"/>
                </w:rPr>
                <w:id w:val="503480032"/>
              </w:sdtPr>
              <w:sdtEndPr>
                <w:rPr>
                  <w:rFonts w:hint="eastAsia" w:ascii="仿宋" w:hAnsi="仿宋" w:eastAsia="仿宋" w:cs="仿宋"/>
                  <w:b/>
                  <w:bCs/>
                  <w:szCs w:val="21"/>
                </w:rPr>
              </w:sdtEndPr>
              <w:sdtContent>
                <w:r>
                  <w:rPr>
                    <w:rFonts w:hint="eastAsia" w:ascii="仿宋" w:hAnsi="仿宋" w:eastAsia="仿宋" w:cs="仿宋"/>
                    <w:b/>
                    <w:bCs/>
                  </w:rPr>
                  <w:sym w:font="Wingdings" w:char="00FE"/>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9"/>
              <w:numPr>
                <w:ilvl w:val="0"/>
                <w:numId w:val="7"/>
              </w:numPr>
              <w:spacing w:afterLines="0" w:line="440" w:lineRule="exact"/>
              <w:ind w:firstLine="480"/>
              <w:rPr>
                <w:rFonts w:ascii="仿宋" w:hAnsi="仿宋" w:eastAsia="仿宋" w:cs="仿宋"/>
                <w:szCs w:val="24"/>
              </w:rPr>
            </w:pPr>
            <w:r>
              <w:rPr>
                <w:rFonts w:hint="eastAsia" w:ascii="仿宋" w:hAnsi="仿宋" w:eastAsia="仿宋" w:cs="仿宋"/>
                <w:szCs w:val="24"/>
              </w:rPr>
              <w:t>本项目的特定资格要求：无</w:t>
            </w:r>
            <w:r>
              <w:rPr>
                <w:rFonts w:hint="eastAsia" w:ascii="仿宋" w:hAnsi="仿宋" w:eastAsia="仿宋" w:cs="仿宋"/>
                <w:szCs w:val="24"/>
                <w:lang w:eastAsia="zh-CN"/>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3</w:t>
            </w:r>
            <w:r>
              <w:rPr>
                <w:rFonts w:hint="eastAsia" w:ascii="仿宋" w:hAnsi="仿宋" w:eastAsia="仿宋" w:cs="仿宋"/>
                <w:sz w:val="24"/>
              </w:rPr>
              <w:t>年月日上午8:30—11:30；下午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年月日（北京时间）以前将投标文件密封送交到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hAnsi="仿宋" w:eastAsia="仿宋" w:cs="仿宋"/>
                <w:sz w:val="24"/>
                <w:u w:val="single"/>
              </w:rPr>
              <w:t>投标截止时间</w:t>
            </w:r>
            <w:r>
              <w:rPr>
                <w:rFonts w:hint="eastAsia" w:ascii="仿宋" w:hAnsi="仿宋" w:eastAsia="仿宋" w:cs="仿宋"/>
                <w:sz w:val="24"/>
              </w:rPr>
              <w:t>前未收到投标文件，则作自动放弃投标处理，由投标供应商自行承担责任，邮寄地址：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联系人：毕龙梅电话：15068545458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投标截止时间</w:t>
            </w:r>
            <w:r>
              <w:rPr>
                <w:rFonts w:hint="eastAsia" w:ascii="仿宋" w:hAnsi="仿宋" w:eastAsia="仿宋" w:cs="仿宋"/>
                <w:sz w:val="24"/>
              </w:rPr>
              <w:t>前将投标文件密封送交，</w:t>
            </w:r>
            <w:r>
              <w:rPr>
                <w:rFonts w:hint="eastAsia" w:ascii="仿宋" w:hAnsi="仿宋" w:eastAsia="仿宋" w:cs="仿宋"/>
                <w:b/>
                <w:bCs/>
                <w:sz w:val="24"/>
              </w:rPr>
              <w:t>未获取招标文件送达或</w:t>
            </w:r>
            <w:r>
              <w:rPr>
                <w:rFonts w:hint="eastAsia" w:ascii="仿宋" w:hAnsi="仿宋" w:eastAsia="仿宋" w:cs="仿宋"/>
                <w:sz w:val="24"/>
              </w:rPr>
              <w:t>逾期送达不予接收，应即交即走，不参加后续开标会。现场递交地址：</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由于疫情影响采用不见面开标，法定代表人或其授权代表不用出席开标会议。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ascii="仿宋" w:hAnsi="仿宋" w:eastAsia="仿宋" w:cs="仿宋"/>
                <w:color w:val="FF0000"/>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sz w:val="24"/>
              </w:rPr>
              <w:t>，绍兴市卫健委官网：http://sxws.sx.gov.cn/</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八、采购公告期限：本公告发布之日起五个工作日。</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九、其他事宜</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十、对本次采购提出询问、质疑、投诉，请按以下方式联系</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项目联系人（询问）：沈王玮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项目联系方式（询问）：0575-88558837</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质疑联系人：沈少卿</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质疑联系方式：0575-88558836</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质疑联系人：詹栋炯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3.同级采购监督管理部门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联系人：茅艳萍     </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pStyle w:val="69"/>
              <w:widowControl w:val="0"/>
              <w:spacing w:afterLines="0" w:line="312" w:lineRule="auto"/>
              <w:ind w:firstLine="480"/>
              <w:rPr>
                <w:rFonts w:ascii="仿宋" w:hAnsi="仿宋" w:eastAsia="仿宋" w:cs="仿宋"/>
                <w:szCs w:val="24"/>
              </w:rPr>
            </w:pPr>
          </w:p>
          <w:p>
            <w:pPr>
              <w:pStyle w:val="69"/>
              <w:spacing w:afterLines="0" w:line="440" w:lineRule="exact"/>
              <w:ind w:firstLine="480"/>
              <w:rPr>
                <w:rFonts w:ascii="仿宋" w:hAnsi="仿宋" w:eastAsia="仿宋" w:cs="仿宋"/>
                <w:szCs w:val="24"/>
              </w:rPr>
            </w:pPr>
          </w:p>
        </w:tc>
      </w:tr>
      <w:tr>
        <w:tblPrEx>
          <w:tblCellMar>
            <w:top w:w="0" w:type="dxa"/>
            <w:left w:w="0" w:type="dxa"/>
            <w:bottom w:w="0" w:type="dxa"/>
            <w:right w:w="0" w:type="dxa"/>
          </w:tblCellMar>
        </w:tblPrEx>
        <w:tc>
          <w:tcPr>
            <w:tcW w:w="8279" w:type="dxa"/>
            <w:vAlign w:val="center"/>
          </w:tcPr>
          <w:p>
            <w:pPr>
              <w:rPr>
                <w:rFonts w:ascii="仿宋" w:hAnsi="仿宋" w:eastAsia="仿宋" w:cs="仿宋"/>
              </w:rPr>
            </w:pPr>
          </w:p>
        </w:tc>
      </w:tr>
    </w:tbl>
    <w:p>
      <w:pPr>
        <w:widowControl/>
        <w:jc w:val="center"/>
        <w:rPr>
          <w:rFonts w:ascii="仿宋" w:hAnsi="仿宋" w:eastAsia="仿宋" w:cs="仿宋"/>
          <w:kern w:val="0"/>
          <w:sz w:val="24"/>
        </w:rPr>
      </w:pPr>
      <w:r>
        <w:rPr>
          <w:rFonts w:hint="eastAsia" w:ascii="仿宋" w:hAnsi="仿宋" w:eastAsia="仿宋" w:cs="仿宋"/>
          <w:kern w:val="0"/>
          <w:sz w:val="24"/>
        </w:rPr>
        <w:t>公告时间：202</w:t>
      </w:r>
      <w:r>
        <w:rPr>
          <w:rFonts w:hint="eastAsia" w:ascii="仿宋" w:hAnsi="仿宋" w:eastAsia="仿宋" w:cs="仿宋"/>
          <w:kern w:val="0"/>
          <w:sz w:val="24"/>
          <w:lang w:val="en-US" w:eastAsia="zh-CN"/>
        </w:rPr>
        <w:t>3</w:t>
      </w:r>
      <w:r>
        <w:rPr>
          <w:rFonts w:hint="eastAsia" w:ascii="仿宋" w:hAnsi="仿宋" w:eastAsia="仿宋" w:cs="仿宋"/>
          <w:kern w:val="0"/>
          <w:sz w:val="24"/>
        </w:rPr>
        <w:t>年月日</w:t>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第二部分投标须知</w:t>
      </w:r>
    </w:p>
    <w:p>
      <w:pPr>
        <w:ind w:left="238"/>
        <w:jc w:val="center"/>
        <w:rPr>
          <w:rFonts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pStyle w:val="69"/>
              <w:spacing w:afterLines="0" w:line="440" w:lineRule="exact"/>
              <w:ind w:firstLine="0" w:firstLineChars="0"/>
              <w:rPr>
                <w:rFonts w:ascii="仿宋" w:hAnsi="仿宋" w:eastAsia="仿宋" w:cs="仿宋"/>
              </w:rPr>
            </w:pPr>
            <w:r>
              <w:rPr>
                <w:rFonts w:hint="eastAsia" w:ascii="仿宋" w:hAnsi="仿宋" w:eastAsia="仿宋" w:cs="仿宋"/>
              </w:rPr>
              <w:t>样品提供：</w:t>
            </w:r>
          </w:p>
          <w:p>
            <w:pPr>
              <w:kinsoku w:val="0"/>
              <w:autoSpaceDE w:val="0"/>
              <w:autoSpaceDN w:val="0"/>
              <w:spacing w:line="360" w:lineRule="auto"/>
              <w:jc w:val="left"/>
              <w:rPr>
                <w:rFonts w:ascii="仿宋" w:hAnsi="仿宋" w:eastAsia="仿宋" w:cs="仿宋"/>
                <w:bCs/>
                <w:sz w:val="24"/>
              </w:rPr>
            </w:pPr>
            <w:sdt>
              <w:sdtPr>
                <w:rPr>
                  <w:rFonts w:hint="eastAsia" w:ascii="仿宋" w:hAnsi="仿宋" w:eastAsia="仿宋" w:cs="仿宋"/>
                  <w:sz w:val="24"/>
                </w:rPr>
                <w:id w:val="-740788832"/>
              </w:sdtPr>
              <w:sdtEndPr>
                <w:rPr>
                  <w:rFonts w:hint="eastAsia" w:ascii="仿宋" w:hAnsi="仿宋" w:eastAsia="仿宋" w:cs="仿宋"/>
                  <w:sz w:val="24"/>
                </w:rPr>
              </w:sdtEndPr>
              <w:sdtContent>
                <w:sdt>
                  <w:sdtPr>
                    <w:rPr>
                      <w:rFonts w:hint="eastAsia" w:ascii="仿宋" w:hAnsi="仿宋" w:eastAsia="仿宋" w:cs="仿宋"/>
                      <w:sz w:val="24"/>
                    </w:rPr>
                    <w:id w:val="1026831988"/>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Content>
            </w:sdt>
            <w:r>
              <w:rPr>
                <w:rFonts w:hint="eastAsia" w:ascii="仿宋" w:hAnsi="仿宋" w:eastAsia="仿宋" w:cs="仿宋"/>
                <w:sz w:val="24"/>
              </w:rPr>
              <w:t>A不要求提供。</w:t>
            </w:r>
          </w:p>
          <w:p>
            <w:pPr>
              <w:pStyle w:val="69"/>
              <w:spacing w:afterLines="0" w:line="440" w:lineRule="exact"/>
              <w:ind w:firstLine="0" w:firstLineChars="0"/>
              <w:rPr>
                <w:rFonts w:ascii="仿宋" w:hAnsi="仿宋" w:eastAsia="仿宋" w:cs="仿宋"/>
              </w:rPr>
            </w:pPr>
            <w:r>
              <w:rPr>
                <w:rFonts w:hint="eastAsia" w:ascii="仿宋" w:hAnsi="仿宋" w:eastAsia="仿宋" w:cs="仿宋"/>
              </w:rPr>
              <w:sym w:font="Wingdings 2" w:char="0052"/>
            </w:r>
            <w:r>
              <w:rPr>
                <w:rFonts w:hint="eastAsia" w:ascii="仿宋" w:hAnsi="仿宋" w:eastAsia="仿宋" w:cs="仿宋"/>
              </w:rPr>
              <w:t>B要求提供，</w:t>
            </w:r>
          </w:p>
          <w:p>
            <w:pPr>
              <w:autoSpaceDE w:val="0"/>
              <w:spacing w:line="360" w:lineRule="auto"/>
              <w:ind w:firstLine="480" w:firstLineChars="200"/>
              <w:rPr>
                <w:rFonts w:ascii="仿宋" w:hAnsi="仿宋" w:eastAsia="仿宋" w:cs="仿宋"/>
                <w:sz w:val="24"/>
              </w:rPr>
            </w:pPr>
            <w:r>
              <w:rPr>
                <w:rFonts w:hint="eastAsia" w:ascii="仿宋" w:hAnsi="仿宋" w:eastAsia="仿宋" w:cs="仿宋"/>
                <w:sz w:val="24"/>
              </w:rPr>
              <w:t>样品：</w:t>
            </w:r>
            <w:r>
              <w:rPr>
                <w:rFonts w:hint="eastAsia" w:ascii="仿宋" w:hAnsi="仿宋" w:eastAsia="仿宋" w:cs="仿宋"/>
                <w:bCs/>
                <w:sz w:val="24"/>
              </w:rPr>
              <w:t>序号3办公椅1把；序号29咨询服务台1个（样品尺寸：1000*600*800mm）；</w:t>
            </w:r>
          </w:p>
          <w:p>
            <w:pPr>
              <w:pStyle w:val="69"/>
              <w:spacing w:afterLines="0" w:line="440" w:lineRule="exact"/>
              <w:ind w:firstLine="0" w:firstLineChars="0"/>
              <w:rPr>
                <w:rFonts w:ascii="仿宋" w:hAnsi="仿宋" w:eastAsia="仿宋" w:cs="仿宋"/>
              </w:rPr>
            </w:pPr>
            <w:r>
              <w:rPr>
                <w:rFonts w:hint="eastAsia" w:ascii="仿宋" w:hAnsi="仿宋" w:eastAsia="仿宋" w:cs="仿宋"/>
              </w:rPr>
              <w:t>（2）样品制作的标准和要求：详见采购需求；</w:t>
            </w:r>
          </w:p>
          <w:p>
            <w:pPr>
              <w:pStyle w:val="69"/>
              <w:spacing w:afterLines="0" w:line="440" w:lineRule="exact"/>
              <w:ind w:firstLine="0" w:firstLineChars="0"/>
              <w:rPr>
                <w:rFonts w:ascii="仿宋" w:hAnsi="仿宋" w:eastAsia="仿宋" w:cs="仿宋"/>
              </w:rPr>
            </w:pPr>
            <w:r>
              <w:rPr>
                <w:rFonts w:hint="eastAsia" w:ascii="仿宋" w:hAnsi="仿宋" w:eastAsia="仿宋" w:cs="仿宋"/>
              </w:rPr>
              <w:t>（3）样品的评审方法以及评审标准：详见评标办法；</w:t>
            </w:r>
          </w:p>
          <w:p>
            <w:pPr>
              <w:pStyle w:val="69"/>
              <w:spacing w:afterLines="0" w:line="440" w:lineRule="exact"/>
              <w:ind w:firstLine="0" w:firstLineChars="0"/>
              <w:rPr>
                <w:rFonts w:ascii="仿宋" w:hAnsi="仿宋" w:eastAsia="仿宋" w:cs="仿宋"/>
              </w:rPr>
            </w:pPr>
            <w:r>
              <w:rPr>
                <w:rFonts w:hint="eastAsia" w:ascii="仿宋" w:hAnsi="仿宋" w:eastAsia="仿宋" w:cs="仿宋"/>
              </w:rPr>
              <w:t>（4）是否需要随样品提交检测报告：</w:t>
            </w:r>
            <w:sdt>
              <w:sdtPr>
                <w:rPr>
                  <w:rFonts w:hint="eastAsia" w:ascii="仿宋" w:hAnsi="仿宋" w:eastAsia="仿宋" w:cs="仿宋"/>
                </w:rPr>
                <w:id w:val="1303421454"/>
              </w:sdtPr>
              <w:sdtEndPr>
                <w:rPr>
                  <w:rFonts w:hint="eastAsia" w:ascii="仿宋" w:hAnsi="仿宋" w:eastAsia="仿宋" w:cs="仿宋"/>
                </w:rPr>
              </w:sdtEndPr>
              <w:sdtContent>
                <w:sdt>
                  <w:sdtPr>
                    <w:rPr>
                      <w:rFonts w:hint="eastAsia" w:ascii="仿宋" w:hAnsi="仿宋" w:eastAsia="仿宋" w:cs="仿宋"/>
                    </w:rPr>
                    <w:id w:val="69604611"/>
                  </w:sdtPr>
                  <w:sdtEndPr>
                    <w:rPr>
                      <w:rFonts w:hint="eastAsia" w:ascii="仿宋" w:hAnsi="仿宋" w:eastAsia="仿宋" w:cs="仿宋"/>
                    </w:rPr>
                  </w:sdtEndPr>
                  <w:sdtContent>
                    <w:sdt>
                      <w:sdtPr>
                        <w:rPr>
                          <w:rFonts w:hint="eastAsia" w:ascii="仿宋" w:hAnsi="仿宋" w:eastAsia="仿宋" w:cs="仿宋"/>
                        </w:rPr>
                        <w:id w:val="69604612"/>
                      </w:sdtPr>
                      <w:sdtEndPr>
                        <w:rPr>
                          <w:rFonts w:hint="eastAsia" w:ascii="仿宋" w:hAnsi="仿宋" w:eastAsia="仿宋" w:cs="仿宋"/>
                        </w:rPr>
                      </w:sdtEndPr>
                      <w:sdtContent>
                        <w:r>
                          <w:rPr>
                            <w:rFonts w:hint="eastAsia" w:ascii="仿宋" w:hAnsi="仿宋" w:eastAsia="仿宋" w:cs="仿宋"/>
                          </w:rPr>
                          <w:sym w:font="Wingdings 2" w:char="0052"/>
                        </w:r>
                      </w:sdtContent>
                    </w:sdt>
                  </w:sdtContent>
                </w:sdt>
              </w:sdtContent>
            </w:sdt>
            <w:r>
              <w:rPr>
                <w:rFonts w:hint="eastAsia" w:ascii="仿宋" w:hAnsi="仿宋" w:eastAsia="仿宋" w:cs="仿宋"/>
              </w:rPr>
              <w:t>否；</w:t>
            </w:r>
            <w:sdt>
              <w:sdtPr>
                <w:rPr>
                  <w:rFonts w:hint="eastAsia" w:ascii="仿宋" w:hAnsi="仿宋" w:eastAsia="仿宋" w:cs="仿宋"/>
                </w:rPr>
                <w:id w:val="1621728433"/>
              </w:sdtPr>
              <w:sdtEndPr>
                <w:rPr>
                  <w:rFonts w:hint="eastAsia" w:ascii="仿宋" w:hAnsi="仿宋" w:eastAsia="仿宋" w:cs="仿宋"/>
                </w:rPr>
              </w:sdtEndPr>
              <w:sdtContent>
                <w:sdt>
                  <w:sdtPr>
                    <w:rPr>
                      <w:rFonts w:hint="eastAsia" w:ascii="仿宋" w:hAnsi="仿宋" w:eastAsia="仿宋" w:cs="仿宋"/>
                    </w:rPr>
                    <w:id w:val="1414742328"/>
                  </w:sdtPr>
                  <w:sdtEndPr>
                    <w:rPr>
                      <w:rFonts w:hint="eastAsia" w:ascii="仿宋" w:hAnsi="仿宋" w:eastAsia="仿宋" w:cs="仿宋"/>
                    </w:rPr>
                  </w:sdtEndPr>
                  <w:sdtContent>
                    <w:r>
                      <w:rPr>
                        <w:rFonts w:hint="eastAsia" w:ascii="仿宋" w:hAnsi="仿宋" w:eastAsia="仿宋" w:cs="仿宋"/>
                      </w:rPr>
                      <w:t>□</w:t>
                    </w:r>
                  </w:sdtContent>
                </w:sdt>
              </w:sdtContent>
            </w:sdt>
            <w:r>
              <w:rPr>
                <w:rFonts w:hint="eastAsia" w:ascii="仿宋" w:hAnsi="仿宋" w:eastAsia="仿宋" w:cs="仿宋"/>
              </w:rPr>
              <w:t>是，检测机构的要求：；检测内容：。</w:t>
            </w:r>
          </w:p>
          <w:p>
            <w:pPr>
              <w:pStyle w:val="69"/>
              <w:spacing w:afterLines="0" w:line="440" w:lineRule="exact"/>
              <w:ind w:firstLine="0" w:firstLineChars="0"/>
              <w:rPr>
                <w:rFonts w:ascii="仿宋" w:hAnsi="仿宋" w:eastAsia="仿宋" w:cs="仿宋"/>
              </w:rPr>
            </w:pPr>
            <w:r>
              <w:rPr>
                <w:rFonts w:hint="eastAsia" w:ascii="仿宋" w:hAnsi="仿宋" w:eastAsia="仿宋" w:cs="仿宋"/>
              </w:rPr>
              <w:t>（5）提供样品的时间：提交投标文件截止时间前；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pStyle w:val="69"/>
              <w:spacing w:afterLines="0" w:line="440" w:lineRule="exact"/>
              <w:ind w:firstLine="0" w:firstLineChars="0"/>
              <w:rPr>
                <w:rFonts w:ascii="仿宋" w:hAnsi="仿宋" w:eastAsia="仿宋" w:cs="仿宋"/>
              </w:rPr>
            </w:pPr>
            <w:r>
              <w:rPr>
                <w:rFonts w:hint="eastAsia" w:ascii="仿宋" w:hAnsi="仿宋" w:eastAsia="仿宋" w:cs="仿宋"/>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pStyle w:val="69"/>
              <w:spacing w:afterLines="0" w:line="440" w:lineRule="exact"/>
              <w:ind w:firstLine="0" w:firstLineChars="0"/>
              <w:rPr>
                <w:rFonts w:ascii="仿宋" w:hAnsi="仿宋" w:eastAsia="仿宋" w:cs="仿宋"/>
              </w:rPr>
            </w:pPr>
            <w:r>
              <w:rPr>
                <w:rFonts w:hint="eastAsia" w:ascii="仿宋" w:hAnsi="仿宋" w:eastAsia="仿宋" w:cs="仿宋"/>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pStyle w:val="69"/>
              <w:spacing w:afterLines="0" w:line="440" w:lineRule="exact"/>
              <w:ind w:firstLine="0" w:firstLineChars="0"/>
              <w:rPr>
                <w:rFonts w:ascii="仿宋" w:hAnsi="仿宋" w:eastAsia="仿宋" w:cs="仿宋"/>
              </w:rPr>
            </w:pPr>
            <w:r>
              <w:rPr>
                <w:rFonts w:hint="eastAsia" w:ascii="仿宋" w:hAnsi="仿宋" w:eastAsia="仿宋" w:cs="仿宋"/>
              </w:rPr>
              <w:t>方案讲解演示：</w:t>
            </w:r>
          </w:p>
          <w:p>
            <w:pPr>
              <w:pStyle w:val="69"/>
              <w:spacing w:afterLines="0" w:line="440" w:lineRule="exact"/>
              <w:ind w:firstLine="0" w:firstLineChars="0"/>
              <w:rPr>
                <w:rFonts w:ascii="仿宋" w:hAnsi="仿宋" w:eastAsia="仿宋" w:cs="仿宋"/>
              </w:rPr>
            </w:pPr>
            <w:sdt>
              <w:sdtPr>
                <w:rPr>
                  <w:rFonts w:hint="eastAsia" w:ascii="仿宋" w:hAnsi="仿宋" w:eastAsia="仿宋" w:cs="仿宋"/>
                </w:rPr>
                <w:id w:val="801731539"/>
              </w:sdtPr>
              <w:sdtEndPr>
                <w:rPr>
                  <w:rFonts w:hint="eastAsia" w:ascii="仿宋" w:hAnsi="仿宋" w:eastAsia="仿宋" w:cs="仿宋"/>
                </w:rPr>
              </w:sdtEndPr>
              <w:sdtContent>
                <w:sdt>
                  <w:sdtPr>
                    <w:rPr>
                      <w:rFonts w:hint="eastAsia" w:ascii="仿宋" w:hAnsi="仿宋" w:eastAsia="仿宋" w:cs="仿宋"/>
                    </w:rPr>
                    <w:id w:val="-1281644016"/>
                  </w:sdtPr>
                  <w:sdtEndPr>
                    <w:rPr>
                      <w:rFonts w:hint="eastAsia" w:ascii="仿宋" w:hAnsi="仿宋" w:eastAsia="仿宋" w:cs="仿宋"/>
                    </w:rPr>
                  </w:sdtEndPr>
                  <w:sdtContent>
                    <w:r>
                      <w:rPr>
                        <w:rFonts w:hint="eastAsia" w:ascii="仿宋" w:hAnsi="仿宋" w:eastAsia="仿宋" w:cs="仿宋"/>
                      </w:rPr>
                      <w:sym w:font="Wingdings" w:char="00FE"/>
                    </w:r>
                  </w:sdtContent>
                </w:sdt>
              </w:sdtContent>
            </w:sdt>
            <w:r>
              <w:rPr>
                <w:rFonts w:hint="eastAsia" w:ascii="仿宋" w:hAnsi="仿宋" w:eastAsia="仿宋" w:cs="仿宋"/>
              </w:rPr>
              <w:t>A无方案讲解演示。</w:t>
            </w:r>
          </w:p>
          <w:p>
            <w:pPr>
              <w:pStyle w:val="69"/>
              <w:spacing w:afterLines="0" w:line="440" w:lineRule="exact"/>
              <w:ind w:firstLine="0" w:firstLineChars="0"/>
              <w:rPr>
                <w:rFonts w:ascii="仿宋" w:hAnsi="仿宋" w:eastAsia="仿宋" w:cs="仿宋"/>
              </w:rPr>
            </w:pPr>
            <w:r>
              <w:rPr>
                <w:rFonts w:hint="eastAsia" w:ascii="仿宋" w:hAnsi="仿宋" w:eastAsia="仿宋" w:cs="仿宋"/>
              </w:rPr>
              <w:sym w:font="Wingdings 2" w:char="00A3"/>
            </w:r>
            <w:r>
              <w:rPr>
                <w:rFonts w:hint="eastAsia" w:ascii="仿宋" w:hAnsi="仿宋" w:eastAsia="仿宋" w:cs="仿宋"/>
              </w:rPr>
              <w:t>B有方案讲解演示：</w:t>
            </w:r>
          </w:p>
          <w:p>
            <w:pPr>
              <w:pStyle w:val="69"/>
              <w:spacing w:afterLines="0" w:line="440" w:lineRule="exact"/>
              <w:ind w:firstLine="0" w:firstLineChars="0"/>
              <w:rPr>
                <w:rFonts w:ascii="仿宋" w:hAnsi="仿宋" w:eastAsia="仿宋" w:cs="仿宋"/>
              </w:rPr>
            </w:pPr>
            <w:r>
              <w:rPr>
                <w:rFonts w:hint="eastAsia" w:ascii="仿宋" w:hAnsi="仿宋" w:eastAsia="仿宋" w:cs="仿宋"/>
              </w:rPr>
              <w:t>在评标时安排每个投标人进行方案讲解演示，讲解演示结束后按要求解答评标委员会的提问。</w:t>
            </w:r>
          </w:p>
          <w:p>
            <w:pPr>
              <w:pStyle w:val="69"/>
              <w:spacing w:afterLines="0" w:line="440" w:lineRule="exact"/>
              <w:ind w:firstLine="0" w:firstLineChars="0"/>
              <w:rPr>
                <w:rFonts w:ascii="仿宋" w:hAnsi="仿宋" w:eastAsia="仿宋" w:cs="仿宋"/>
              </w:rPr>
            </w:pPr>
            <w:r>
              <w:rPr>
                <w:rFonts w:hint="eastAsia" w:ascii="仿宋" w:hAnsi="仿宋" w:eastAsia="仿宋" w:cs="仿宋"/>
              </w:rPr>
              <w:t>讲解演示设备：讲解演示所需设备由投标人自行准备。</w:t>
            </w:r>
          </w:p>
          <w:p>
            <w:pPr>
              <w:pStyle w:val="69"/>
              <w:spacing w:afterLines="0" w:line="440" w:lineRule="exact"/>
              <w:ind w:firstLine="0" w:firstLineChars="0"/>
              <w:rPr>
                <w:rFonts w:ascii="仿宋" w:hAnsi="仿宋" w:eastAsia="仿宋" w:cs="仿宋"/>
              </w:rPr>
            </w:pPr>
            <w:r>
              <w:rPr>
                <w:rFonts w:hint="eastAsia" w:ascii="仿宋" w:hAnsi="仿宋" w:eastAsia="仿宋" w:cs="仿宋"/>
              </w:rPr>
              <w:t>讲解演示时间：每个投标人讲解演示前的调试准备时间不超过15分钟，讲解演示时间不超过15分钟，不包含评标委员会提问解答时间。</w:t>
            </w:r>
          </w:p>
          <w:p>
            <w:pPr>
              <w:pStyle w:val="69"/>
              <w:spacing w:afterLines="0" w:line="440" w:lineRule="exact"/>
              <w:ind w:firstLine="0" w:firstLineChars="0"/>
              <w:rPr>
                <w:rFonts w:ascii="仿宋" w:hAnsi="仿宋" w:eastAsia="仿宋" w:cs="仿宋"/>
              </w:rPr>
            </w:pPr>
            <w:r>
              <w:rPr>
                <w:rFonts w:hint="eastAsia" w:ascii="仿宋" w:hAnsi="仿宋" w:eastAsia="仿宋" w:cs="仿宋"/>
              </w:rPr>
              <w:t>讲解演示次序：以投标人报名的先后顺序为准。</w:t>
            </w:r>
          </w:p>
          <w:p>
            <w:pPr>
              <w:pStyle w:val="69"/>
              <w:spacing w:afterLines="0" w:line="440" w:lineRule="exact"/>
              <w:ind w:firstLine="0" w:firstLineChars="0"/>
              <w:rPr>
                <w:rFonts w:ascii="仿宋" w:hAnsi="仿宋" w:eastAsia="仿宋" w:cs="仿宋"/>
              </w:rPr>
            </w:pPr>
            <w:r>
              <w:rPr>
                <w:rFonts w:hint="eastAsia" w:ascii="仿宋" w:hAnsi="仿宋" w:eastAsia="仿宋" w:cs="仿宋"/>
              </w:rPr>
              <w:t>注：（1）参加演示的投标人人数不超过2人。不得派遣有中高风险地区旅居史的代表参加本次演示；</w:t>
            </w:r>
          </w:p>
          <w:p>
            <w:pPr>
              <w:pStyle w:val="69"/>
              <w:spacing w:afterLines="0" w:line="440" w:lineRule="exact"/>
              <w:ind w:firstLine="0" w:firstLineChars="0"/>
              <w:rPr>
                <w:rFonts w:ascii="仿宋" w:hAnsi="仿宋" w:eastAsia="仿宋" w:cs="仿宋"/>
              </w:rPr>
            </w:pPr>
            <w:r>
              <w:rPr>
                <w:rFonts w:hint="eastAsia" w:ascii="仿宋" w:hAnsi="仿宋" w:eastAsia="仿宋" w:cs="仿宋"/>
              </w:rPr>
              <w:t>（2）投标人拟派省外演示代表的需提供当地48H核酸阴性证明，同时到绍后于绍兴本地核酸检测机构进行检测；</w:t>
            </w:r>
          </w:p>
          <w:p>
            <w:pPr>
              <w:pStyle w:val="69"/>
              <w:spacing w:afterLines="0" w:line="440" w:lineRule="exact"/>
              <w:ind w:firstLine="0" w:firstLineChars="0"/>
              <w:rPr>
                <w:rFonts w:ascii="仿宋" w:hAnsi="仿宋" w:eastAsia="仿宋" w:cs="仿宋"/>
              </w:rPr>
            </w:pPr>
            <w:r>
              <w:rPr>
                <w:rFonts w:hint="eastAsia" w:ascii="仿宋" w:hAnsi="仿宋" w:eastAsia="仿宋" w:cs="仿宋"/>
              </w:rPr>
              <w:t>(3)投标人拟派省内演示代表的需提供3日内核酸阴性证明。</w:t>
            </w:r>
          </w:p>
          <w:p>
            <w:pPr>
              <w:pStyle w:val="69"/>
              <w:spacing w:afterLines="0" w:line="440" w:lineRule="exact"/>
              <w:ind w:firstLine="0" w:firstLineChars="0"/>
              <w:rPr>
                <w:rFonts w:ascii="仿宋" w:hAnsi="仿宋" w:eastAsia="仿宋" w:cs="仿宋"/>
              </w:rPr>
            </w:pPr>
            <w:r>
              <w:rPr>
                <w:rFonts w:hint="eastAsia" w:ascii="仿宋" w:hAnsi="仿宋" w:eastAsia="仿宋" w:cs="仿宋"/>
              </w:rPr>
              <w:t>（4）具体要求按照绍兴市政务服务办公室发布的《关于做好疫情防控期间公共资源交易相关工作的通知》文件执行。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A货物类，单一产品或核心产品为</w:t>
            </w:r>
            <w:r>
              <w:rPr>
                <w:rFonts w:hint="eastAsia" w:ascii="仿宋" w:hAnsi="仿宋" w:eastAsia="仿宋" w:cs="仿宋"/>
                <w:sz w:val="24"/>
                <w:u w:val="single"/>
              </w:rPr>
              <w:t>：序号4医生桌、序号29咨询服务台</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sz w:val="24"/>
                </w:rPr>
                <w:id w:val="118727868"/>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
              <w:sdtPr>
                <w:rPr>
                  <w:rFonts w:hint="eastAsia" w:ascii="仿宋" w:hAnsi="仿宋" w:eastAsia="仿宋" w:cs="仿宋"/>
                  <w:sz w:val="24"/>
                </w:rPr>
                <w:id w:val="474885559"/>
              </w:sdtPr>
              <w:sdtEndPr>
                <w:rPr>
                  <w:rFonts w:hint="eastAsia" w:ascii="仿宋" w:hAnsi="仿宋" w:eastAsia="仿宋" w:cs="仿宋"/>
                  <w:sz w:val="24"/>
                </w:rPr>
              </w:sdtEndPr>
              <w:sdtContent/>
            </w:sdt>
            <w:r>
              <w:rPr>
                <w:rFonts w:hint="eastAsia" w:ascii="仿宋" w:hAnsi="仿宋" w:eastAsia="仿宋" w:cs="仿宋"/>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其他未名列</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rPr>
              <w:t>，</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账号：95220078801100000315</w:t>
            </w:r>
          </w:p>
          <w:p>
            <w:pPr>
              <w:spacing w:line="440" w:lineRule="exact"/>
              <w:rPr>
                <w:rFonts w:ascii="仿宋" w:hAnsi="仿宋" w:eastAsia="仿宋" w:cs="仿宋"/>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ascii="仿宋" w:hAnsi="仿宋" w:eastAsia="仿宋" w:cs="仿宋"/>
          <w:sz w:val="24"/>
        </w:rPr>
      </w:pPr>
      <w:r>
        <w:rPr>
          <w:rFonts w:hint="eastAsia" w:ascii="仿宋" w:hAnsi="仿宋" w:eastAsia="仿宋" w:cs="仿宋"/>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系指实质性指标要求条款，“▲”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r>
            <w:rPr>
              <w:rFonts w:hint="eastAsia" w:ascii="仿宋" w:hAnsi="仿宋" w:eastAsia="仿宋" w:cs="仿宋"/>
              <w:b/>
              <w:bCs/>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pStyle w:val="18"/>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4"/>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4"/>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4.2招标文件的澄清</w:t>
      </w:r>
    </w:p>
    <w:p>
      <w:pPr>
        <w:pStyle w:val="14"/>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4"/>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8"/>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8"/>
        </w:numPr>
        <w:snapToGrid w:val="0"/>
        <w:spacing w:line="440" w:lineRule="exact"/>
        <w:jc w:val="left"/>
        <w:rPr>
          <w:rFonts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2.1.1投标响应函（格式见第六部分附件）；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3"/>
        <w:spacing w:line="440" w:lineRule="exact"/>
        <w:rPr>
          <w:rFonts w:ascii="仿宋" w:hAnsi="仿宋" w:eastAsia="仿宋" w:cs="仿宋"/>
          <w:b w:val="0"/>
          <w:sz w:val="24"/>
        </w:rPr>
      </w:pPr>
      <w:r>
        <w:rPr>
          <w:rFonts w:hint="eastAsia" w:ascii="仿宋" w:hAnsi="仿宋" w:eastAsia="仿宋" w:cs="仿宋"/>
          <w:b w:val="0"/>
          <w:sz w:val="24"/>
        </w:rPr>
        <w:t>2.1.3中小企业声明函（格式见第六部分附件）；</w:t>
      </w:r>
    </w:p>
    <w:p>
      <w:pPr>
        <w:pStyle w:val="23"/>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_GB2312" w:hAnsi="宋体" w:eastAsia="仿宋_GB2312"/>
          <w:sz w:val="24"/>
        </w:rPr>
      </w:pPr>
      <w:bookmarkStart w:id="3" w:name="_Hlt68403820"/>
      <w:bookmarkEnd w:id="3"/>
      <w:bookmarkStart w:id="4" w:name="_Hlt68073093"/>
      <w:bookmarkEnd w:id="4"/>
      <w:bookmarkStart w:id="5" w:name="_Hlt68072998"/>
      <w:bookmarkEnd w:id="5"/>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2.2.3法定代表人和授权代表的身份证复印件（格式见第六部分附件）；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ascii="仿宋_GB2312" w:hAnsi="仿宋_GB2312" w:eastAsia="仿宋_GB2312" w:cs="仿宋_GB2312"/>
          <w:kern w:val="0"/>
          <w:sz w:val="24"/>
        </w:rPr>
      </w:pPr>
      <w:r>
        <w:rPr>
          <w:rFonts w:hint="eastAsia" w:ascii="仿宋_GB2312" w:hAnsi="宋体" w:eastAsia="仿宋_GB2312"/>
          <w:sz w:val="24"/>
        </w:rPr>
        <w:t>2.2.5</w:t>
      </w:r>
      <w:r>
        <w:rPr>
          <w:rFonts w:hint="eastAsia" w:ascii="仿宋_GB2312" w:hAnsi="Arial" w:eastAsia="仿宋_GB2312" w:cs="Arial"/>
          <w:kern w:val="0"/>
          <w:sz w:val="24"/>
        </w:rPr>
        <w:t>供应商基本资格条件</w:t>
      </w:r>
      <w:r>
        <w:rPr>
          <w:rFonts w:hint="eastAsia" w:ascii="仿宋_GB2312" w:hAnsi="仿宋_GB2312" w:eastAsia="仿宋_GB2312" w:cs="仿宋_GB2312"/>
          <w:sz w:val="24"/>
        </w:rPr>
        <w:t>书面承诺函（</w:t>
      </w:r>
      <w:r>
        <w:rPr>
          <w:rFonts w:hint="eastAsia" w:ascii="仿宋_GB2312" w:hAnsi="宋体" w:eastAsia="仿宋_GB2312"/>
          <w:sz w:val="24"/>
        </w:rPr>
        <w:t>格式见第六部分附件</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w:t>
      </w:r>
    </w:p>
    <w:p>
      <w:pPr>
        <w:snapToGrid w:val="0"/>
        <w:spacing w:line="440" w:lineRule="exact"/>
        <w:rPr>
          <w:rFonts w:ascii="仿宋_GB2312" w:hAnsi="Arial" w:eastAsia="仿宋_GB2312" w:cs="Arial"/>
          <w:kern w:val="0"/>
          <w:sz w:val="24"/>
        </w:rPr>
      </w:pPr>
      <w:r>
        <w:rPr>
          <w:rFonts w:hint="eastAsia" w:ascii="仿宋_GB2312" w:hAnsi="Arial" w:eastAsia="仿宋_GB2312" w:cs="Arial"/>
          <w:kern w:val="0"/>
          <w:sz w:val="24"/>
        </w:rPr>
        <w:t>2.2.6供应商</w:t>
      </w:r>
      <w:r>
        <w:rPr>
          <w:rFonts w:hint="eastAsia" w:ascii="仿宋_GB2312" w:hAnsi="仿宋_GB2312" w:eastAsia="仿宋_GB2312" w:cs="仿宋_GB2312"/>
          <w:sz w:val="24"/>
        </w:rPr>
        <w:t>特定资格条件（如项目要求）的有关证明材料（复印件）；</w:t>
      </w:r>
    </w:p>
    <w:p>
      <w:pPr>
        <w:pStyle w:val="22"/>
        <w:snapToGrid w:val="0"/>
        <w:spacing w:line="440" w:lineRule="exact"/>
        <w:rPr>
          <w:rFonts w:ascii="仿宋" w:hAnsi="仿宋" w:eastAsia="仿宋" w:cs="仿宋"/>
          <w:sz w:val="24"/>
          <w:lang w:val="zh-CN"/>
        </w:rPr>
      </w:pPr>
      <w:r>
        <w:rPr>
          <w:rFonts w:hint="eastAsia" w:ascii="仿宋" w:hAnsi="仿宋" w:eastAsia="仿宋" w:cs="仿宋"/>
          <w:sz w:val="24"/>
        </w:rPr>
        <w:t>2.2.7</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2.2.10</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11</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4</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2.2.15</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6</w:t>
      </w:r>
      <w:r>
        <w:rPr>
          <w:rFonts w:hint="eastAsia" w:ascii="仿宋" w:hAnsi="仿宋" w:eastAsia="仿宋" w:cs="仿宋"/>
          <w:kern w:val="0"/>
          <w:sz w:val="24"/>
          <w:lang w:val="zh-CN"/>
        </w:rPr>
        <w:t>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2.2.17</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8</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19"/>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2.2.19联合协议（如有）；</w:t>
      </w:r>
    </w:p>
    <w:p>
      <w:pPr>
        <w:pStyle w:val="19"/>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2.2.20分包意向协议（如有）；</w:t>
      </w:r>
    </w:p>
    <w:p>
      <w:pPr>
        <w:pStyle w:val="19"/>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2.2.21中小企业声明函；</w:t>
      </w:r>
    </w:p>
    <w:p>
      <w:pPr>
        <w:snapToGrid w:val="0"/>
        <w:spacing w:line="440" w:lineRule="exact"/>
        <w:jc w:val="left"/>
        <w:rPr>
          <w:rFonts w:ascii="仿宋" w:hAnsi="仿宋" w:eastAsia="仿宋" w:cs="仿宋"/>
          <w:sz w:val="24"/>
        </w:rPr>
      </w:pPr>
      <w:r>
        <w:rPr>
          <w:rFonts w:hint="eastAsia" w:ascii="仿宋" w:hAnsi="仿宋" w:eastAsia="仿宋" w:cs="仿宋"/>
          <w:sz w:val="24"/>
        </w:rPr>
        <w:t>2.2.22</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19"/>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2.2.23投标人需要说明的其他文件和说明（格式自拟）。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19"/>
        <w:tabs>
          <w:tab w:val="left" w:pos="1854"/>
          <w:tab w:val="clear" w:pos="482"/>
        </w:tabs>
        <w:spacing w:afterLines="0" w:line="440" w:lineRule="exact"/>
        <w:ind w:left="338" w:right="-78" w:rightChars="-37" w:hanging="338" w:hangingChars="141"/>
        <w:rPr>
          <w:rFonts w:ascii="仿宋" w:hAnsi="仿宋" w:eastAsia="仿宋" w:cs="仿宋"/>
          <w:b/>
        </w:rPr>
      </w:pPr>
      <w:r>
        <w:rPr>
          <w:rFonts w:hint="eastAsia" w:ascii="仿宋" w:hAnsi="仿宋" w:eastAsia="仿宋" w:cs="仿宋"/>
        </w:rPr>
        <w:t>2.2.24代理服务费支付承诺书。</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2"/>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2"/>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4"/>
        <w:widowControl w:val="0"/>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4"/>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4"/>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1372953"/>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pacing w:line="480" w:lineRule="exact"/>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5.2符合性审查</w:t>
      </w:r>
    </w:p>
    <w:p>
      <w:pPr>
        <w:spacing w:line="480" w:lineRule="exact"/>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 w:hAnsi="仿宋" w:eastAsia="仿宋" w:cs="仿宋"/>
          <w:sz w:val="24"/>
        </w:rPr>
        <w:t>7.7.1评标委员会认为投标人的报价明显低于其他通过符合性审查投标人的报价，有可能影响产品质量或者不能诚信履约的，</w:t>
      </w:r>
      <w:r>
        <w:rPr>
          <w:rFonts w:hint="eastAsia" w:ascii="仿宋_GB2312" w:hAnsi="宋体" w:eastAsia="仿宋_GB2312" w:cs="宋体"/>
          <w:sz w:val="24"/>
        </w:rPr>
        <w:t>应当要求其在评标现场合理的时间内提供书面说明，必要时提交相关证明材料。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4"/>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8.投标文件的澄清</w:t>
      </w:r>
    </w:p>
    <w:p>
      <w:pPr>
        <w:pStyle w:val="14"/>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pPr>
        <w:snapToGrid w:val="0"/>
        <w:spacing w:line="440" w:lineRule="exact"/>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2"/>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五、授予合同</w:t>
      </w:r>
    </w:p>
    <w:p>
      <w:pPr>
        <w:pStyle w:val="14"/>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4"/>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3"/>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ascii="仿宋" w:hAnsi="仿宋" w:eastAsia="仿宋" w:cs="仿宋"/>
        </w:rPr>
        <w:t>http://www.312000.net/</w:t>
      </w:r>
      <w:r>
        <w:rPr>
          <w:rFonts w:hint="eastAsia" w:ascii="仿宋" w:hAnsi="仿宋" w:eastAsia="仿宋" w:cs="仿宋"/>
        </w:rPr>
        <w:fldChar w:fldCharType="end"/>
      </w:r>
      <w:r>
        <w:rPr>
          <w:rFonts w:hint="eastAsia" w:ascii="仿宋" w:hAnsi="仿宋" w:eastAsia="仿宋" w:cs="仿宋"/>
        </w:rPr>
        <w:t>，绍兴市卫健委官网http://sxws.sx.gov.cn/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ascii="仿宋" w:hAnsi="仿宋" w:eastAsia="仿宋" w:cs="仿宋"/>
        </w:rPr>
      </w:pPr>
      <w:r>
        <w:rPr>
          <w:rFonts w:hint="eastAsia" w:ascii="仿宋" w:hAnsi="仿宋" w:eastAsia="仿宋" w:cs="仿宋"/>
        </w:rPr>
        <w:br w:type="page"/>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2"/>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2"/>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rPr>
          <w:rFonts w:ascii="仿宋" w:hAnsi="仿宋" w:eastAsia="仿宋" w:cs="仿宋"/>
          <w:b/>
          <w:sz w:val="36"/>
          <w:szCs w:val="36"/>
        </w:rPr>
        <w:sectPr>
          <w:footerReference r:id="rId6" w:type="first"/>
          <w:footerReference r:id="rId5" w:type="default"/>
          <w:pgSz w:w="11907" w:h="16840"/>
          <w:pgMar w:top="1474" w:right="1814" w:bottom="1474" w:left="1814" w:header="851" w:footer="850" w:gutter="0"/>
          <w:pgNumType w:fmt="decimal" w:start="2"/>
          <w:cols w:space="0" w:num="1"/>
          <w:titlePg/>
          <w:docGrid w:linePitch="286" w:charSpace="0"/>
        </w:sectPr>
      </w:pPr>
    </w:p>
    <w:p>
      <w:pPr>
        <w:jc w:val="center"/>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440" w:lineRule="exact"/>
        <w:jc w:val="left"/>
        <w:rPr>
          <w:rFonts w:ascii="仿宋" w:hAnsi="仿宋" w:eastAsia="仿宋" w:cs="仿宋"/>
          <w:b/>
          <w:sz w:val="24"/>
        </w:rPr>
      </w:pPr>
      <w:bookmarkStart w:id="9" w:name="_Toc151354173"/>
      <w:bookmarkStart w:id="10" w:name="_Toc81372787"/>
      <w:bookmarkStart w:id="11" w:name="_Toc80157775"/>
      <w:bookmarkStart w:id="12" w:name="_Toc81372964"/>
      <w:bookmarkStart w:id="13" w:name="_Toc84325981"/>
      <w:r>
        <w:rPr>
          <w:rFonts w:hint="eastAsia" w:ascii="仿宋" w:hAnsi="仿宋" w:eastAsia="仿宋" w:cs="仿宋"/>
          <w:b/>
          <w:sz w:val="24"/>
        </w:rPr>
        <w:t>招标项目采购需求：</w:t>
      </w:r>
    </w:p>
    <w:p>
      <w:pPr>
        <w:spacing w:beforeLines="50" w:line="440" w:lineRule="exact"/>
        <w:ind w:right="420"/>
        <w:rPr>
          <w:rFonts w:ascii="仿宋" w:hAnsi="仿宋" w:eastAsia="仿宋" w:cs="仿宋"/>
          <w:b/>
          <w:sz w:val="36"/>
          <w:szCs w:val="36"/>
        </w:rPr>
      </w:pPr>
      <w:r>
        <w:rPr>
          <w:rFonts w:hint="eastAsia" w:ascii="仿宋" w:hAnsi="仿宋" w:eastAsia="仿宋" w:cs="仿宋"/>
          <w:b/>
          <w:bCs/>
          <w:sz w:val="24"/>
          <w:bdr w:val="single" w:color="auto" w:sz="4" w:space="0"/>
        </w:rPr>
        <w:t>01标</w:t>
      </w:r>
      <w:r>
        <w:rPr>
          <w:rFonts w:hint="eastAsia" w:ascii="仿宋" w:hAnsi="仿宋" w:eastAsia="仿宋" w:cs="仿宋"/>
          <w:b/>
          <w:bCs/>
          <w:sz w:val="24"/>
        </w:rPr>
        <w:t>绍兴市人民医院干部保健基地家具采购项目（上限金额：200684元）</w:t>
      </w:r>
      <w:bookmarkEnd w:id="9"/>
    </w:p>
    <w:p>
      <w:pPr>
        <w:spacing w:line="360" w:lineRule="auto"/>
        <w:rPr>
          <w:rFonts w:ascii="仿宋" w:hAnsi="仿宋" w:eastAsia="仿宋" w:cs="仿宋"/>
          <w:b/>
          <w:sz w:val="28"/>
          <w:szCs w:val="28"/>
        </w:rPr>
      </w:pPr>
      <w:r>
        <w:rPr>
          <w:rFonts w:hint="eastAsia" w:ascii="仿宋" w:hAnsi="仿宋" w:eastAsia="仿宋" w:cs="仿宋"/>
          <w:b/>
          <w:sz w:val="28"/>
          <w:szCs w:val="28"/>
        </w:rPr>
        <w:t>一、</w:t>
      </w:r>
      <w:bookmarkStart w:id="14" w:name="_Toc6472866"/>
      <w:r>
        <w:rPr>
          <w:rFonts w:hint="eastAsia" w:ascii="仿宋" w:hAnsi="仿宋" w:eastAsia="仿宋" w:cs="仿宋"/>
          <w:b/>
          <w:sz w:val="28"/>
          <w:szCs w:val="28"/>
        </w:rPr>
        <w:t>招标内容及需求</w:t>
      </w:r>
      <w:bookmarkEnd w:id="14"/>
    </w:p>
    <w:p>
      <w:pPr>
        <w:spacing w:line="400" w:lineRule="exact"/>
        <w:ind w:firstLine="480"/>
        <w:rPr>
          <w:rFonts w:ascii="仿宋" w:hAnsi="仿宋" w:eastAsia="仿宋" w:cs="仿宋"/>
          <w:sz w:val="24"/>
        </w:rPr>
      </w:pPr>
      <w:bookmarkStart w:id="15" w:name="_Toc6472867"/>
      <w:r>
        <w:rPr>
          <w:rFonts w:hint="eastAsia" w:ascii="仿宋" w:hAnsi="仿宋" w:eastAsia="仿宋" w:cs="仿宋"/>
          <w:sz w:val="24"/>
        </w:rPr>
        <w:t>1.1、采购内容一览表</w:t>
      </w:r>
      <w:bookmarkEnd w:id="15"/>
    </w:p>
    <w:tbl>
      <w:tblPr>
        <w:tblStyle w:val="41"/>
        <w:tblW w:w="13839" w:type="dxa"/>
        <w:tblInd w:w="96" w:type="dxa"/>
        <w:tblLayout w:type="fixed"/>
        <w:tblCellMar>
          <w:top w:w="0" w:type="dxa"/>
          <w:left w:w="108" w:type="dxa"/>
          <w:bottom w:w="0" w:type="dxa"/>
          <w:right w:w="108" w:type="dxa"/>
        </w:tblCellMar>
      </w:tblPr>
      <w:tblGrid>
        <w:gridCol w:w="453"/>
        <w:gridCol w:w="676"/>
        <w:gridCol w:w="2128"/>
        <w:gridCol w:w="1080"/>
        <w:gridCol w:w="5880"/>
        <w:gridCol w:w="709"/>
        <w:gridCol w:w="676"/>
        <w:gridCol w:w="840"/>
        <w:gridCol w:w="720"/>
        <w:gridCol w:w="677"/>
      </w:tblGrid>
      <w:tr>
        <w:tblPrEx>
          <w:tblCellMar>
            <w:top w:w="0" w:type="dxa"/>
            <w:left w:w="108" w:type="dxa"/>
            <w:bottom w:w="0" w:type="dxa"/>
            <w:right w:w="108" w:type="dxa"/>
          </w:tblCellMar>
        </w:tblPrEx>
        <w:trPr>
          <w:trHeight w:val="6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序号</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名称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图片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规格</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材质</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预估数量</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上限单价（元）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金额（元）</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rPr>
              <w:t>备注</w:t>
            </w:r>
          </w:p>
        </w:tc>
      </w:tr>
      <w:tr>
        <w:tblPrEx>
          <w:tblCellMar>
            <w:top w:w="0" w:type="dxa"/>
            <w:left w:w="108" w:type="dxa"/>
            <w:bottom w:w="0" w:type="dxa"/>
            <w:right w:w="108" w:type="dxa"/>
          </w:tblCellMar>
        </w:tblPrEx>
        <w:trPr>
          <w:trHeight w:val="2862"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接待沙发1</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142240</wp:posOffset>
                  </wp:positionV>
                  <wp:extent cx="779780" cy="671195"/>
                  <wp:effectExtent l="0" t="0" r="12700" b="14605"/>
                  <wp:wrapNone/>
                  <wp:docPr id="58" name="图片_6"/>
                  <wp:cNvGraphicFramePr/>
                  <a:graphic xmlns:a="http://schemas.openxmlformats.org/drawingml/2006/main">
                    <a:graphicData uri="http://schemas.openxmlformats.org/drawingml/2006/picture">
                      <pic:pic xmlns:pic="http://schemas.openxmlformats.org/drawingml/2006/picture">
                        <pic:nvPicPr>
                          <pic:cNvPr id="58" name="图片_6"/>
                          <pic:cNvPicPr/>
                        </pic:nvPicPr>
                        <pic:blipFill>
                          <a:blip r:embed="rId21"/>
                          <a:stretch>
                            <a:fillRect/>
                          </a:stretch>
                        </pic:blipFill>
                        <pic:spPr>
                          <a:xfrm>
                            <a:off x="0" y="0"/>
                            <a:ext cx="779780" cy="6711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9"/>
              </w:numPr>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面料：采用优质超迁皮，面质感柔和，光泽度好，透气性强，富于韧性。</w:t>
            </w:r>
          </w:p>
          <w:p>
            <w:pPr>
              <w:widowControl/>
              <w:numPr>
                <w:ilvl w:val="0"/>
                <w:numId w:val="9"/>
              </w:numPr>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泡棉：采用高密度定型海绵，软硬适中，各项指标达到国家现行检测标准，长时间外力作用下不易变形。                                                                 3、靠背利用人体工程学，自然弧线，让背部久坐依然舒服，电动可躺</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4、沙发符合公共场所阻燃制品要求，达到国家建筑防火规定，成品符合GB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5016"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办公桌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1312" behindDoc="0" locked="0" layoutInCell="1" allowOverlap="1">
                  <wp:simplePos x="0" y="0"/>
                  <wp:positionH relativeFrom="column">
                    <wp:posOffset>635</wp:posOffset>
                  </wp:positionH>
                  <wp:positionV relativeFrom="paragraph">
                    <wp:posOffset>681355</wp:posOffset>
                  </wp:positionV>
                  <wp:extent cx="961390" cy="676910"/>
                  <wp:effectExtent l="0" t="0" r="13970" b="8890"/>
                  <wp:wrapNone/>
                  <wp:docPr id="57" name="图片_9"/>
                  <wp:cNvGraphicFramePr/>
                  <a:graphic xmlns:a="http://schemas.openxmlformats.org/drawingml/2006/main">
                    <a:graphicData uri="http://schemas.openxmlformats.org/drawingml/2006/picture">
                      <pic:pic xmlns:pic="http://schemas.openxmlformats.org/drawingml/2006/picture">
                        <pic:nvPicPr>
                          <pic:cNvPr id="57" name="图片_9"/>
                          <pic:cNvPicPr/>
                        </pic:nvPicPr>
                        <pic:blipFill>
                          <a:blip r:embed="rId22"/>
                          <a:stretch>
                            <a:fillRect/>
                          </a:stretch>
                        </pic:blipFill>
                        <pic:spPr>
                          <a:xfrm>
                            <a:off x="0" y="0"/>
                            <a:ext cx="961390" cy="6769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1500*1500*900mm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6、钢架：选用冷轧钢材，钢管壁厚≥1.2mm，经脱脂、水洗、酸洗、水洗中和、表调、磷化、干燥等工艺处理，表面粉末涂料静电喷涂处理。                                                                     7、符合公共场所阻燃制品要求，达到国家建筑防火规定，桌类成品符合GB 8624-2012规定，达到硬质家具燃烧性能B2级及以上，提供通过CMA</w:t>
            </w:r>
            <w:r>
              <w:rPr>
                <w:rFonts w:hint="eastAsia" w:ascii="宋体" w:hAnsi="宋体" w:cs="宋体"/>
                <w:color w:val="000000"/>
                <w:kern w:val="0"/>
                <w:sz w:val="20"/>
                <w:szCs w:val="20"/>
                <w:lang w:val="en-US" w:eastAsia="zh-CN"/>
              </w:rPr>
              <w:t>或</w:t>
            </w:r>
            <w:r>
              <w:rPr>
                <w:rFonts w:hint="eastAsia" w:ascii="宋体" w:hAnsi="宋体" w:cs="宋体"/>
                <w:color w:val="000000"/>
                <w:kern w:val="0"/>
                <w:sz w:val="20"/>
                <w:szCs w:val="20"/>
              </w:rPr>
              <w:t>CNAS资质的第三方检测机构出具的检测报告。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64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b/>
                <w:bCs/>
                <w:color w:val="000000"/>
                <w:kern w:val="0"/>
                <w:sz w:val="20"/>
                <w:szCs w:val="20"/>
              </w:rPr>
              <w:t>办公椅（样品）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2336" behindDoc="0" locked="0" layoutInCell="1" allowOverlap="1">
                  <wp:simplePos x="0" y="0"/>
                  <wp:positionH relativeFrom="column">
                    <wp:posOffset>204470</wp:posOffset>
                  </wp:positionH>
                  <wp:positionV relativeFrom="paragraph">
                    <wp:posOffset>234950</wp:posOffset>
                  </wp:positionV>
                  <wp:extent cx="674370" cy="905510"/>
                  <wp:effectExtent l="0" t="0" r="11430" b="8890"/>
                  <wp:wrapNone/>
                  <wp:docPr id="59" name="图片_1"/>
                  <wp:cNvGraphicFramePr/>
                  <a:graphic xmlns:a="http://schemas.openxmlformats.org/drawingml/2006/main">
                    <a:graphicData uri="http://schemas.openxmlformats.org/drawingml/2006/picture">
                      <pic:pic xmlns:pic="http://schemas.openxmlformats.org/drawingml/2006/picture">
                        <pic:nvPicPr>
                          <pic:cNvPr id="59" name="图片_1"/>
                          <pic:cNvPicPr/>
                        </pic:nvPicPr>
                        <pic:blipFill>
                          <a:blip r:embed="rId23"/>
                          <a:stretch>
                            <a:fillRect/>
                          </a:stretch>
                        </pic:blipFill>
                        <pic:spPr>
                          <a:xfrm>
                            <a:off x="0" y="0"/>
                            <a:ext cx="674370" cy="905510"/>
                          </a:xfrm>
                          <a:prstGeom prst="rect">
                            <a:avLst/>
                          </a:prstGeom>
                          <a:noFill/>
                          <a:ln>
                            <a:noFill/>
                          </a:ln>
                        </pic:spPr>
                      </pic:pic>
                    </a:graphicData>
                  </a:graphic>
                </wp:anchor>
              </w:drawing>
            </w:r>
            <w:r>
              <w:rPr>
                <w:rFonts w:hint="eastAsia" w:ascii="宋体" w:hAnsi="宋体" w:cs="宋体"/>
                <w:color w:val="000000"/>
                <w:kern w:val="0"/>
                <w:sz w:val="20"/>
                <w:szCs w:val="20"/>
                <w:bdr w:val="single" w:color="000000" w:sz="4" w:space="0"/>
              </w:rPr>
              <w:drawing>
                <wp:anchor distT="0" distB="0" distL="114300" distR="114300" simplePos="0" relativeHeight="251663360" behindDoc="0" locked="0" layoutInCell="1" allowOverlap="1">
                  <wp:simplePos x="0" y="0"/>
                  <wp:positionH relativeFrom="column">
                    <wp:posOffset>904875</wp:posOffset>
                  </wp:positionH>
                  <wp:positionV relativeFrom="paragraph">
                    <wp:posOffset>735965</wp:posOffset>
                  </wp:positionV>
                  <wp:extent cx="833755" cy="518795"/>
                  <wp:effectExtent l="0" t="0" r="4445" b="14605"/>
                  <wp:wrapNone/>
                  <wp:docPr id="60" name="图片_2"/>
                  <wp:cNvGraphicFramePr/>
                  <a:graphic xmlns:a="http://schemas.openxmlformats.org/drawingml/2006/main">
                    <a:graphicData uri="http://schemas.openxmlformats.org/drawingml/2006/picture">
                      <pic:pic xmlns:pic="http://schemas.openxmlformats.org/drawingml/2006/picture">
                        <pic:nvPicPr>
                          <pic:cNvPr id="60" name="图片_2"/>
                          <pic:cNvPicPr/>
                        </pic:nvPicPr>
                        <pic:blipFill>
                          <a:blip r:embed="rId24"/>
                          <a:stretch>
                            <a:fillRect/>
                          </a:stretch>
                        </pic:blipFill>
                        <pic:spPr>
                          <a:xfrm>
                            <a:off x="0" y="0"/>
                            <a:ext cx="833755" cy="5187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cs="宋体"/>
                <w:color w:val="000000"/>
                <w:sz w:val="20"/>
                <w:szCs w:val="20"/>
              </w:rPr>
            </w:pPr>
            <w:r>
              <w:rPr>
                <w:rFonts w:hint="eastAsia" w:ascii="宋体" w:hAnsi="宋体" w:cs="宋体"/>
                <w:color w:val="000000"/>
                <w:kern w:val="0"/>
                <w:sz w:val="20"/>
                <w:szCs w:val="20"/>
              </w:rPr>
              <w:t>660/490*660/450*980-1080mm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专业办公网布饰面；面料经过防霉处理，防霉性能（黑曲霉、绳状青霉、球毛壳霉、绿色木霉）达到</w:t>
            </w:r>
            <w:r>
              <w:rPr>
                <w:rFonts w:ascii="宋体" w:hAnsi="宋体" w:cs="宋体"/>
                <w:color w:val="000000"/>
                <w:kern w:val="0"/>
                <w:sz w:val="20"/>
                <w:szCs w:val="20"/>
              </w:rPr>
              <w:t>1级及以上，提供通过CMA或CNAS资质的第三方检测机构出具的检测报告。</w:t>
            </w:r>
            <w:r>
              <w:rPr>
                <w:rFonts w:ascii="宋体" w:hAnsi="宋体" w:cs="宋体"/>
                <w:color w:val="000000"/>
                <w:kern w:val="0"/>
                <w:sz w:val="20"/>
                <w:szCs w:val="20"/>
              </w:rPr>
              <w:br w:type="textWrapping"/>
            </w:r>
            <w:r>
              <w:rPr>
                <w:rFonts w:hint="eastAsia" w:ascii="宋体" w:hAnsi="宋体" w:cs="宋体"/>
                <w:color w:val="000000"/>
                <w:kern w:val="0"/>
                <w:sz w:val="20"/>
                <w:szCs w:val="20"/>
              </w:rPr>
              <w:t>灰色</w:t>
            </w:r>
            <w:r>
              <w:rPr>
                <w:rFonts w:ascii="宋体" w:hAnsi="宋体" w:cs="宋体"/>
                <w:color w:val="000000"/>
                <w:kern w:val="0"/>
                <w:sz w:val="20"/>
                <w:szCs w:val="20"/>
              </w:rPr>
              <w:t>PA尼龙+玻纤椅背</w:t>
            </w:r>
            <w:r>
              <w:rPr>
                <w:rFonts w:ascii="宋体" w:hAnsi="宋体" w:cs="宋体"/>
                <w:color w:val="000000"/>
                <w:kern w:val="0"/>
                <w:sz w:val="20"/>
                <w:szCs w:val="20"/>
              </w:rPr>
              <w:br w:type="textWrapping"/>
            </w:r>
            <w:r>
              <w:rPr>
                <w:rFonts w:hint="eastAsia" w:ascii="宋体" w:hAnsi="宋体" w:cs="宋体"/>
                <w:color w:val="000000"/>
                <w:kern w:val="0"/>
                <w:sz w:val="20"/>
                <w:szCs w:val="20"/>
              </w:rPr>
              <w:t>灰色</w:t>
            </w:r>
            <w:r>
              <w:rPr>
                <w:rFonts w:ascii="宋体" w:hAnsi="宋体" w:cs="宋体"/>
                <w:color w:val="000000"/>
                <w:kern w:val="0"/>
                <w:sz w:val="20"/>
                <w:szCs w:val="20"/>
              </w:rPr>
              <w:t>PP固定扶手</w:t>
            </w:r>
            <w:r>
              <w:rPr>
                <w:rFonts w:ascii="宋体" w:hAnsi="宋体" w:cs="宋体"/>
                <w:color w:val="000000"/>
                <w:kern w:val="0"/>
                <w:sz w:val="20"/>
                <w:szCs w:val="20"/>
              </w:rPr>
              <w:br w:type="textWrapping"/>
            </w:r>
            <w:r>
              <w:rPr>
                <w:rFonts w:hint="eastAsia" w:ascii="宋体" w:hAnsi="宋体" w:cs="宋体"/>
                <w:color w:val="000000"/>
                <w:kern w:val="0"/>
                <w:sz w:val="20"/>
                <w:szCs w:val="20"/>
              </w:rPr>
              <w:t>定型海绵，配底壳</w:t>
            </w:r>
            <w:r>
              <w:rPr>
                <w:rFonts w:ascii="宋体" w:hAnsi="宋体" w:cs="宋体"/>
                <w:color w:val="000000"/>
                <w:kern w:val="0"/>
                <w:sz w:val="20"/>
                <w:szCs w:val="20"/>
              </w:rPr>
              <w:br w:type="textWrapping"/>
            </w:r>
            <w:r>
              <w:rPr>
                <w:rFonts w:hint="eastAsia" w:ascii="宋体" w:hAnsi="宋体" w:cs="宋体"/>
                <w:color w:val="000000"/>
                <w:kern w:val="0"/>
                <w:sz w:val="20"/>
                <w:szCs w:val="20"/>
              </w:rPr>
              <w:t>自负重</w:t>
            </w:r>
            <w:r>
              <w:rPr>
                <w:rFonts w:ascii="宋体" w:hAnsi="宋体" w:cs="宋体"/>
                <w:color w:val="000000"/>
                <w:kern w:val="0"/>
                <w:sz w:val="20"/>
                <w:szCs w:val="20"/>
              </w:rPr>
              <w:t>2档锁定底盘</w:t>
            </w:r>
            <w:r>
              <w:rPr>
                <w:rFonts w:ascii="宋体" w:hAnsi="宋体" w:cs="宋体"/>
                <w:color w:val="000000"/>
                <w:kern w:val="0"/>
                <w:sz w:val="20"/>
                <w:szCs w:val="20"/>
              </w:rPr>
              <w:br w:type="textWrapping"/>
            </w:r>
            <w:r>
              <w:rPr>
                <w:rFonts w:ascii="宋体" w:hAnsi="宋体" w:cs="宋体"/>
                <w:color w:val="000000"/>
                <w:kern w:val="0"/>
                <w:sz w:val="20"/>
                <w:szCs w:val="20"/>
              </w:rPr>
              <w:t>340#灰色尼龙五星脚,配∮60黑色PU轮</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6960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8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4384" behindDoc="0" locked="0" layoutInCell="1" allowOverlap="1">
                  <wp:simplePos x="0" y="0"/>
                  <wp:positionH relativeFrom="column">
                    <wp:posOffset>319405</wp:posOffset>
                  </wp:positionH>
                  <wp:positionV relativeFrom="paragraph">
                    <wp:posOffset>461010</wp:posOffset>
                  </wp:positionV>
                  <wp:extent cx="1141095" cy="720725"/>
                  <wp:effectExtent l="0" t="0" r="1905" b="10795"/>
                  <wp:wrapNone/>
                  <wp:docPr id="78" name="图片_15"/>
                  <wp:cNvGraphicFramePr/>
                  <a:graphic xmlns:a="http://schemas.openxmlformats.org/drawingml/2006/main">
                    <a:graphicData uri="http://schemas.openxmlformats.org/drawingml/2006/picture">
                      <pic:pic xmlns:pic="http://schemas.openxmlformats.org/drawingml/2006/picture">
                        <pic:nvPicPr>
                          <pic:cNvPr id="78" name="图片_15"/>
                          <pic:cNvPicPr/>
                        </pic:nvPicPr>
                        <pic:blipFill>
                          <a:blip r:embed="rId25"/>
                          <a:stretch>
                            <a:fillRect/>
                          </a:stretch>
                        </pic:blipFill>
                        <pic:spPr>
                          <a:xfrm>
                            <a:off x="0" y="0"/>
                            <a:ext cx="1141095" cy="720725"/>
                          </a:xfrm>
                          <a:prstGeom prst="rect">
                            <a:avLst/>
                          </a:prstGeom>
                          <a:noFill/>
                          <a:ln>
                            <a:noFill/>
                          </a:ln>
                        </pic:spPr>
                      </pic:pic>
                    </a:graphicData>
                  </a:graphic>
                </wp:anchor>
              </w:drawing>
            </w:r>
            <w:r>
              <w:rPr>
                <w:rFonts w:hint="eastAsia" w:ascii="宋体" w:hAnsi="宋体" w:cs="宋体"/>
                <w:b/>
                <w:bCs/>
                <w:color w:val="000000"/>
                <w:kern w:val="0"/>
                <w:sz w:val="20"/>
                <w:szCs w:val="20"/>
              </w:rPr>
              <w:t>医生桌（核心产品）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1400*700*760mm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6、钢架：选用冷轧钢材，钢管壁厚≥1.2mm，经脱脂、水洗、酸洗、水洗中和、表调、磷化、干燥等工艺处理，表面粉末涂料静电喷涂处理。                                                                     7、符合公共场所阻燃制品要求，达到国家建筑防火规定，桌类成品符合GB 8624-2012规定，达到硬质家具燃烧性能B2级及以上。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21560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医生椅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5408" behindDoc="0" locked="0" layoutInCell="1" allowOverlap="1">
                  <wp:simplePos x="0" y="0"/>
                  <wp:positionH relativeFrom="column">
                    <wp:posOffset>380365</wp:posOffset>
                  </wp:positionH>
                  <wp:positionV relativeFrom="paragraph">
                    <wp:posOffset>219075</wp:posOffset>
                  </wp:positionV>
                  <wp:extent cx="561340" cy="660400"/>
                  <wp:effectExtent l="0" t="0" r="2540" b="10160"/>
                  <wp:wrapNone/>
                  <wp:docPr id="6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26"/>
                          <a:stretch>
                            <a:fillRect/>
                          </a:stretch>
                        </pic:blipFill>
                        <pic:spPr>
                          <a:xfrm>
                            <a:off x="0" y="0"/>
                            <a:ext cx="561340" cy="6604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610*560*910mm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·黑色尼龙玻纤椅身</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·黑色PP连体固定扶手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·∮25管1.8 mm厚黑色喷涂四脚架。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8550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393"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接待沙发2</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6432" behindDoc="0" locked="0" layoutInCell="1" allowOverlap="1">
                  <wp:simplePos x="0" y="0"/>
                  <wp:positionH relativeFrom="column">
                    <wp:posOffset>83185</wp:posOffset>
                  </wp:positionH>
                  <wp:positionV relativeFrom="paragraph">
                    <wp:posOffset>127000</wp:posOffset>
                  </wp:positionV>
                  <wp:extent cx="837565" cy="861695"/>
                  <wp:effectExtent l="0" t="0" r="635" b="6985"/>
                  <wp:wrapNone/>
                  <wp:docPr id="81" name="图片_29"/>
                  <wp:cNvGraphicFramePr/>
                  <a:graphic xmlns:a="http://schemas.openxmlformats.org/drawingml/2006/main">
                    <a:graphicData uri="http://schemas.openxmlformats.org/drawingml/2006/picture">
                      <pic:pic xmlns:pic="http://schemas.openxmlformats.org/drawingml/2006/picture">
                        <pic:nvPicPr>
                          <pic:cNvPr id="81" name="图片_29"/>
                          <pic:cNvPicPr/>
                        </pic:nvPicPr>
                        <pic:blipFill>
                          <a:blip r:embed="rId27"/>
                          <a:stretch>
                            <a:fillRect/>
                          </a:stretch>
                        </pic:blipFill>
                        <pic:spPr>
                          <a:xfrm>
                            <a:off x="0" y="0"/>
                            <a:ext cx="837565" cy="86169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1、面料：采用优质超迁皮，面质感柔和，光泽度好，透气性强，富于韧性。                               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3920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67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7456" behindDoc="0" locked="0" layoutInCell="1" allowOverlap="1">
                  <wp:simplePos x="0" y="0"/>
                  <wp:positionH relativeFrom="column">
                    <wp:posOffset>352425</wp:posOffset>
                  </wp:positionH>
                  <wp:positionV relativeFrom="paragraph">
                    <wp:posOffset>437515</wp:posOffset>
                  </wp:positionV>
                  <wp:extent cx="686435" cy="775335"/>
                  <wp:effectExtent l="0" t="0" r="14605" b="1905"/>
                  <wp:wrapNone/>
                  <wp:docPr id="76" name="Picture_209"/>
                  <wp:cNvGraphicFramePr/>
                  <a:graphic xmlns:a="http://schemas.openxmlformats.org/drawingml/2006/main">
                    <a:graphicData uri="http://schemas.openxmlformats.org/drawingml/2006/picture">
                      <pic:pic xmlns:pic="http://schemas.openxmlformats.org/drawingml/2006/picture">
                        <pic:nvPicPr>
                          <pic:cNvPr id="76" name="Picture_209"/>
                          <pic:cNvPicPr/>
                        </pic:nvPicPr>
                        <pic:blipFill>
                          <a:blip r:embed="rId28"/>
                          <a:stretch>
                            <a:fillRect/>
                          </a:stretch>
                        </pic:blipFill>
                        <pic:spPr>
                          <a:xfrm>
                            <a:off x="0" y="0"/>
                            <a:ext cx="686435" cy="7753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600*600mm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1、基材：优质橡木实木，干燥结实；                                                                   2、油漆：选用华润、大宝、君子兰或同等以上品牌环保油漆，VOC 含量≤450g/L，苯含量未检出；                                                                                   3、胶粘剂：采用环保胶粘剂，苯、甲苯、二甲苯未检出，游离甲醛未检出，总挥发性有机物≤30g/L；                                                                                     4、结构：采用榫卯结构；                                                                      5、工艺：采用油漆经全自动油漆喷涂/滚涂生产线和五底三面工艺。涂层不得有皱皮、发粘和漏漆现象。应无明显划痕、流挂；正视面（包括面板）涂层应平整光滑、清晰，涂膜实干后应无明显木孔沉陷；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1960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78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会议桌（20人，2头2只多功能插座）</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689610</wp:posOffset>
                  </wp:positionV>
                  <wp:extent cx="1152525" cy="655320"/>
                  <wp:effectExtent l="0" t="0" r="5715" b="0"/>
                  <wp:wrapNone/>
                  <wp:docPr id="64" name="图片_1_SpCnt_1"/>
                  <wp:cNvGraphicFramePr/>
                  <a:graphic xmlns:a="http://schemas.openxmlformats.org/drawingml/2006/main">
                    <a:graphicData uri="http://schemas.openxmlformats.org/drawingml/2006/picture">
                      <pic:pic xmlns:pic="http://schemas.openxmlformats.org/drawingml/2006/picture">
                        <pic:nvPicPr>
                          <pic:cNvPr id="64" name="图片_1_SpCnt_1"/>
                          <pic:cNvPicPr/>
                        </pic:nvPicPr>
                        <pic:blipFill>
                          <a:blip r:embed="rId29"/>
                          <a:stretch>
                            <a:fillRect/>
                          </a:stretch>
                        </pic:blipFill>
                        <pic:spPr>
                          <a:xfrm>
                            <a:off x="0" y="0"/>
                            <a:ext cx="1152525" cy="6553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4000*1600*760mm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1、基材：采用中纤板，甲醛释放量≤0.02mg/m³，TVOC≤35μg/m³；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2、饰面与封边：采用天然实木皮，厚度≥0.8mm，甲醛释放量未检出；                                                                  3、油漆：选用华润、大宝、君子兰或同等以上品牌环保油漆，VOC 含量≤450g/L，苯含量未检出；                                                4、胶粘剂：采用环保胶粘剂，苯、甲苯、二甲苯未检出，游离甲醛未检出，总挥发性有机物≤30g/L；                                                                                5、工艺：采用油漆经全自动油漆喷涂/滚涂生产线和五底三面工艺。涂层不得有皱皮、发粘和漏漆现象。应无明显划痕、流挂；正视面（包括面板）涂层应平整光滑、清晰，涂膜实干后应无明显木孔沉陷；                                                                                                                   6、功能：带走线功能。</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9600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9600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86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会议椅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69504" behindDoc="0" locked="0" layoutInCell="1" allowOverlap="1">
                  <wp:simplePos x="0" y="0"/>
                  <wp:positionH relativeFrom="column">
                    <wp:posOffset>370840</wp:posOffset>
                  </wp:positionH>
                  <wp:positionV relativeFrom="paragraph">
                    <wp:posOffset>842645</wp:posOffset>
                  </wp:positionV>
                  <wp:extent cx="582930" cy="852170"/>
                  <wp:effectExtent l="0" t="0" r="11430" b="1270"/>
                  <wp:wrapNone/>
                  <wp:docPr id="63" name="图片_3"/>
                  <wp:cNvGraphicFramePr/>
                  <a:graphic xmlns:a="http://schemas.openxmlformats.org/drawingml/2006/main">
                    <a:graphicData uri="http://schemas.openxmlformats.org/drawingml/2006/picture">
                      <pic:pic xmlns:pic="http://schemas.openxmlformats.org/drawingml/2006/picture">
                        <pic:nvPicPr>
                          <pic:cNvPr id="63" name="图片_3"/>
                          <pic:cNvPicPr/>
                        </pic:nvPicPr>
                        <pic:blipFill>
                          <a:blip r:embed="rId30"/>
                          <a:stretch>
                            <a:fillRect/>
                          </a:stretch>
                        </pic:blipFill>
                        <pic:spPr>
                          <a:xfrm>
                            <a:off x="0" y="0"/>
                            <a:ext cx="582930" cy="8521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优质橡木实木，干燥结实；实木经过抗菌处理，抗菌性能（大肠杆菌、金黄色葡萄球菌、肺炎克雷伯氏菌、铜绿假单胞菌、白色念珠菌）达到24h试验后抗菌率＞99.9%，提供通过CMA或CNAS资质的第三方检测机构出具的检测报告。                                                                              2、油漆：选用华润、大宝、君子兰或同等以上品牌环保油漆，VOC 含量≤450g/L，苯含量未检出；                                                                    3、胶粘剂：采用环保胶粘剂，苯、甲苯、二甲苯未检出，游离甲醛未检出，总挥发性有机物≤30g/L；                                                                                      4、结构：采用榫卯结构；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5、工艺：采用油漆经全自动油漆喷涂/滚涂生产线和五底三面工艺。涂层不得有皱皮、发粘和漏漆现象。应无明显划痕、流挂；正视面（包括面板）涂层应平整光滑、清晰，涂膜实干后应无明显木孔沉陷；                                                                                                      6、海绵：通用软质聚氨酯泡沫塑料，不应使用 CFC 和HCFC类物质作为发泡剂。表观密度≥50kg/m³，回弹率≥45%，甲醛释放量≤0.015mg/m²h，TVOC≤0.2 mg/m²h；                               7、扪面：人造革（皮），厚度≥1.0mm，游离甲醛未检出。皮经过防霉处理，防霉性能（黄曲霉、黑曲霉、大毛霉、产黄青霉、桔灰青霉、变幻青霉、马氏拟青霉、绿色木霉）达到1级及以上；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44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茶水柜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0528" behindDoc="0" locked="0" layoutInCell="1" allowOverlap="1">
                  <wp:simplePos x="0" y="0"/>
                  <wp:positionH relativeFrom="column">
                    <wp:posOffset>171450</wp:posOffset>
                  </wp:positionH>
                  <wp:positionV relativeFrom="paragraph">
                    <wp:posOffset>351155</wp:posOffset>
                  </wp:positionV>
                  <wp:extent cx="1028065" cy="780415"/>
                  <wp:effectExtent l="0" t="0" r="8255" b="12065"/>
                  <wp:wrapNone/>
                  <wp:docPr id="65" name="图片_5"/>
                  <wp:cNvGraphicFramePr/>
                  <a:graphic xmlns:a="http://schemas.openxmlformats.org/drawingml/2006/main">
                    <a:graphicData uri="http://schemas.openxmlformats.org/drawingml/2006/picture">
                      <pic:pic xmlns:pic="http://schemas.openxmlformats.org/drawingml/2006/picture">
                        <pic:nvPicPr>
                          <pic:cNvPr id="65" name="图片_5"/>
                          <pic:cNvPicPr/>
                        </pic:nvPicPr>
                        <pic:blipFill>
                          <a:blip r:embed="rId31"/>
                          <a:stretch>
                            <a:fillRect/>
                          </a:stretch>
                        </pic:blipFill>
                        <pic:spPr>
                          <a:xfrm>
                            <a:off x="0" y="0"/>
                            <a:ext cx="1028065" cy="78041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1200*400*800mm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1、基材：采用中纤板，甲醛释放量≤0.02mg/m³，TVOC≤35μg/m³；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2、饰面与封边：采用天然实木皮，厚度≥0.8mm，甲醛释放量未检出；                                                                  3、油漆：选用华润、大宝、君子兰或同等以上品牌环保油漆，VOC 含量≤450g/L，苯含量未检出；                                                                4、胶粘剂：采用环保胶粘剂，苯、甲苯、二甲苯未检出，游离甲醛未检出，总挥发性有机物≤30g/L；                                                                                   5、工艺：采用油漆经全自动油漆喷涂/滚涂生产线和五底三面工艺。涂层不得有皱皮、发粘和漏漆现象。应无明显划痕、流挂；正视面（包括面板）涂层应平整光滑、清晰，涂膜实干后应无明显木孔沉陷；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1580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08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矮柜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1552" behindDoc="0" locked="0" layoutInCell="1" allowOverlap="1">
                  <wp:simplePos x="0" y="0"/>
                  <wp:positionH relativeFrom="column">
                    <wp:posOffset>267335</wp:posOffset>
                  </wp:positionH>
                  <wp:positionV relativeFrom="paragraph">
                    <wp:posOffset>580390</wp:posOffset>
                  </wp:positionV>
                  <wp:extent cx="819150" cy="810260"/>
                  <wp:effectExtent l="0" t="0" r="3810" b="12700"/>
                  <wp:wrapNone/>
                  <wp:docPr id="70" name="图片_11"/>
                  <wp:cNvGraphicFramePr/>
                  <a:graphic xmlns:a="http://schemas.openxmlformats.org/drawingml/2006/main">
                    <a:graphicData uri="http://schemas.openxmlformats.org/drawingml/2006/picture">
                      <pic:pic xmlns:pic="http://schemas.openxmlformats.org/drawingml/2006/picture">
                        <pic:nvPicPr>
                          <pic:cNvPr id="70" name="图片_11"/>
                          <pic:cNvPicPr/>
                        </pic:nvPicPr>
                        <pic:blipFill>
                          <a:blip r:embed="rId32"/>
                          <a:stretch>
                            <a:fillRect/>
                          </a:stretch>
                        </pic:blipFill>
                        <pic:spPr>
                          <a:xfrm>
                            <a:off x="0" y="0"/>
                            <a:ext cx="819150" cy="8102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800*400*800mm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1、基材：采用实木多层板，甲醛释放量≤0.02mg/m³；                                                                    2、饰面：浸渍胶膜防火纸贴面；                                                            3、封边：聚氯乙烯（PVC）封边条；厚度≥1.5mm；甲醛释放量未检出，可溶性重金属（铅、镉、铬、汞、砷、钡、锑、硒）未检出，邻苯二甲酸脂未检出；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台面：优质人造石台面，硬度高，耐磨耐腐蚀。人造石经过抗菌处理，抗菌性能（大肠杆菌、金黄色葡萄球菌、肺炎克雷伯氏菌、铜绿假单胞菌、白色念珠菌）达到24h试验后抗菌率＞99.9%，提供通过CMA或CNAS资质的第三方检测机构出具的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3480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5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医生桌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2576" behindDoc="0" locked="0" layoutInCell="1" allowOverlap="1">
                  <wp:simplePos x="0" y="0"/>
                  <wp:positionH relativeFrom="column">
                    <wp:posOffset>276860</wp:posOffset>
                  </wp:positionH>
                  <wp:positionV relativeFrom="paragraph">
                    <wp:posOffset>789940</wp:posOffset>
                  </wp:positionV>
                  <wp:extent cx="961390" cy="677545"/>
                  <wp:effectExtent l="0" t="0" r="13970" b="8255"/>
                  <wp:wrapNone/>
                  <wp:docPr id="73" name="图片_9_SpCnt_1"/>
                  <wp:cNvGraphicFramePr/>
                  <a:graphic xmlns:a="http://schemas.openxmlformats.org/drawingml/2006/main">
                    <a:graphicData uri="http://schemas.openxmlformats.org/drawingml/2006/picture">
                      <pic:pic xmlns:pic="http://schemas.openxmlformats.org/drawingml/2006/picture">
                        <pic:nvPicPr>
                          <pic:cNvPr id="73" name="图片_9_SpCnt_1"/>
                          <pic:cNvPicPr/>
                        </pic:nvPicPr>
                        <pic:blipFill>
                          <a:blip r:embed="rId22"/>
                          <a:stretch>
                            <a:fillRect/>
                          </a:stretch>
                        </pic:blipFill>
                        <pic:spPr>
                          <a:xfrm>
                            <a:off x="0" y="0"/>
                            <a:ext cx="961390" cy="6775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1500*1500*900mm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5、胶粘剂：采用环保热熔胶，游离甲醛未检出，苯未检出，甲苯未检出，二甲苯未检出，总挥发性有机物≤10g/L；                                                                     6、钢架：选用冷轧钢材，钢管壁厚≥1.2mm，经脱脂、水洗、酸洗、水洗中和、表调、磷化、干燥等工艺处理，表面粉末涂料静电喷涂处理。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7、符合公共场所阻燃制品要求，达到国家建筑防火规定，桌类成品符合GB 8624-2012规定，达到硬质家具燃烧性能B2级及以上。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13200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66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检查床</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3600" behindDoc="0" locked="0" layoutInCell="1" allowOverlap="1">
                  <wp:simplePos x="0" y="0"/>
                  <wp:positionH relativeFrom="column">
                    <wp:posOffset>199390</wp:posOffset>
                  </wp:positionH>
                  <wp:positionV relativeFrom="paragraph">
                    <wp:posOffset>807085</wp:posOffset>
                  </wp:positionV>
                  <wp:extent cx="1009650" cy="764540"/>
                  <wp:effectExtent l="0" t="0" r="11430" b="12700"/>
                  <wp:wrapNone/>
                  <wp:docPr id="80" name="图片_28"/>
                  <wp:cNvGraphicFramePr/>
                  <a:graphic xmlns:a="http://schemas.openxmlformats.org/drawingml/2006/main">
                    <a:graphicData uri="http://schemas.openxmlformats.org/drawingml/2006/picture">
                      <pic:pic xmlns:pic="http://schemas.openxmlformats.org/drawingml/2006/picture">
                        <pic:nvPicPr>
                          <pic:cNvPr id="80" name="图片_28"/>
                          <pic:cNvPicPr/>
                        </pic:nvPicPr>
                        <pic:blipFill>
                          <a:blip r:embed="rId33"/>
                          <a:stretch>
                            <a:fillRect/>
                          </a:stretch>
                        </pic:blipFill>
                        <pic:spPr>
                          <a:xfrm>
                            <a:off x="0" y="0"/>
                            <a:ext cx="1009650" cy="76454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1800*800*650mm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1、基材：采用实木多层板，甲醛释放量≤0.02mg/m³，苯未检出，甲苯未检出，二甲苯未检出，TVOC≤35μg/m³；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6、海绵：通用软质聚氨酯泡沫塑料，不应使用 CFC 和HCFC类物质作为发泡剂。表观密度≥50kg/m³，回弹率≥45%，甲醛释放量≤0.015mg/m²h，TVOC≤0.2 mg/m²h；                               7、扪面：人造革（皮），厚度≥1.0mm，游离甲醛未检出。皮经过防霉处理，防霉性能（黄曲霉、黑曲霉、大毛霉、产黄青霉、桔灰青霉、变幻青霉、马氏拟青霉、绿色木霉）达到1级及以上；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6320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62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接待沙发3</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4624" behindDoc="0" locked="0" layoutInCell="1" allowOverlap="1">
                  <wp:simplePos x="0" y="0"/>
                  <wp:positionH relativeFrom="column">
                    <wp:posOffset>142240</wp:posOffset>
                  </wp:positionH>
                  <wp:positionV relativeFrom="paragraph">
                    <wp:posOffset>214630</wp:posOffset>
                  </wp:positionV>
                  <wp:extent cx="981710" cy="687070"/>
                  <wp:effectExtent l="0" t="0" r="8890" b="13970"/>
                  <wp:wrapNone/>
                  <wp:docPr id="69" name="图片_36"/>
                  <wp:cNvGraphicFramePr/>
                  <a:graphic xmlns:a="http://schemas.openxmlformats.org/drawingml/2006/main">
                    <a:graphicData uri="http://schemas.openxmlformats.org/drawingml/2006/picture">
                      <pic:pic xmlns:pic="http://schemas.openxmlformats.org/drawingml/2006/picture">
                        <pic:nvPicPr>
                          <pic:cNvPr id="69" name="图片_36"/>
                          <pic:cNvPicPr/>
                        </pic:nvPicPr>
                        <pic:blipFill>
                          <a:blip r:embed="rId34"/>
                          <a:stretch>
                            <a:fillRect/>
                          </a:stretch>
                        </pic:blipFill>
                        <pic:spPr>
                          <a:xfrm>
                            <a:off x="0" y="0"/>
                            <a:ext cx="981710" cy="68707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1、面料：采用优质超迁皮，面质感柔和，光泽度好，透气性强，富于韧性。</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23520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5648" behindDoc="0" locked="0" layoutInCell="1" allowOverlap="1">
                  <wp:simplePos x="0" y="0"/>
                  <wp:positionH relativeFrom="column">
                    <wp:posOffset>267335</wp:posOffset>
                  </wp:positionH>
                  <wp:positionV relativeFrom="paragraph">
                    <wp:posOffset>93980</wp:posOffset>
                  </wp:positionV>
                  <wp:extent cx="800735" cy="883920"/>
                  <wp:effectExtent l="0" t="0" r="6985" b="0"/>
                  <wp:wrapNone/>
                  <wp:docPr id="82" name="图片_37"/>
                  <wp:cNvGraphicFramePr/>
                  <a:graphic xmlns:a="http://schemas.openxmlformats.org/drawingml/2006/main">
                    <a:graphicData uri="http://schemas.openxmlformats.org/drawingml/2006/picture">
                      <pic:pic xmlns:pic="http://schemas.openxmlformats.org/drawingml/2006/picture">
                        <pic:nvPicPr>
                          <pic:cNvPr id="82" name="图片_37"/>
                          <pic:cNvPicPr/>
                        </pic:nvPicPr>
                        <pic:blipFill>
                          <a:blip r:embed="rId35"/>
                          <a:stretch>
                            <a:fillRect/>
                          </a:stretch>
                        </pic:blipFill>
                        <pic:spPr>
                          <a:xfrm>
                            <a:off x="0" y="0"/>
                            <a:ext cx="800735" cy="8839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400*600*480mm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上下两层木板是中纤板贴开放木纹工艺，美观高端，铝合金精抛光电镀框架，结构牢固，工艺精致美观</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5460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659"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医生桌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6672" behindDoc="0" locked="0" layoutInCell="1" allowOverlap="1">
                  <wp:simplePos x="0" y="0"/>
                  <wp:positionH relativeFrom="column">
                    <wp:posOffset>210185</wp:posOffset>
                  </wp:positionH>
                  <wp:positionV relativeFrom="paragraph">
                    <wp:posOffset>518160</wp:posOffset>
                  </wp:positionV>
                  <wp:extent cx="1038860" cy="732155"/>
                  <wp:effectExtent l="0" t="0" r="12700" b="14605"/>
                  <wp:wrapNone/>
                  <wp:docPr id="66" name="图片_11_SpCnt_1"/>
                  <wp:cNvGraphicFramePr/>
                  <a:graphic xmlns:a="http://schemas.openxmlformats.org/drawingml/2006/main">
                    <a:graphicData uri="http://schemas.openxmlformats.org/drawingml/2006/picture">
                      <pic:pic xmlns:pic="http://schemas.openxmlformats.org/drawingml/2006/picture">
                        <pic:nvPicPr>
                          <pic:cNvPr id="66" name="图片_11_SpCnt_1"/>
                          <pic:cNvPicPr/>
                        </pic:nvPicPr>
                        <pic:blipFill>
                          <a:blip r:embed="rId36"/>
                          <a:stretch>
                            <a:fillRect/>
                          </a:stretch>
                        </pic:blipFill>
                        <pic:spPr>
                          <a:xfrm>
                            <a:off x="0" y="0"/>
                            <a:ext cx="1038860" cy="73215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1000*500*760mm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1300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216"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圆柱沙发</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7696" behindDoc="0" locked="0" layoutInCell="1" allowOverlap="1">
                  <wp:simplePos x="0" y="0"/>
                  <wp:positionH relativeFrom="column">
                    <wp:posOffset>332740</wp:posOffset>
                  </wp:positionH>
                  <wp:positionV relativeFrom="paragraph">
                    <wp:posOffset>173990</wp:posOffset>
                  </wp:positionV>
                  <wp:extent cx="628650" cy="826135"/>
                  <wp:effectExtent l="0" t="0" r="11430" b="12065"/>
                  <wp:wrapNone/>
                  <wp:docPr id="67" name="图片_75"/>
                  <wp:cNvGraphicFramePr/>
                  <a:graphic xmlns:a="http://schemas.openxmlformats.org/drawingml/2006/main">
                    <a:graphicData uri="http://schemas.openxmlformats.org/drawingml/2006/picture">
                      <pic:pic xmlns:pic="http://schemas.openxmlformats.org/drawingml/2006/picture">
                        <pic:nvPicPr>
                          <pic:cNvPr id="67" name="图片_75"/>
                          <pic:cNvPicPr/>
                        </pic:nvPicPr>
                        <pic:blipFill>
                          <a:blip r:embed="rId37"/>
                          <a:stretch>
                            <a:fillRect/>
                          </a:stretch>
                        </pic:blipFill>
                        <pic:spPr>
                          <a:xfrm>
                            <a:off x="0" y="0"/>
                            <a:ext cx="628650" cy="8261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按实</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1、内框架：采用榫卯结构，材料为落叶松或胶合板；                                 2、海绵：通用软质聚氨酯泡沫塑料，不应使用 CFC 和HCFC类物质作为发泡剂。表观密度≥50kg/m³，回弹率≥45%，甲醛释放量≤0.015mg/m²h，TVOC≤0.2 mg/m²h；                               3、扪面：人造革（皮），厚度≥1.0mm，游离甲醛未检出。</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49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布艺休闲椅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8720" behindDoc="0" locked="0" layoutInCell="1" allowOverlap="1">
                  <wp:simplePos x="0" y="0"/>
                  <wp:positionH relativeFrom="column">
                    <wp:posOffset>257810</wp:posOffset>
                  </wp:positionH>
                  <wp:positionV relativeFrom="paragraph">
                    <wp:posOffset>259080</wp:posOffset>
                  </wp:positionV>
                  <wp:extent cx="971550" cy="647065"/>
                  <wp:effectExtent l="0" t="0" r="3810" b="8255"/>
                  <wp:wrapNone/>
                  <wp:docPr id="68" name="图片_76"/>
                  <wp:cNvGraphicFramePr/>
                  <a:graphic xmlns:a="http://schemas.openxmlformats.org/drawingml/2006/main">
                    <a:graphicData uri="http://schemas.openxmlformats.org/drawingml/2006/picture">
                      <pic:pic xmlns:pic="http://schemas.openxmlformats.org/drawingml/2006/picture">
                        <pic:nvPicPr>
                          <pic:cNvPr id="68" name="图片_76"/>
                          <pic:cNvPicPr/>
                        </pic:nvPicPr>
                        <pic:blipFill>
                          <a:blip r:embed="rId38"/>
                          <a:stretch>
                            <a:fillRect/>
                          </a:stretch>
                        </pic:blipFill>
                        <pic:spPr>
                          <a:xfrm>
                            <a:off x="0" y="0"/>
                            <a:ext cx="971550" cy="6470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椅：实木内板，密度海绵填充，绒布饰面，喷涂铁脚</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3360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47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79744" behindDoc="0" locked="0" layoutInCell="1" allowOverlap="1">
                  <wp:simplePos x="0" y="0"/>
                  <wp:positionH relativeFrom="column">
                    <wp:posOffset>191770</wp:posOffset>
                  </wp:positionH>
                  <wp:positionV relativeFrom="paragraph">
                    <wp:posOffset>299085</wp:posOffset>
                  </wp:positionV>
                  <wp:extent cx="970915" cy="558165"/>
                  <wp:effectExtent l="0" t="0" r="4445" b="5715"/>
                  <wp:wrapNone/>
                  <wp:docPr id="74" name="图片_77"/>
                  <wp:cNvGraphicFramePr/>
                  <a:graphic xmlns:a="http://schemas.openxmlformats.org/drawingml/2006/main">
                    <a:graphicData uri="http://schemas.openxmlformats.org/drawingml/2006/picture">
                      <pic:pic xmlns:pic="http://schemas.openxmlformats.org/drawingml/2006/picture">
                        <pic:nvPicPr>
                          <pic:cNvPr id="74" name="图片_77"/>
                          <pic:cNvPicPr/>
                        </pic:nvPicPr>
                        <pic:blipFill>
                          <a:blip r:embed="rId39"/>
                          <a:stretch>
                            <a:fillRect/>
                          </a:stretch>
                        </pic:blipFill>
                        <pic:spPr>
                          <a:xfrm>
                            <a:off x="0" y="0"/>
                            <a:ext cx="970915" cy="5581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桌面为高密度贴水曲柳木皮，不绣钢架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950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305"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接待沙发4</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0768" behindDoc="0" locked="0" layoutInCell="1" allowOverlap="1">
                  <wp:simplePos x="0" y="0"/>
                  <wp:positionH relativeFrom="column">
                    <wp:posOffset>142240</wp:posOffset>
                  </wp:positionH>
                  <wp:positionV relativeFrom="paragraph">
                    <wp:posOffset>178435</wp:posOffset>
                  </wp:positionV>
                  <wp:extent cx="1133475" cy="705485"/>
                  <wp:effectExtent l="0" t="0" r="9525" b="10795"/>
                  <wp:wrapNone/>
                  <wp:docPr id="83" name="图片_78"/>
                  <wp:cNvGraphicFramePr/>
                  <a:graphic xmlns:a="http://schemas.openxmlformats.org/drawingml/2006/main">
                    <a:graphicData uri="http://schemas.openxmlformats.org/drawingml/2006/picture">
                      <pic:pic xmlns:pic="http://schemas.openxmlformats.org/drawingml/2006/picture">
                        <pic:nvPicPr>
                          <pic:cNvPr id="83" name="图片_78"/>
                          <pic:cNvPicPr/>
                        </pic:nvPicPr>
                        <pic:blipFill>
                          <a:blip r:embed="rId40"/>
                          <a:stretch>
                            <a:fillRect/>
                          </a:stretch>
                        </pic:blipFill>
                        <pic:spPr>
                          <a:xfrm>
                            <a:off x="0" y="0"/>
                            <a:ext cx="1133475" cy="70548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三人位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1、面料：采用优质超迁皮，面质感柔和，光泽度好，透气性强，富于韧性。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654"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接待沙发5</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1792" behindDoc="0" locked="0" layoutInCell="1" allowOverlap="1">
                  <wp:simplePos x="0" y="0"/>
                  <wp:positionH relativeFrom="column">
                    <wp:posOffset>153035</wp:posOffset>
                  </wp:positionH>
                  <wp:positionV relativeFrom="paragraph">
                    <wp:posOffset>209550</wp:posOffset>
                  </wp:positionV>
                  <wp:extent cx="1048385" cy="629920"/>
                  <wp:effectExtent l="0" t="0" r="3175" b="10160"/>
                  <wp:wrapNone/>
                  <wp:docPr id="84" name="图片_13"/>
                  <wp:cNvGraphicFramePr/>
                  <a:graphic xmlns:a="http://schemas.openxmlformats.org/drawingml/2006/main">
                    <a:graphicData uri="http://schemas.openxmlformats.org/drawingml/2006/picture">
                      <pic:pic xmlns:pic="http://schemas.openxmlformats.org/drawingml/2006/picture">
                        <pic:nvPicPr>
                          <pic:cNvPr id="84" name="图片_13"/>
                          <pic:cNvPicPr/>
                        </pic:nvPicPr>
                        <pic:blipFill>
                          <a:blip r:embed="rId41"/>
                          <a:stretch>
                            <a:fillRect/>
                          </a:stretch>
                        </pic:blipFill>
                        <pic:spPr>
                          <a:xfrm>
                            <a:off x="0" y="0"/>
                            <a:ext cx="1048385" cy="6299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单人位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1、面料：采用优质超迁皮，面质感柔和，光泽度好，透气性强，富于韧性。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2816" behindDoc="0" locked="0" layoutInCell="1" allowOverlap="1">
                  <wp:simplePos x="0" y="0"/>
                  <wp:positionH relativeFrom="column">
                    <wp:posOffset>170180</wp:posOffset>
                  </wp:positionH>
                  <wp:positionV relativeFrom="paragraph">
                    <wp:posOffset>267970</wp:posOffset>
                  </wp:positionV>
                  <wp:extent cx="1049655" cy="607060"/>
                  <wp:effectExtent l="0" t="0" r="1905" b="2540"/>
                  <wp:wrapNone/>
                  <wp:docPr id="75" name="图片_14"/>
                  <wp:cNvGraphicFramePr/>
                  <a:graphic xmlns:a="http://schemas.openxmlformats.org/drawingml/2006/main">
                    <a:graphicData uri="http://schemas.openxmlformats.org/drawingml/2006/picture">
                      <pic:pic xmlns:pic="http://schemas.openxmlformats.org/drawingml/2006/picture">
                        <pic:nvPicPr>
                          <pic:cNvPr id="75" name="图片_14"/>
                          <pic:cNvPicPr/>
                        </pic:nvPicPr>
                        <pic:blipFill>
                          <a:blip r:embed="rId42"/>
                          <a:stretch>
                            <a:fillRect/>
                          </a:stretch>
                        </pic:blipFill>
                        <pic:spPr>
                          <a:xfrm>
                            <a:off x="0" y="0"/>
                            <a:ext cx="1049655" cy="60706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直径60cm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中纤板桌面贴水曲柳木皮，配白蜡实木腿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1260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464"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办公桌</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3840" behindDoc="0" locked="0" layoutInCell="1" allowOverlap="1">
                  <wp:simplePos x="0" y="0"/>
                  <wp:positionH relativeFrom="column">
                    <wp:posOffset>85090</wp:posOffset>
                  </wp:positionH>
                  <wp:positionV relativeFrom="paragraph">
                    <wp:posOffset>506730</wp:posOffset>
                  </wp:positionV>
                  <wp:extent cx="1193165" cy="656590"/>
                  <wp:effectExtent l="0" t="0" r="10795" b="13970"/>
                  <wp:wrapNone/>
                  <wp:docPr id="71" name="图片_11_SpCnt_2"/>
                  <wp:cNvGraphicFramePr/>
                  <a:graphic xmlns:a="http://schemas.openxmlformats.org/drawingml/2006/main">
                    <a:graphicData uri="http://schemas.openxmlformats.org/drawingml/2006/picture">
                      <pic:pic xmlns:pic="http://schemas.openxmlformats.org/drawingml/2006/picture">
                        <pic:nvPicPr>
                          <pic:cNvPr id="71" name="图片_11_SpCnt_2"/>
                          <pic:cNvPicPr/>
                        </pic:nvPicPr>
                        <pic:blipFill>
                          <a:blip r:embed="rId43"/>
                          <a:stretch>
                            <a:fillRect/>
                          </a:stretch>
                        </pic:blipFill>
                        <pic:spPr>
                          <a:xfrm>
                            <a:off x="0" y="0"/>
                            <a:ext cx="1193165" cy="6565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1600*1600*760mm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498"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办公椅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4864" behindDoc="0" locked="0" layoutInCell="1" allowOverlap="1">
                  <wp:simplePos x="0" y="0"/>
                  <wp:positionH relativeFrom="column">
                    <wp:posOffset>210185</wp:posOffset>
                  </wp:positionH>
                  <wp:positionV relativeFrom="paragraph">
                    <wp:posOffset>342265</wp:posOffset>
                  </wp:positionV>
                  <wp:extent cx="810260" cy="850265"/>
                  <wp:effectExtent l="0" t="0" r="12700" b="3175"/>
                  <wp:wrapNone/>
                  <wp:docPr id="77" name="图片_12"/>
                  <wp:cNvGraphicFramePr/>
                  <a:graphic xmlns:a="http://schemas.openxmlformats.org/drawingml/2006/main">
                    <a:graphicData uri="http://schemas.openxmlformats.org/drawingml/2006/picture">
                      <pic:pic xmlns:pic="http://schemas.openxmlformats.org/drawingml/2006/picture">
                        <pic:nvPicPr>
                          <pic:cNvPr id="77" name="图片_12"/>
                          <pic:cNvPicPr/>
                        </pic:nvPicPr>
                        <pic:blipFill>
                          <a:blip r:embed="rId44"/>
                          <a:stretch>
                            <a:fillRect/>
                          </a:stretch>
                        </pic:blipFill>
                        <pic:spPr>
                          <a:xfrm>
                            <a:off x="0" y="0"/>
                            <a:ext cx="810260" cy="8502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·巴西进口优质黄牛皮饰面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·尼龙内外板背架，固定头枕，带ABS电镀装饰盖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·定型海绵</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·黑色PP连体扶手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·配原位锁定功能底盘</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·100#沉口4公分黑色汽杆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·∮340MM尼龙高脚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·φ60MM黑色PU轮</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3120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60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5888" behindDoc="0" locked="0" layoutInCell="1" allowOverlap="1">
                  <wp:simplePos x="0" y="0"/>
                  <wp:positionH relativeFrom="column">
                    <wp:posOffset>210185</wp:posOffset>
                  </wp:positionH>
                  <wp:positionV relativeFrom="paragraph">
                    <wp:posOffset>173990</wp:posOffset>
                  </wp:positionV>
                  <wp:extent cx="1019175" cy="826135"/>
                  <wp:effectExtent l="0" t="0" r="1905" b="12065"/>
                  <wp:wrapNone/>
                  <wp:docPr id="72" name="图片_6_SpCnt_1"/>
                  <wp:cNvGraphicFramePr/>
                  <a:graphic xmlns:a="http://schemas.openxmlformats.org/drawingml/2006/main">
                    <a:graphicData uri="http://schemas.openxmlformats.org/drawingml/2006/picture">
                      <pic:pic xmlns:pic="http://schemas.openxmlformats.org/drawingml/2006/picture">
                        <pic:nvPicPr>
                          <pic:cNvPr id="72" name="图片_6_SpCnt_1"/>
                          <pic:cNvPicPr/>
                        </pic:nvPicPr>
                        <pic:blipFill>
                          <a:blip r:embed="rId45"/>
                          <a:stretch>
                            <a:fillRect/>
                          </a:stretch>
                        </pic:blipFill>
                        <pic:spPr>
                          <a:xfrm>
                            <a:off x="0" y="0"/>
                            <a:ext cx="1019175" cy="82613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三人位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1、面料：采用优质超迁皮，面质感柔和，光泽度好，透气性强，富于韧性。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4800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57"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接待沙发7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6912" behindDoc="0" locked="0" layoutInCell="1" allowOverlap="1">
                  <wp:simplePos x="0" y="0"/>
                  <wp:positionH relativeFrom="column">
                    <wp:posOffset>180975</wp:posOffset>
                  </wp:positionH>
                  <wp:positionV relativeFrom="paragraph">
                    <wp:posOffset>236855</wp:posOffset>
                  </wp:positionV>
                  <wp:extent cx="1018540" cy="638175"/>
                  <wp:effectExtent l="0" t="0" r="2540" b="1905"/>
                  <wp:wrapNone/>
                  <wp:docPr id="79" name="图片_51"/>
                  <wp:cNvGraphicFramePr/>
                  <a:graphic xmlns:a="http://schemas.openxmlformats.org/drawingml/2006/main">
                    <a:graphicData uri="http://schemas.openxmlformats.org/drawingml/2006/picture">
                      <pic:pic xmlns:pic="http://schemas.openxmlformats.org/drawingml/2006/picture">
                        <pic:nvPicPr>
                          <pic:cNvPr id="79" name="图片_51"/>
                          <pic:cNvPicPr/>
                        </pic:nvPicPr>
                        <pic:blipFill>
                          <a:blip r:embed="rId46"/>
                          <a:stretch>
                            <a:fillRect/>
                          </a:stretch>
                        </pic:blipFill>
                        <pic:spPr>
                          <a:xfrm>
                            <a:off x="0" y="0"/>
                            <a:ext cx="1018540" cy="63817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单人位</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1、面料：采用优质超迁皮，面质感柔和，光泽度好，透气性强，富于韧性。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2、泡棉：采用高密度定型海绵，软硬适中，各项指标达到国家现行检测标准，长时间外力作用下不易变形。                                   3、靠背利用人体工程学，自然弧线，让背部久坐依然舒服，电动可躺沙发符合公共场所阻燃制品要求，达到国家建筑防火规定，成品符合GB 8624-2012规定，达到软质家具燃烧性能B2级及以上。</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3500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80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茶几</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7936" behindDoc="0" locked="0" layoutInCell="1" allowOverlap="1">
                  <wp:simplePos x="0" y="0"/>
                  <wp:positionH relativeFrom="column">
                    <wp:posOffset>228600</wp:posOffset>
                  </wp:positionH>
                  <wp:positionV relativeFrom="paragraph">
                    <wp:posOffset>272415</wp:posOffset>
                  </wp:positionV>
                  <wp:extent cx="1020445" cy="499745"/>
                  <wp:effectExtent l="0" t="0" r="635" b="3175"/>
                  <wp:wrapNone/>
                  <wp:docPr id="85" name="图片_51_SpCnt_1"/>
                  <wp:cNvGraphicFramePr/>
                  <a:graphic xmlns:a="http://schemas.openxmlformats.org/drawingml/2006/main">
                    <a:graphicData uri="http://schemas.openxmlformats.org/drawingml/2006/picture">
                      <pic:pic xmlns:pic="http://schemas.openxmlformats.org/drawingml/2006/picture">
                        <pic:nvPicPr>
                          <pic:cNvPr id="85" name="图片_51_SpCnt_1"/>
                          <pic:cNvPicPr/>
                        </pic:nvPicPr>
                        <pic:blipFill>
                          <a:blip r:embed="rId47"/>
                          <a:stretch>
                            <a:fillRect/>
                          </a:stretch>
                        </pic:blipFill>
                        <pic:spPr>
                          <a:xfrm>
                            <a:off x="0" y="0"/>
                            <a:ext cx="1020445" cy="49974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600*600*480mm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中纤板桌面贴水曲柳木皮，配白蜡实木腿</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1580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611"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书架</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8960" behindDoc="0" locked="0" layoutInCell="1" allowOverlap="1">
                  <wp:simplePos x="0" y="0"/>
                  <wp:positionH relativeFrom="column">
                    <wp:posOffset>219710</wp:posOffset>
                  </wp:positionH>
                  <wp:positionV relativeFrom="paragraph">
                    <wp:posOffset>372110</wp:posOffset>
                  </wp:positionV>
                  <wp:extent cx="923925" cy="787400"/>
                  <wp:effectExtent l="0" t="0" r="5715" b="5080"/>
                  <wp:wrapNone/>
                  <wp:docPr id="61" name="图片_1_SpCnt_2"/>
                  <wp:cNvGraphicFramePr/>
                  <a:graphic xmlns:a="http://schemas.openxmlformats.org/drawingml/2006/main">
                    <a:graphicData uri="http://schemas.openxmlformats.org/drawingml/2006/picture">
                      <pic:pic xmlns:pic="http://schemas.openxmlformats.org/drawingml/2006/picture">
                        <pic:nvPicPr>
                          <pic:cNvPr id="61" name="图片_1_SpCnt_2"/>
                          <pic:cNvPicPr/>
                        </pic:nvPicPr>
                        <pic:blipFill>
                          <a:blip r:embed="rId48"/>
                          <a:stretch>
                            <a:fillRect/>
                          </a:stretch>
                        </pic:blipFill>
                        <pic:spPr>
                          <a:xfrm>
                            <a:off x="0" y="0"/>
                            <a:ext cx="923925" cy="78740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2400*400*2000mm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1、基材：采用实木多层板，甲醛释放量≤0.02mg/m³；                                                        2、饰面：浸渍胶膜防火纸贴面；                                                                       3、封边：聚氯乙烯（PVC）封边条；厚度≥1.5mm；甲醛释放量未检出，可溶性重金属（铅、镉、铬、汞、砷、钡、锑、硒）未检出，邻苯二甲酸脂未检出；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6、钢架：选用冷轧钢材，钢管壁厚≥1.2mm，经脱脂、水洗、酸洗、水洗中和、表调、磷化、干燥等工艺处理，表面粉末涂料静电喷涂处理。</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3600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3600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66"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b/>
                <w:bCs/>
                <w:color w:val="000000"/>
                <w:kern w:val="0"/>
                <w:sz w:val="20"/>
                <w:szCs w:val="20"/>
              </w:rPr>
              <w:t>咨询服务台</w:t>
            </w:r>
            <w:r>
              <w:rPr>
                <w:rFonts w:hint="eastAsia" w:ascii="宋体" w:hAnsi="宋体" w:cs="宋体"/>
                <w:color w:val="000000"/>
                <w:kern w:val="0"/>
                <w:sz w:val="20"/>
                <w:szCs w:val="20"/>
              </w:rPr>
              <w:t>（核心产品）</w:t>
            </w:r>
            <w:r>
              <w:rPr>
                <w:rFonts w:hint="eastAsia" w:ascii="宋体" w:hAnsi="宋体" w:cs="宋体"/>
                <w:b/>
                <w:bCs/>
                <w:color w:val="000000"/>
                <w:kern w:val="0"/>
                <w:sz w:val="20"/>
                <w:szCs w:val="20"/>
              </w:rPr>
              <w:t>（样品）</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89984" behindDoc="0" locked="0" layoutInCell="1" allowOverlap="1">
                  <wp:simplePos x="0" y="0"/>
                  <wp:positionH relativeFrom="column">
                    <wp:posOffset>160655</wp:posOffset>
                  </wp:positionH>
                  <wp:positionV relativeFrom="paragraph">
                    <wp:posOffset>300990</wp:posOffset>
                  </wp:positionV>
                  <wp:extent cx="1048385" cy="910590"/>
                  <wp:effectExtent l="0" t="0" r="3175" b="3810"/>
                  <wp:wrapNone/>
                  <wp:docPr id="89" name="图片_73"/>
                  <wp:cNvGraphicFramePr/>
                  <a:graphic xmlns:a="http://schemas.openxmlformats.org/drawingml/2006/main">
                    <a:graphicData uri="http://schemas.openxmlformats.org/drawingml/2006/picture">
                      <pic:pic xmlns:pic="http://schemas.openxmlformats.org/drawingml/2006/picture">
                        <pic:nvPicPr>
                          <pic:cNvPr id="89" name="图片_73"/>
                          <pic:cNvPicPr/>
                        </pic:nvPicPr>
                        <pic:blipFill>
                          <a:blip r:embed="rId49"/>
                          <a:stretch>
                            <a:fillRect/>
                          </a:stretch>
                        </pic:blipFill>
                        <pic:spPr>
                          <a:xfrm>
                            <a:off x="0" y="0"/>
                            <a:ext cx="1048385" cy="91059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3000*600*800mm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1、基材：采用实木多层板，甲醛释放量≤0.02mg/m³；多层板经过防霉处理，防霉性能（黑曲霉、土曲霉、宛氏拟青霉、绳状青霉、出芽短梗霉、球毛壳霉）达到1级及以上；                                                           2、饰面：浸渍胶膜防火纸贴面；                                                      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5、胶粘剂：采用环保热熔胶，游离甲醛未检出，苯未检出，甲苯未检出，二甲苯未检出，总挥发性有机物≤10g/L；                                                                         6、台面：优质人造石台面，硬度高，耐磨耐腐蚀。                                              7、配置：含污物侧柜，隐藏式走线功能，正面采用彩色钢化玻璃，304不锈钢踢脚线。</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9000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259"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医生椅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91008" behindDoc="0" locked="0" layoutInCell="1" allowOverlap="1">
                  <wp:simplePos x="0" y="0"/>
                  <wp:positionH relativeFrom="column">
                    <wp:posOffset>210185</wp:posOffset>
                  </wp:positionH>
                  <wp:positionV relativeFrom="paragraph">
                    <wp:posOffset>281305</wp:posOffset>
                  </wp:positionV>
                  <wp:extent cx="913765" cy="642620"/>
                  <wp:effectExtent l="0" t="0" r="635" b="12700"/>
                  <wp:wrapNone/>
                  <wp:docPr id="88" name="图片_80"/>
                  <wp:cNvGraphicFramePr/>
                  <a:graphic xmlns:a="http://schemas.openxmlformats.org/drawingml/2006/main">
                    <a:graphicData uri="http://schemas.openxmlformats.org/drawingml/2006/picture">
                      <pic:pic xmlns:pic="http://schemas.openxmlformats.org/drawingml/2006/picture">
                        <pic:nvPicPr>
                          <pic:cNvPr id="88" name="图片_80"/>
                          <pic:cNvPicPr/>
                        </pic:nvPicPr>
                        <pic:blipFill>
                          <a:blip r:embed="rId50"/>
                          <a:stretch>
                            <a:fillRect/>
                          </a:stretch>
                        </pic:blipFill>
                        <pic:spPr>
                          <a:xfrm>
                            <a:off x="0" y="0"/>
                            <a:ext cx="913765" cy="64262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1.面材：采用成型抑菌PU饰面，一次冲孔成型，软硬适中，易清洁；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2.五星脚：采用合金喷涂五星脚架。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3.脚踏：采用金属电镀；</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4.液压杆：采用优质气压棒。</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5.底盘：采用多功能底盘；</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1889"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病人椅</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92032" behindDoc="0" locked="0" layoutInCell="1" allowOverlap="1">
                  <wp:simplePos x="0" y="0"/>
                  <wp:positionH relativeFrom="column">
                    <wp:posOffset>313690</wp:posOffset>
                  </wp:positionH>
                  <wp:positionV relativeFrom="paragraph">
                    <wp:posOffset>142875</wp:posOffset>
                  </wp:positionV>
                  <wp:extent cx="677545" cy="799465"/>
                  <wp:effectExtent l="0" t="0" r="8255" b="8255"/>
                  <wp:wrapNone/>
                  <wp:docPr id="90" name="图片_79"/>
                  <wp:cNvGraphicFramePr/>
                  <a:graphic xmlns:a="http://schemas.openxmlformats.org/drawingml/2006/main">
                    <a:graphicData uri="http://schemas.openxmlformats.org/drawingml/2006/picture">
                      <pic:pic xmlns:pic="http://schemas.openxmlformats.org/drawingml/2006/picture">
                        <pic:nvPicPr>
                          <pic:cNvPr id="90" name="图片_79"/>
                          <pic:cNvPicPr/>
                        </pic:nvPicPr>
                        <pic:blipFill>
                          <a:blip r:embed="rId51"/>
                          <a:stretch>
                            <a:fillRect/>
                          </a:stretch>
                        </pic:blipFill>
                        <pic:spPr>
                          <a:xfrm>
                            <a:off x="0" y="0"/>
                            <a:ext cx="677545" cy="799465"/>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常规</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优质仿皮，高弹海绵，五星脚</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1004</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674"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上下铺床</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93056" behindDoc="0" locked="0" layoutInCell="1" allowOverlap="1">
                  <wp:simplePos x="0" y="0"/>
                  <wp:positionH relativeFrom="column">
                    <wp:posOffset>123825</wp:posOffset>
                  </wp:positionH>
                  <wp:positionV relativeFrom="paragraph">
                    <wp:posOffset>207645</wp:posOffset>
                  </wp:positionV>
                  <wp:extent cx="1151890" cy="963930"/>
                  <wp:effectExtent l="0" t="0" r="6350" b="11430"/>
                  <wp:wrapNone/>
                  <wp:docPr id="86" name="图片_1_SpCnt_3"/>
                  <wp:cNvGraphicFramePr/>
                  <a:graphic xmlns:a="http://schemas.openxmlformats.org/drawingml/2006/main">
                    <a:graphicData uri="http://schemas.openxmlformats.org/drawingml/2006/picture">
                      <pic:pic xmlns:pic="http://schemas.openxmlformats.org/drawingml/2006/picture">
                        <pic:nvPicPr>
                          <pic:cNvPr id="86" name="图片_1_SpCnt_3"/>
                          <pic:cNvPicPr/>
                        </pic:nvPicPr>
                        <pic:blipFill>
                          <a:blip r:embed="rId52"/>
                          <a:stretch>
                            <a:fillRect/>
                          </a:stretch>
                        </pic:blipFill>
                        <pic:spPr>
                          <a:xfrm>
                            <a:off x="0" y="0"/>
                            <a:ext cx="1151890" cy="96393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1000*2000mm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1、基材：优质橡木实木，干燥结实；                                                        2、油漆：选用华润、大宝、君子兰或同等以上品牌环保油漆，VOC 含量≤450g/L，苯含量未检出；                                                                      3、胶粘剂：采用环保胶粘剂，苯、甲苯、二甲苯未检出，游离甲醛未检出，总挥发性有机物≤30g/L；                                                                       4、结构：采用榫卯结构；                                                                       5、工艺：采用油漆经全自动油漆喷涂/滚涂生产线和五底三面工艺。涂层不得有皱皮、发粘和漏漆现象。应无明显划痕、流挂；正视面（包括面板）涂层应平整光滑、清晰，涂膜实干后应无明显木孔沉陷；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组</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1700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760" w:hRule="atLeast"/>
        </w:trPr>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衣柜</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bdr w:val="single" w:color="000000" w:sz="4" w:space="0"/>
              </w:rPr>
              <w:drawing>
                <wp:anchor distT="0" distB="0" distL="114300" distR="114300" simplePos="0" relativeHeight="251694080" behindDoc="0" locked="0" layoutInCell="1" allowOverlap="1">
                  <wp:simplePos x="0" y="0"/>
                  <wp:positionH relativeFrom="column">
                    <wp:posOffset>313690</wp:posOffset>
                  </wp:positionH>
                  <wp:positionV relativeFrom="paragraph">
                    <wp:posOffset>123190</wp:posOffset>
                  </wp:positionV>
                  <wp:extent cx="678815" cy="1362710"/>
                  <wp:effectExtent l="0" t="0" r="6985" b="8890"/>
                  <wp:wrapNone/>
                  <wp:docPr id="87" name="图片_2_SpCnt_1"/>
                  <wp:cNvGraphicFramePr/>
                  <a:graphic xmlns:a="http://schemas.openxmlformats.org/drawingml/2006/main">
                    <a:graphicData uri="http://schemas.openxmlformats.org/drawingml/2006/picture">
                      <pic:pic xmlns:pic="http://schemas.openxmlformats.org/drawingml/2006/picture">
                        <pic:nvPicPr>
                          <pic:cNvPr id="87" name="图片_2_SpCnt_1"/>
                          <pic:cNvPicPr/>
                        </pic:nvPicPr>
                        <pic:blipFill>
                          <a:blip r:embed="rId53"/>
                          <a:stretch>
                            <a:fillRect/>
                          </a:stretch>
                        </pic:blipFill>
                        <pic:spPr>
                          <a:xfrm>
                            <a:off x="0" y="0"/>
                            <a:ext cx="678815" cy="1362710"/>
                          </a:xfrm>
                          <a:prstGeom prst="rect">
                            <a:avLst/>
                          </a:prstGeom>
                          <a:noFill/>
                          <a:ln>
                            <a:noFill/>
                          </a:ln>
                        </pic:spPr>
                      </pic:pic>
                    </a:graphicData>
                  </a:graphic>
                </wp:anchor>
              </w:drawing>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800*600*2000（2人用）mm</w:t>
            </w:r>
          </w:p>
        </w:tc>
        <w:tc>
          <w:tcPr>
            <w:tcW w:w="58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1、基材：采用实木多层板，甲醛释放量≤0.02mg/m³；                                                        2、饰面：浸渍胶膜防火纸贴面；                        </w:t>
            </w:r>
          </w:p>
          <w:p>
            <w:pPr>
              <w:widowControl/>
              <w:jc w:val="left"/>
              <w:textAlignment w:val="center"/>
              <w:rPr>
                <w:rFonts w:hint="eastAsia" w:ascii="宋体" w:hAnsi="宋体" w:cs="宋体"/>
                <w:color w:val="000000"/>
                <w:kern w:val="0"/>
                <w:sz w:val="20"/>
                <w:szCs w:val="20"/>
              </w:rPr>
            </w:pPr>
            <w:r>
              <w:rPr>
                <w:rFonts w:hint="eastAsia" w:ascii="宋体" w:hAnsi="宋体" w:cs="宋体"/>
                <w:color w:val="000000"/>
                <w:kern w:val="0"/>
                <w:sz w:val="20"/>
                <w:szCs w:val="20"/>
              </w:rPr>
              <w:t xml:space="preserve">3、封边：聚氯乙烯（PVC）封边条；厚度≥1.5mm；甲醛释放量未检出，可溶性重金属（铅、镉、铬、汞、砷、钡、锑、硒）未检出，邻苯二甲酸脂未检出；                                         4、五金：优质品牌五金。铰链、三节导轨、拉手、锁具等五金需经过耐腐蚀处理，达到乙酸盐雾试验140h内无锈点，中性盐雾试验680h内无锈点；                    </w:t>
            </w:r>
          </w:p>
          <w:p>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rPr>
              <w:t>5、胶粘剂：采用环保热熔胶，游离甲醛未检出，苯未检出，甲苯未检出，二甲苯未检出，总挥发性有机物≤10g/L；                                                                       6、柜类符合公共场所阻燃制品要求，达到国家建筑防火规定，成品符合GB 8624-2012规定，达到硬质家具燃烧性能B2级及以上，提供通过CMA或CNAS资质的第三方检测机构出具的检测报告。</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只</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14400</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2442"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sz w:val="20"/>
                <w:szCs w:val="20"/>
              </w:rPr>
              <w:t>合计（元）</w:t>
            </w:r>
          </w:p>
        </w:tc>
        <w:tc>
          <w:tcPr>
            <w:tcW w:w="13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r>
              <w:rPr>
                <w:rFonts w:hint="eastAsia" w:ascii="宋体" w:hAnsi="宋体" w:cs="宋体"/>
                <w:color w:val="000000"/>
                <w:kern w:val="0"/>
                <w:sz w:val="20"/>
                <w:szCs w:val="20"/>
              </w:rPr>
              <w:t>200684</w:t>
            </w:r>
          </w:p>
        </w:tc>
      </w:tr>
    </w:tbl>
    <w:p>
      <w:pPr>
        <w:pStyle w:val="50"/>
        <w:ind w:firstLine="0" w:firstLineChars="0"/>
        <w:rPr>
          <w:rFonts w:ascii="仿宋" w:hAnsi="仿宋" w:eastAsia="仿宋" w:cs="仿宋"/>
          <w:szCs w:val="24"/>
        </w:rPr>
      </w:pPr>
      <w:r>
        <w:rPr>
          <w:rFonts w:hint="eastAsia" w:ascii="仿宋" w:hAnsi="仿宋" w:eastAsia="仿宋" w:cs="仿宋"/>
          <w:szCs w:val="24"/>
        </w:rPr>
        <w:t>注：具体金额按实际数量进行结算。</w:t>
      </w:r>
    </w:p>
    <w:p>
      <w:pPr>
        <w:snapToGrid w:val="0"/>
        <w:spacing w:line="360" w:lineRule="auto"/>
        <w:ind w:firstLine="482" w:firstLineChars="200"/>
        <w:rPr>
          <w:rFonts w:ascii="仿宋" w:hAnsi="仿宋" w:eastAsia="仿宋" w:cs="仿宋"/>
          <w:sz w:val="24"/>
        </w:rPr>
        <w:sectPr>
          <w:pgSz w:w="16840" w:h="11907" w:orient="landscape"/>
          <w:pgMar w:top="1814" w:right="1474" w:bottom="1814" w:left="1474" w:header="851" w:footer="850" w:gutter="0"/>
          <w:pgNumType w:fmt="decimal"/>
          <w:cols w:space="0" w:num="1"/>
          <w:titlePg/>
          <w:docGrid w:linePitch="286" w:charSpace="0"/>
        </w:sectPr>
      </w:pPr>
      <w:r>
        <w:rPr>
          <w:rFonts w:hint="eastAsia" w:ascii="仿宋" w:hAnsi="仿宋" w:eastAsia="仿宋" w:cs="仿宋"/>
          <w:b/>
          <w:sz w:val="24"/>
        </w:rPr>
        <w:t>报价要求：</w:t>
      </w:r>
      <w:r>
        <w:rPr>
          <w:rFonts w:hint="eastAsia" w:ascii="仿宋" w:hAnsi="仿宋" w:eastAsia="仿宋" w:cs="仿宋"/>
          <w:sz w:val="24"/>
        </w:rPr>
        <w:t>本项目报价以采购清单中货物上限单价为基准，投标人按统一折扣报价。</w:t>
      </w:r>
      <w:r>
        <w:rPr>
          <w:rFonts w:hint="eastAsia" w:ascii="仿宋" w:hAnsi="仿宋" w:eastAsia="仿宋" w:cs="仿宋"/>
          <w:b/>
          <w:kern w:val="0"/>
          <w:sz w:val="24"/>
        </w:rPr>
        <w:t>折扣报价=成交单价/上限单价*100%。</w:t>
      </w:r>
      <w:r>
        <w:rPr>
          <w:rFonts w:hint="eastAsia" w:ascii="仿宋" w:hAnsi="仿宋" w:eastAsia="仿宋" w:cs="仿宋"/>
          <w:sz w:val="24"/>
        </w:rPr>
        <w:t>投标人根据自身实际情况，自行确定一个折扣，折扣保留百分比小数点后一位，即**.*%</w:t>
      </w:r>
    </w:p>
    <w:p>
      <w:pPr>
        <w:pStyle w:val="50"/>
        <w:ind w:firstLine="0" w:firstLineChars="0"/>
        <w:rPr>
          <w:rFonts w:ascii="仿宋" w:hAnsi="仿宋" w:eastAsia="仿宋" w:cs="仿宋"/>
        </w:rPr>
      </w:pPr>
    </w:p>
    <w:p>
      <w:pPr>
        <w:spacing w:line="400" w:lineRule="exact"/>
        <w:rPr>
          <w:rFonts w:ascii="仿宋" w:hAnsi="仿宋" w:eastAsia="仿宋" w:cs="仿宋"/>
          <w:sz w:val="24"/>
        </w:rPr>
      </w:pPr>
      <w:r>
        <w:rPr>
          <w:rFonts w:hint="eastAsia" w:ascii="仿宋" w:hAnsi="仿宋" w:eastAsia="仿宋" w:cs="仿宋"/>
          <w:b/>
          <w:sz w:val="24"/>
        </w:rPr>
        <w:t>二、付款方式：</w:t>
      </w:r>
    </w:p>
    <w:p>
      <w:pPr>
        <w:spacing w:line="400" w:lineRule="exact"/>
        <w:ind w:firstLine="480" w:firstLineChars="200"/>
        <w:rPr>
          <w:rFonts w:ascii="仿宋" w:hAnsi="仿宋" w:eastAsia="仿宋" w:cs="仿宋"/>
          <w:sz w:val="24"/>
        </w:rPr>
      </w:pPr>
      <w:r>
        <w:rPr>
          <w:rFonts w:hint="eastAsia" w:ascii="仿宋" w:hAnsi="仿宋" w:eastAsia="仿宋" w:cs="仿宋"/>
          <w:sz w:val="24"/>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r>
        <w:rPr>
          <w:rFonts w:hint="eastAsia" w:ascii="仿宋_GB2312" w:hAnsi="宋体" w:eastAsia="仿宋_GB2312" w:cs="宋体"/>
          <w:sz w:val="24"/>
        </w:rPr>
        <w:t>不得把履约保证金转为质量保证金或收取质量保证金。</w:t>
      </w:r>
    </w:p>
    <w:p>
      <w:pPr>
        <w:tabs>
          <w:tab w:val="left" w:pos="3870"/>
          <w:tab w:val="left" w:pos="4085"/>
        </w:tabs>
        <w:kinsoku w:val="0"/>
        <w:snapToGrid w:val="0"/>
        <w:spacing w:line="440" w:lineRule="exact"/>
        <w:jc w:val="left"/>
        <w:rPr>
          <w:rFonts w:ascii="仿宋" w:hAnsi="仿宋" w:eastAsia="仿宋" w:cs="仿宋"/>
          <w:b/>
          <w:bCs/>
          <w:sz w:val="24"/>
        </w:rPr>
      </w:pPr>
      <w:r>
        <w:rPr>
          <w:rFonts w:hint="eastAsia" w:ascii="仿宋" w:hAnsi="仿宋" w:eastAsia="仿宋" w:cs="仿宋"/>
          <w:b/>
          <w:bCs/>
          <w:sz w:val="24"/>
        </w:rPr>
        <w:t>三、质量要求及交货时间</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1.中标供应商必须严格按照项目技术要求进行安装，并接受采购人的监督管理。</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2.所有货物必须在检验合格经采购人同意后，方可用于本项目。</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3.采购人有权监督、检查、检验中标人的货物质量及安装质量进度，整改方案须经采购人认可后方能实施，中标供应商应把货物质量放在首位，加强技术管理和质量保证体系，严格认真地执行技术标准和规范。</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4.中标供应商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pStyle w:val="28"/>
        <w:rPr>
          <w:rFonts w:ascii="仿宋" w:hAnsi="仿宋" w:eastAsia="仿宋" w:cs="仿宋"/>
        </w:rPr>
      </w:pPr>
      <w:r>
        <w:rPr>
          <w:rFonts w:hint="eastAsia" w:ascii="仿宋" w:hAnsi="仿宋" w:eastAsia="仿宋" w:cs="仿宋"/>
          <w:bCs/>
          <w:sz w:val="24"/>
        </w:rPr>
        <w:t xml:space="preserve">   5、交货时间：接到采购方书面通知后，15天内将家具免费送到采购人指定地点并安装到位，每逾期1天扣500元。</w:t>
      </w:r>
    </w:p>
    <w:p>
      <w:pPr>
        <w:kinsoku w:val="0"/>
        <w:autoSpaceDE w:val="0"/>
        <w:autoSpaceDN w:val="0"/>
        <w:spacing w:line="420" w:lineRule="exact"/>
        <w:jc w:val="left"/>
        <w:rPr>
          <w:rFonts w:ascii="仿宋" w:hAnsi="仿宋" w:eastAsia="仿宋" w:cs="仿宋"/>
          <w:b/>
          <w:sz w:val="24"/>
        </w:rPr>
      </w:pPr>
      <w:r>
        <w:rPr>
          <w:rFonts w:hint="eastAsia" w:ascii="仿宋" w:hAnsi="仿宋" w:eastAsia="仿宋" w:cs="仿宋"/>
          <w:b/>
          <w:sz w:val="24"/>
        </w:rPr>
        <w:t>四、验收</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1.验收以招标文件和技术文件、投标文件、合同及安装技术要求为依据。</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3.验收必须符合国家、地方有关规范、标准及设计要求。</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5.整改完毕且复验合格后将本项目货物交给采购人使用，完成日期以通过复验日期为准。</w:t>
      </w:r>
    </w:p>
    <w:p>
      <w:pPr>
        <w:kinsoku w:val="0"/>
        <w:autoSpaceDE w:val="0"/>
        <w:autoSpaceDN w:val="0"/>
        <w:spacing w:line="360" w:lineRule="auto"/>
        <w:ind w:firstLine="480" w:firstLineChars="200"/>
        <w:jc w:val="left"/>
        <w:rPr>
          <w:rFonts w:ascii="仿宋" w:hAnsi="仿宋" w:eastAsia="仿宋" w:cs="仿宋"/>
          <w:b/>
          <w:sz w:val="24"/>
        </w:rPr>
      </w:pPr>
      <w:r>
        <w:rPr>
          <w:rFonts w:hint="eastAsia" w:ascii="仿宋" w:hAnsi="仿宋" w:eastAsia="仿宋" w:cs="仿宋"/>
          <w:bCs/>
          <w:sz w:val="24"/>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kinsoku w:val="0"/>
        <w:snapToGrid w:val="0"/>
        <w:spacing w:line="440" w:lineRule="exact"/>
        <w:jc w:val="left"/>
        <w:rPr>
          <w:rFonts w:ascii="仿宋" w:hAnsi="仿宋" w:eastAsia="仿宋" w:cs="仿宋"/>
          <w:b/>
          <w:sz w:val="24"/>
        </w:rPr>
      </w:pPr>
      <w:r>
        <w:rPr>
          <w:rFonts w:hint="eastAsia" w:ascii="仿宋" w:hAnsi="仿宋" w:eastAsia="仿宋" w:cs="仿宋"/>
          <w:b/>
          <w:sz w:val="24"/>
        </w:rPr>
        <w:t>五、售后服务</w:t>
      </w:r>
    </w:p>
    <w:p>
      <w:pPr>
        <w:kinsoku w:val="0"/>
        <w:snapToGrid w:val="0"/>
        <w:spacing w:line="440" w:lineRule="exact"/>
        <w:ind w:firstLine="480" w:firstLineChars="200"/>
        <w:jc w:val="left"/>
        <w:rPr>
          <w:rFonts w:ascii="仿宋" w:hAnsi="仿宋" w:eastAsia="仿宋" w:cs="仿宋"/>
          <w:b/>
          <w:bCs/>
          <w:sz w:val="24"/>
        </w:rPr>
      </w:pPr>
      <w:r>
        <w:rPr>
          <w:rFonts w:hint="eastAsia" w:ascii="仿宋" w:hAnsi="仿宋" w:eastAsia="仿宋" w:cs="仿宋"/>
          <w:sz w:val="24"/>
        </w:rPr>
        <w:t>投标人须提供至少两年的质保期（投标人可根据自身实力作出更长时间的质保承诺）。</w:t>
      </w:r>
    </w:p>
    <w:p>
      <w:pPr>
        <w:kinsoku w:val="0"/>
        <w:autoSpaceDE w:val="0"/>
        <w:autoSpaceDN w:val="0"/>
        <w:spacing w:line="360" w:lineRule="auto"/>
        <w:jc w:val="left"/>
        <w:rPr>
          <w:rFonts w:ascii="仿宋" w:hAnsi="仿宋" w:eastAsia="仿宋" w:cs="仿宋"/>
        </w:rPr>
      </w:pPr>
      <w:r>
        <w:rPr>
          <w:rFonts w:hint="eastAsia" w:ascii="仿宋" w:hAnsi="仿宋" w:eastAsia="仿宋" w:cs="仿宋"/>
          <w:b/>
          <w:sz w:val="24"/>
        </w:rPr>
        <w:t>六、样品提供要求：</w:t>
      </w:r>
    </w:p>
    <w:p>
      <w:pPr>
        <w:autoSpaceDE w:val="0"/>
        <w:spacing w:line="360" w:lineRule="auto"/>
        <w:ind w:firstLine="480" w:firstLineChars="200"/>
        <w:rPr>
          <w:rFonts w:ascii="仿宋" w:hAnsi="仿宋" w:eastAsia="仿宋" w:cs="仿宋"/>
          <w:bCs/>
          <w:sz w:val="24"/>
        </w:rPr>
      </w:pPr>
      <w:r>
        <w:rPr>
          <w:rFonts w:hint="eastAsia" w:ascii="仿宋" w:hAnsi="仿宋" w:eastAsia="仿宋" w:cs="仿宋"/>
          <w:bCs/>
          <w:sz w:val="24"/>
        </w:rPr>
        <w:t>1.样品提供：序号3办公椅1把；</w:t>
      </w:r>
    </w:p>
    <w:p>
      <w:pPr>
        <w:autoSpaceDE w:val="0"/>
        <w:spacing w:line="360" w:lineRule="auto"/>
        <w:ind w:firstLine="1920" w:firstLineChars="800"/>
        <w:rPr>
          <w:rFonts w:ascii="仿宋" w:hAnsi="仿宋" w:eastAsia="仿宋" w:cs="仿宋"/>
          <w:bCs/>
          <w:sz w:val="24"/>
        </w:rPr>
      </w:pPr>
      <w:r>
        <w:rPr>
          <w:rFonts w:hint="eastAsia" w:ascii="仿宋" w:hAnsi="仿宋" w:eastAsia="仿宋" w:cs="仿宋"/>
          <w:bCs/>
          <w:sz w:val="24"/>
        </w:rPr>
        <w:t>序号29咨询服务台1个（样品尺寸：1000*600*800mm）；</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2.样品递交时间：投标截止时间前。</w:t>
      </w:r>
    </w:p>
    <w:p>
      <w:pPr>
        <w:pStyle w:val="69"/>
        <w:spacing w:afterLines="0" w:line="312" w:lineRule="auto"/>
        <w:ind w:firstLine="480"/>
        <w:rPr>
          <w:rFonts w:ascii="仿宋" w:hAnsi="仿宋" w:eastAsia="仿宋" w:cs="仿宋"/>
          <w:bCs/>
        </w:rPr>
      </w:pPr>
      <w:r>
        <w:rPr>
          <w:rFonts w:hint="eastAsia" w:ascii="仿宋" w:hAnsi="仿宋" w:eastAsia="仿宋" w:cs="仿宋"/>
          <w:bCs/>
        </w:rPr>
        <w:t>3.样品送达地点：绍兴市越城区越西路800号金德隆商业中心8幢二楼</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4.送样联系方式：联系人：毕龙梅；联系电话：15068545458</w:t>
      </w:r>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5.其他：</w:t>
      </w:r>
      <w:bookmarkStart w:id="16" w:name="_Hlk43472731"/>
    </w:p>
    <w:p>
      <w:pPr>
        <w:kinsoku w:val="0"/>
        <w:autoSpaceDE w:val="0"/>
        <w:autoSpaceDN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1）样品需贴有标注供应商名称且加盖公章的标签。</w:t>
      </w:r>
    </w:p>
    <w:p>
      <w:pPr>
        <w:kinsoku w:val="0"/>
        <w:autoSpaceDE w:val="0"/>
        <w:autoSpaceDN w:val="0"/>
        <w:spacing w:line="360" w:lineRule="auto"/>
        <w:ind w:firstLine="480" w:firstLineChars="200"/>
        <w:jc w:val="left"/>
        <w:rPr>
          <w:rFonts w:ascii="仿宋" w:hAnsi="仿宋" w:eastAsia="仿宋" w:cs="仿宋"/>
          <w:sz w:val="24"/>
        </w:rPr>
        <w:sectPr>
          <w:pgSz w:w="11907" w:h="16840"/>
          <w:pgMar w:top="1474" w:right="1814" w:bottom="1474" w:left="1814" w:header="851" w:footer="850" w:gutter="0"/>
          <w:pgNumType w:fmt="decimal"/>
          <w:cols w:space="0" w:num="1"/>
          <w:titlePg/>
          <w:docGrid w:linePitch="286" w:charSpace="0"/>
        </w:sectPr>
      </w:pPr>
      <w:r>
        <w:rPr>
          <w:rFonts w:hint="eastAsia" w:ascii="仿宋" w:hAnsi="仿宋" w:eastAsia="仿宋" w:cs="仿宋"/>
          <w:bCs/>
          <w:sz w:val="24"/>
        </w:rPr>
        <w:t>2）中标人样品不予退还，由采购人带回并妥善保管作为验收的参考；未中标人样品开标结束后请自行带回。样品制作、运输、安装和保管样品所发生的一切费用由投标人自理</w:t>
      </w:r>
      <w:bookmarkEnd w:id="16"/>
      <w:r>
        <w:rPr>
          <w:rFonts w:hint="eastAsia" w:ascii="仿宋" w:hAnsi="仿宋" w:eastAsia="仿宋" w:cs="仿宋"/>
          <w:bCs/>
          <w:sz w:val="24"/>
        </w:rPr>
        <w:t>。</w:t>
      </w:r>
    </w:p>
    <w:p>
      <w:pPr>
        <w:jc w:val="center"/>
        <w:rPr>
          <w:rFonts w:ascii="仿宋" w:hAnsi="仿宋" w:eastAsia="仿宋" w:cs="仿宋"/>
          <w:b/>
          <w:sz w:val="36"/>
          <w:szCs w:val="36"/>
        </w:rPr>
      </w:pPr>
      <w:r>
        <w:rPr>
          <w:rFonts w:hint="eastAsia" w:ascii="仿宋" w:hAnsi="仿宋" w:eastAsia="仿宋" w:cs="仿宋"/>
          <w:b/>
          <w:sz w:val="36"/>
          <w:szCs w:val="36"/>
        </w:rPr>
        <w:t>第四部分政府采购合同参考范本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83"/>
        <w:rPr>
          <w:rFonts w:ascii="仿宋" w:hAnsi="仿宋" w:eastAsia="仿宋" w:cs="仿宋"/>
          <w:szCs w:val="24"/>
        </w:rPr>
      </w:pPr>
    </w:p>
    <w:p>
      <w:pPr>
        <w:pStyle w:val="283"/>
        <w:rPr>
          <w:rFonts w:ascii="仿宋" w:hAnsi="仿宋" w:eastAsia="仿宋" w:cs="仿宋"/>
          <w:szCs w:val="24"/>
        </w:rPr>
      </w:pPr>
    </w:p>
    <w:p>
      <w:pPr>
        <w:pStyle w:val="283"/>
        <w:jc w:val="center"/>
        <w:rPr>
          <w:rFonts w:ascii="仿宋" w:hAnsi="仿宋" w:eastAsia="仿宋" w:cs="仿宋"/>
          <w:szCs w:val="24"/>
        </w:rPr>
      </w:pPr>
    </w:p>
    <w:p>
      <w:pPr>
        <w:pStyle w:val="283"/>
        <w:ind w:firstLine="2843" w:firstLineChars="1180"/>
        <w:rPr>
          <w:rFonts w:ascii="仿宋" w:hAnsi="仿宋" w:eastAsia="仿宋" w:cs="仿宋"/>
          <w:b/>
          <w:szCs w:val="24"/>
        </w:rPr>
      </w:pPr>
      <w:r>
        <w:rPr>
          <w:rFonts w:hint="eastAsia" w:ascii="仿宋" w:hAnsi="仿宋" w:eastAsia="仿宋" w:cs="仿宋"/>
          <w:b/>
          <w:szCs w:val="24"/>
        </w:rPr>
        <w:t>第一部分合同书</w:t>
      </w:r>
    </w:p>
    <w:p>
      <w:pPr>
        <w:pStyle w:val="283"/>
        <w:rPr>
          <w:rFonts w:ascii="仿宋" w:hAnsi="仿宋" w:eastAsia="仿宋" w:cs="仿宋"/>
          <w:szCs w:val="24"/>
        </w:rPr>
      </w:pPr>
    </w:p>
    <w:p>
      <w:pPr>
        <w:pStyle w:val="283"/>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2"/>
        <w:spacing w:before="120" w:line="22" w:lineRule="atLeast"/>
        <w:rPr>
          <w:rFonts w:ascii="仿宋" w:hAnsi="仿宋" w:eastAsia="仿宋" w:cs="仿宋"/>
          <w:szCs w:val="24"/>
        </w:rPr>
      </w:pPr>
    </w:p>
    <w:p>
      <w:pPr>
        <w:pStyle w:val="282"/>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footerReference r:id="rId8" w:type="first"/>
          <w:footerReference r:id="rId7" w:type="default"/>
          <w:pgSz w:w="11907" w:h="16840"/>
          <w:pgMar w:top="1474" w:right="1814" w:bottom="1474" w:left="1814" w:header="851" w:footer="851" w:gutter="0"/>
          <w:pgNumType w:fmt="decimal"/>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（同前页项目名称）</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（中标供应商名称）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7" w:name="_Toc24059"/>
      <w:bookmarkStart w:id="18" w:name="_Toc2232"/>
      <w:bookmarkStart w:id="19" w:name="_Toc3029"/>
      <w:r>
        <w:rPr>
          <w:rFonts w:hint="eastAsia" w:ascii="仿宋" w:hAnsi="仿宋" w:eastAsia="仿宋" w:cs="仿宋"/>
          <w:b/>
          <w:sz w:val="24"/>
        </w:rPr>
        <w:t>1.1 合同组成部分</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20" w:name="_Toc24300"/>
      <w:bookmarkStart w:id="21" w:name="_Toc27126"/>
      <w:bookmarkStart w:id="22" w:name="_Toc21295"/>
      <w:r>
        <w:rPr>
          <w:rFonts w:hint="eastAsia" w:ascii="仿宋" w:hAnsi="仿宋" w:eastAsia="仿宋" w:cs="仿宋"/>
          <w:b/>
          <w:sz w:val="24"/>
        </w:rPr>
        <w:t>1.2 货物</w:t>
      </w:r>
      <w:bookmarkEnd w:id="20"/>
      <w:bookmarkEnd w:id="21"/>
      <w:bookmarkEnd w:id="22"/>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p>
    <w:p>
      <w:pPr>
        <w:spacing w:line="560" w:lineRule="exact"/>
        <w:ind w:firstLine="480" w:firstLineChars="200"/>
        <w:rPr>
          <w:rFonts w:ascii="仿宋" w:hAnsi="仿宋" w:eastAsia="仿宋" w:cs="仿宋"/>
          <w:sz w:val="24"/>
        </w:rPr>
      </w:pPr>
      <w:r>
        <w:rPr>
          <w:rFonts w:hint="eastAsia" w:ascii="仿宋" w:hAnsi="仿宋" w:eastAsia="仿宋" w:cs="仿宋"/>
          <w:sz w:val="24"/>
        </w:rPr>
        <w:t>1.2.3 货物质量：</w:t>
      </w:r>
      <w:r>
        <w:rPr>
          <w:rFonts w:hint="eastAsia" w:ascii="仿宋" w:hAnsi="仿宋" w:eastAsia="仿宋" w:cs="仿宋"/>
          <w:sz w:val="24"/>
          <w:u w:val="single"/>
        </w:rPr>
        <w:t>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21551"/>
      <w:bookmarkStart w:id="24" w:name="_Toc23292"/>
      <w:bookmarkStart w:id="25" w:name="_Toc21631"/>
      <w:r>
        <w:rPr>
          <w:rFonts w:hint="eastAsia" w:ascii="仿宋" w:hAnsi="仿宋" w:eastAsia="仿宋" w:cs="仿宋"/>
          <w:b/>
          <w:sz w:val="24"/>
        </w:rPr>
        <w:t>1.3 价款</w:t>
      </w:r>
      <w:bookmarkEnd w:id="23"/>
      <w:bookmarkEnd w:id="24"/>
      <w:bookmarkEnd w:id="25"/>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6" w:name="_Toc22618"/>
      <w:bookmarkStart w:id="27" w:name="_Toc1814"/>
      <w:bookmarkStart w:id="28" w:name="_Toc10340"/>
      <w:r>
        <w:rPr>
          <w:rFonts w:hint="eastAsia" w:ascii="仿宋" w:hAnsi="仿宋" w:eastAsia="仿宋" w:cs="仿宋"/>
          <w:b/>
          <w:sz w:val="24"/>
        </w:rPr>
        <w:t>1.4 付款</w:t>
      </w:r>
      <w:bookmarkEnd w:id="26"/>
      <w:bookmarkEnd w:id="27"/>
      <w:bookmarkEnd w:id="28"/>
      <w:r>
        <w:rPr>
          <w:rFonts w:hint="eastAsia" w:ascii="仿宋" w:hAnsi="仿宋" w:eastAsia="仿宋" w:cs="仿宋"/>
          <w:b/>
          <w:sz w:val="24"/>
        </w:rPr>
        <w:t>方式、时间和条件</w:t>
      </w:r>
    </w:p>
    <w:p>
      <w:pPr>
        <w:pStyle w:val="284"/>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29" w:name="_Toc19304"/>
      <w:bookmarkStart w:id="30" w:name="_Toc2846"/>
      <w:bookmarkStart w:id="31" w:name="_Toc32071"/>
      <w:r>
        <w:rPr>
          <w:rFonts w:hint="eastAsia" w:ascii="仿宋" w:hAnsi="仿宋" w:eastAsia="仿宋" w:cs="仿宋"/>
          <w:b/>
          <w:sz w:val="24"/>
        </w:rPr>
        <w:t>1.5 货物交付期限、地点和方式</w:t>
      </w:r>
      <w:bookmarkEnd w:id="29"/>
      <w:bookmarkEnd w:id="30"/>
      <w:bookmarkEnd w:id="31"/>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32" w:name="_Toc19554"/>
      <w:bookmarkStart w:id="33" w:name="_Toc27250"/>
      <w:bookmarkStart w:id="34" w:name="_Toc21423"/>
      <w:r>
        <w:rPr>
          <w:rFonts w:hint="eastAsia" w:ascii="仿宋" w:hAnsi="仿宋" w:eastAsia="仿宋" w:cs="仿宋"/>
          <w:b/>
          <w:sz w:val="24"/>
        </w:rPr>
        <w:t>1.6 违约责任</w:t>
      </w:r>
      <w:bookmarkEnd w:id="32"/>
      <w:bookmarkEnd w:id="33"/>
      <w:bookmarkEnd w:id="34"/>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5" w:name="_Toc15583"/>
      <w:bookmarkStart w:id="36" w:name="_Toc28375"/>
      <w:bookmarkStart w:id="37" w:name="_Toc16021"/>
      <w:r>
        <w:rPr>
          <w:rFonts w:hint="eastAsia" w:ascii="仿宋" w:hAnsi="仿宋" w:eastAsia="仿宋" w:cs="仿宋"/>
          <w:b/>
          <w:sz w:val="24"/>
        </w:rPr>
        <w:t>1.7 合同争议的解决</w:t>
      </w:r>
      <w:bookmarkEnd w:id="35"/>
      <w:bookmarkEnd w:id="36"/>
      <w:bookmarkEnd w:id="37"/>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合同专用条款</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8" w:name="_Toc11173"/>
      <w:bookmarkStart w:id="39" w:name="_Toc7245"/>
      <w:bookmarkStart w:id="40" w:name="_Toc15322"/>
      <w:r>
        <w:rPr>
          <w:rFonts w:hint="eastAsia" w:ascii="仿宋" w:hAnsi="仿宋" w:eastAsia="仿宋" w:cs="仿宋"/>
          <w:b/>
          <w:sz w:val="24"/>
        </w:rPr>
        <w:t>1.8 合同生效</w:t>
      </w:r>
      <w:bookmarkEnd w:id="38"/>
      <w:bookmarkEnd w:id="39"/>
      <w:bookmarkEnd w:id="40"/>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开户银行：开户银行：</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开户名称：开户名称：</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bookmarkStart w:id="41" w:name="_Toc331685783"/>
    </w:p>
    <w:p>
      <w:pPr>
        <w:pStyle w:val="283"/>
        <w:pageBreakBefore/>
        <w:spacing w:line="560" w:lineRule="exact"/>
        <w:ind w:left="0" w:leftChars="0" w:firstLine="0" w:firstLineChars="0"/>
        <w:jc w:val="center"/>
        <w:rPr>
          <w:rFonts w:ascii="仿宋" w:hAnsi="仿宋" w:eastAsia="仿宋" w:cs="仿宋"/>
          <w:b/>
          <w:sz w:val="36"/>
          <w:szCs w:val="36"/>
        </w:rPr>
      </w:pPr>
      <w:r>
        <w:rPr>
          <w:rFonts w:hint="eastAsia" w:ascii="仿宋" w:hAnsi="仿宋" w:eastAsia="仿宋" w:cs="仿宋"/>
          <w:b/>
          <w:sz w:val="36"/>
          <w:szCs w:val="36"/>
        </w:rPr>
        <w:t>第二部分合同一般条款</w:t>
      </w:r>
      <w:bookmarkEnd w:id="41"/>
    </w:p>
    <w:p>
      <w:pPr>
        <w:spacing w:line="560" w:lineRule="exact"/>
        <w:ind w:firstLine="482" w:firstLineChars="200"/>
        <w:outlineLvl w:val="0"/>
        <w:rPr>
          <w:rFonts w:ascii="仿宋" w:hAnsi="仿宋" w:eastAsia="仿宋" w:cs="仿宋"/>
          <w:b/>
          <w:sz w:val="24"/>
        </w:rPr>
      </w:pPr>
      <w:bookmarkStart w:id="42" w:name="_Ref467378463"/>
      <w:bookmarkStart w:id="43" w:name="_Toc279701240"/>
      <w:bookmarkStart w:id="44" w:name="_Toc487900349"/>
      <w:bookmarkStart w:id="45" w:name="_Ref467378499"/>
      <w:bookmarkStart w:id="46" w:name="_Ref467379214"/>
      <w:bookmarkStart w:id="47" w:name="_Toc259093669"/>
      <w:bookmarkStart w:id="48" w:name="_Toc28763"/>
      <w:bookmarkStart w:id="49" w:name="_Ref467378404"/>
      <w:bookmarkStart w:id="50" w:name="_Ref467379205"/>
      <w:bookmarkStart w:id="51" w:name="_Ref467379195"/>
      <w:bookmarkStart w:id="52" w:name="_Toc16917"/>
      <w:bookmarkStart w:id="53" w:name="_Ref467379109"/>
      <w:bookmarkStart w:id="54" w:name="_Ref467379225"/>
      <w:bookmarkStart w:id="55" w:name="_Toc19614"/>
      <w:bookmarkStart w:id="56" w:name="_Ref467379101"/>
      <w:bookmarkStart w:id="57" w:name="_Ref467379094"/>
      <w:r>
        <w:rPr>
          <w:rFonts w:hint="eastAsia" w:ascii="仿宋" w:hAnsi="仿宋" w:eastAsia="仿宋" w:cs="仿宋"/>
          <w:b/>
          <w:sz w:val="24"/>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8" w:name="_Ref467378840"/>
      <w:r>
        <w:rPr>
          <w:rFonts w:hint="eastAsia" w:ascii="仿宋" w:hAnsi="仿宋" w:eastAsia="仿宋" w:cs="仿宋"/>
          <w:sz w:val="24"/>
        </w:rPr>
        <w:t>2.1.4 “甲方”系指与中标供应商签署合同的采购人</w:t>
      </w:r>
      <w:bookmarkEnd w:id="58"/>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9" w:name="_Ref467379400"/>
      <w:r>
        <w:rPr>
          <w:rFonts w:hint="eastAsia" w:ascii="仿宋" w:hAnsi="仿宋" w:eastAsia="仿宋" w:cs="仿宋"/>
          <w:sz w:val="24"/>
        </w:rPr>
        <w:t>2.1.5 “乙方”系指根据合同约定交付货物的中标供应商</w:t>
      </w:r>
      <w:bookmarkEnd w:id="59"/>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60" w:name="_Ref467379436"/>
      <w:r>
        <w:rPr>
          <w:rFonts w:hint="eastAsia" w:ascii="仿宋" w:hAnsi="仿宋" w:eastAsia="仿宋" w:cs="仿宋"/>
          <w:sz w:val="24"/>
        </w:rPr>
        <w:t>2.1.6 “现场”系指合同约定货物将要运至或者安装的地点。</w:t>
      </w:r>
      <w:bookmarkEnd w:id="60"/>
    </w:p>
    <w:p>
      <w:pPr>
        <w:spacing w:line="560" w:lineRule="exact"/>
        <w:ind w:firstLine="482" w:firstLineChars="200"/>
        <w:outlineLvl w:val="0"/>
        <w:rPr>
          <w:rFonts w:ascii="仿宋" w:hAnsi="仿宋" w:eastAsia="仿宋" w:cs="仿宋"/>
          <w:b/>
          <w:sz w:val="24"/>
        </w:rPr>
      </w:pPr>
      <w:bookmarkStart w:id="61" w:name="_Toc279701241"/>
      <w:bookmarkStart w:id="62" w:name="_Toc13336"/>
      <w:bookmarkStart w:id="63" w:name="_Toc259093670"/>
      <w:bookmarkStart w:id="64" w:name="_Toc27635"/>
      <w:bookmarkStart w:id="65" w:name="_Toc487900350"/>
      <w:bookmarkStart w:id="66" w:name="_Toc32504"/>
      <w:r>
        <w:rPr>
          <w:rFonts w:hint="eastAsia" w:ascii="仿宋" w:hAnsi="仿宋" w:eastAsia="仿宋" w:cs="仿宋"/>
          <w:b/>
          <w:sz w:val="24"/>
        </w:rPr>
        <w:t>2.2 技术规范</w:t>
      </w:r>
      <w:bookmarkEnd w:id="61"/>
      <w:bookmarkEnd w:id="62"/>
      <w:bookmarkEnd w:id="63"/>
      <w:bookmarkEnd w:id="64"/>
      <w:bookmarkEnd w:id="65"/>
      <w:bookmarkEnd w:id="66"/>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7" w:name="_Toc27853"/>
      <w:bookmarkStart w:id="68" w:name="_Toc487900351"/>
      <w:bookmarkStart w:id="69" w:name="_Toc9829"/>
      <w:bookmarkStart w:id="70" w:name="_Toc279701242"/>
      <w:bookmarkStart w:id="71" w:name="_Toc31634"/>
      <w:bookmarkStart w:id="72" w:name="_Toc259093671"/>
      <w:r>
        <w:rPr>
          <w:rFonts w:hint="eastAsia" w:ascii="仿宋" w:hAnsi="仿宋" w:eastAsia="仿宋" w:cs="仿宋"/>
          <w:b/>
          <w:sz w:val="24"/>
        </w:rPr>
        <w:t>2.3 知识产权</w:t>
      </w:r>
      <w:bookmarkEnd w:id="67"/>
      <w:bookmarkEnd w:id="68"/>
      <w:bookmarkEnd w:id="69"/>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3" w:name="_Toc4194"/>
      <w:bookmarkStart w:id="74" w:name="_Toc11932"/>
      <w:bookmarkStart w:id="75" w:name="_Toc29149"/>
      <w:r>
        <w:rPr>
          <w:rFonts w:hint="eastAsia" w:ascii="仿宋" w:hAnsi="仿宋" w:eastAsia="仿宋" w:cs="仿宋"/>
          <w:b/>
          <w:sz w:val="24"/>
        </w:rPr>
        <w:t>2.4 包装和装运</w:t>
      </w:r>
      <w:bookmarkEnd w:id="73"/>
      <w:bookmarkEnd w:id="74"/>
      <w:bookmarkEnd w:id="75"/>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6" w:name="_Ref467378591"/>
      <w:bookmarkStart w:id="77" w:name="_Ref467379542"/>
      <w:bookmarkStart w:id="78" w:name="_Ref467379536"/>
      <w:bookmarkStart w:id="79" w:name="_Toc279701245"/>
      <w:bookmarkStart w:id="80" w:name="_Toc259093674"/>
      <w:bookmarkStart w:id="81" w:name="_Toc487900354"/>
      <w:bookmarkStart w:id="82" w:name="_Ref467379527"/>
      <w:bookmarkStart w:id="83" w:name="_Ref467378541"/>
      <w:bookmarkStart w:id="84" w:name="_Toc30272"/>
      <w:bookmarkStart w:id="85" w:name="_Toc19074"/>
      <w:bookmarkStart w:id="86" w:name="_Toc26182"/>
      <w:r>
        <w:rPr>
          <w:rFonts w:hint="eastAsia" w:ascii="仿宋" w:hAnsi="仿宋" w:eastAsia="仿宋" w:cs="仿宋"/>
          <w:b/>
          <w:sz w:val="24"/>
        </w:rPr>
        <w:t>2.</w:t>
      </w:r>
      <w:bookmarkEnd w:id="76"/>
      <w:bookmarkEnd w:id="77"/>
      <w:bookmarkEnd w:id="78"/>
      <w:bookmarkEnd w:id="79"/>
      <w:bookmarkEnd w:id="80"/>
      <w:bookmarkEnd w:id="81"/>
      <w:bookmarkEnd w:id="82"/>
      <w:bookmarkEnd w:id="83"/>
      <w:r>
        <w:rPr>
          <w:rFonts w:hint="eastAsia" w:ascii="仿宋" w:hAnsi="仿宋" w:eastAsia="仿宋" w:cs="仿宋"/>
          <w:b/>
          <w:sz w:val="24"/>
        </w:rPr>
        <w:t>5 履约检查和问题反馈</w:t>
      </w:r>
      <w:bookmarkEnd w:id="84"/>
      <w:bookmarkEnd w:id="85"/>
      <w:bookmarkEnd w:id="86"/>
    </w:p>
    <w:p>
      <w:pPr>
        <w:spacing w:line="560" w:lineRule="exact"/>
        <w:ind w:firstLine="480" w:firstLineChars="200"/>
        <w:rPr>
          <w:rFonts w:ascii="仿宋" w:hAnsi="仿宋" w:eastAsia="仿宋" w:cs="仿宋"/>
          <w:sz w:val="24"/>
        </w:rPr>
      </w:pPr>
      <w:bookmarkStart w:id="87" w:name="_Ref467379657"/>
      <w:r>
        <w:rPr>
          <w:rFonts w:hint="eastAsia" w:ascii="仿宋" w:hAnsi="仿宋" w:eastAsia="仿宋" w:cs="仿宋"/>
          <w:sz w:val="24"/>
        </w:rPr>
        <w:t>2.5.1</w:t>
      </w:r>
      <w:bookmarkEnd w:id="87"/>
      <w:bookmarkStart w:id="88" w:name="_Toc186431854"/>
      <w:bookmarkStart w:id="89" w:name="_Toc487900357"/>
      <w:bookmarkStart w:id="90" w:name="_Toc259093676"/>
      <w:bookmarkStart w:id="91" w:name="_Ref467379807"/>
      <w:bookmarkStart w:id="92" w:name="_Toc279701247"/>
      <w:bookmarkStart w:id="93"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cs="仿宋"/>
          <w:sz w:val="24"/>
        </w:rPr>
        <w:t>。</w:t>
      </w:r>
    </w:p>
    <w:bookmarkEnd w:id="89"/>
    <w:bookmarkEnd w:id="90"/>
    <w:bookmarkEnd w:id="91"/>
    <w:bookmarkEnd w:id="92"/>
    <w:bookmarkEnd w:id="93"/>
    <w:bookmarkEnd w:id="94"/>
    <w:p>
      <w:pPr>
        <w:spacing w:line="560" w:lineRule="exact"/>
        <w:ind w:firstLine="482" w:firstLineChars="200"/>
        <w:outlineLvl w:val="0"/>
        <w:rPr>
          <w:rFonts w:ascii="仿宋" w:hAnsi="仿宋" w:eastAsia="仿宋" w:cs="仿宋"/>
          <w:b/>
          <w:sz w:val="24"/>
        </w:rPr>
      </w:pPr>
      <w:bookmarkStart w:id="95" w:name="_Toc259093677"/>
      <w:bookmarkStart w:id="96" w:name="_Ref467379852"/>
      <w:bookmarkStart w:id="97" w:name="_Ref467379923"/>
      <w:bookmarkStart w:id="98" w:name="_Ref467379863"/>
      <w:bookmarkStart w:id="99" w:name="_Toc279701248"/>
      <w:bookmarkStart w:id="100" w:name="_Toc487900358"/>
      <w:bookmarkStart w:id="101" w:name="_Toc3225"/>
      <w:bookmarkStart w:id="102" w:name="_Toc16110"/>
      <w:bookmarkStart w:id="103" w:name="_Toc774"/>
      <w:r>
        <w:rPr>
          <w:rFonts w:hint="eastAsia" w:ascii="仿宋" w:hAnsi="仿宋" w:eastAsia="仿宋" w:cs="仿宋"/>
          <w:b/>
          <w:sz w:val="24"/>
        </w:rPr>
        <w:t>2.6 技术资料</w:t>
      </w:r>
      <w:bookmarkEnd w:id="95"/>
      <w:bookmarkEnd w:id="96"/>
      <w:bookmarkEnd w:id="97"/>
      <w:bookmarkEnd w:id="98"/>
      <w:bookmarkEnd w:id="99"/>
      <w:bookmarkEnd w:id="100"/>
      <w:r>
        <w:rPr>
          <w:rFonts w:hint="eastAsia" w:ascii="仿宋" w:hAnsi="仿宋" w:eastAsia="仿宋" w:cs="仿宋"/>
          <w:b/>
          <w:sz w:val="24"/>
        </w:rPr>
        <w:t>和保密义务</w:t>
      </w:r>
      <w:bookmarkEnd w:id="101"/>
      <w:bookmarkEnd w:id="102"/>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4" w:name="_Toc7860"/>
      <w:r>
        <w:rPr>
          <w:rFonts w:hint="eastAsia" w:ascii="仿宋" w:hAnsi="仿宋" w:eastAsia="仿宋" w:cs="仿宋"/>
          <w:b/>
          <w:sz w:val="24"/>
        </w:rPr>
        <w:t>2.7 质量保证</w:t>
      </w:r>
      <w:bookmarkEnd w:id="104"/>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5" w:name="_Toc17244"/>
      <w:bookmarkStart w:id="106" w:name="_Toc259093681"/>
      <w:bookmarkStart w:id="107" w:name="_Toc279701252"/>
      <w:bookmarkStart w:id="108" w:name="_Toc487900362"/>
      <w:r>
        <w:rPr>
          <w:rFonts w:hint="eastAsia" w:ascii="仿宋" w:hAnsi="仿宋" w:eastAsia="仿宋" w:cs="仿宋"/>
          <w:b/>
          <w:sz w:val="24"/>
        </w:rPr>
        <w:t>2.8 货物的风险负担</w:t>
      </w:r>
      <w:bookmarkEnd w:id="105"/>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9" w:name="_Toc14055"/>
      <w:r>
        <w:rPr>
          <w:rFonts w:hint="eastAsia" w:ascii="仿宋" w:hAnsi="仿宋" w:eastAsia="仿宋" w:cs="仿宋"/>
          <w:b/>
          <w:sz w:val="24"/>
        </w:rPr>
        <w:t>2.9 延迟交货</w:t>
      </w:r>
      <w:bookmarkEnd w:id="106"/>
      <w:bookmarkEnd w:id="107"/>
      <w:bookmarkEnd w:id="108"/>
      <w:bookmarkEnd w:id="109"/>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10" w:name="_Toc7502"/>
      <w:bookmarkStart w:id="111" w:name="_Toc487900364"/>
      <w:bookmarkStart w:id="112" w:name="_Ref467378121"/>
      <w:bookmarkStart w:id="113" w:name="_Toc259093683"/>
      <w:bookmarkStart w:id="114" w:name="_Toc279701254"/>
      <w:r>
        <w:rPr>
          <w:rFonts w:hint="eastAsia" w:ascii="仿宋" w:hAnsi="仿宋" w:eastAsia="仿宋" w:cs="仿宋"/>
          <w:b/>
          <w:sz w:val="24"/>
        </w:rPr>
        <w:t>2.10 合同变更</w:t>
      </w:r>
      <w:bookmarkEnd w:id="110"/>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5" w:name="_Toc279701259"/>
      <w:bookmarkStart w:id="116" w:name="_Toc259093688"/>
      <w:bookmarkStart w:id="117" w:name="_Toc487900369"/>
    </w:p>
    <w:p>
      <w:pPr>
        <w:spacing w:line="560" w:lineRule="exact"/>
        <w:ind w:firstLine="482" w:firstLineChars="200"/>
        <w:outlineLvl w:val="0"/>
        <w:rPr>
          <w:rFonts w:ascii="仿宋" w:hAnsi="仿宋" w:eastAsia="仿宋" w:cs="仿宋"/>
          <w:b/>
          <w:sz w:val="24"/>
        </w:rPr>
      </w:pPr>
      <w:bookmarkStart w:id="118" w:name="_Toc10366"/>
      <w:bookmarkStart w:id="119" w:name="_Toc15237"/>
      <w:bookmarkStart w:id="120" w:name="_Toc22955"/>
      <w:r>
        <w:rPr>
          <w:rFonts w:hint="eastAsia" w:ascii="仿宋" w:hAnsi="仿宋" w:eastAsia="仿宋" w:cs="仿宋"/>
          <w:b/>
          <w:sz w:val="24"/>
        </w:rPr>
        <w:t>2.11 合同转让</w:t>
      </w:r>
      <w:bookmarkEnd w:id="115"/>
      <w:bookmarkEnd w:id="116"/>
      <w:bookmarkEnd w:id="117"/>
      <w:r>
        <w:rPr>
          <w:rFonts w:hint="eastAsia" w:ascii="仿宋" w:hAnsi="仿宋" w:eastAsia="仿宋" w:cs="仿宋"/>
          <w:b/>
          <w:sz w:val="24"/>
        </w:rPr>
        <w:t>和分包</w:t>
      </w:r>
      <w:bookmarkEnd w:id="118"/>
      <w:bookmarkEnd w:id="119"/>
      <w:bookmarkEnd w:id="120"/>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21" w:name="_Toc14066"/>
      <w:bookmarkStart w:id="122" w:name="_Toc13566"/>
      <w:bookmarkStart w:id="123" w:name="_Toc16508"/>
      <w:r>
        <w:rPr>
          <w:rFonts w:hint="eastAsia" w:ascii="仿宋" w:hAnsi="仿宋" w:eastAsia="仿宋" w:cs="仿宋"/>
          <w:b/>
          <w:sz w:val="24"/>
        </w:rPr>
        <w:t>2.12 不可抗力</w:t>
      </w:r>
      <w:bookmarkEnd w:id="121"/>
      <w:bookmarkEnd w:id="122"/>
      <w:bookmarkEnd w:id="123"/>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4" w:name="_Toc6969"/>
      <w:bookmarkStart w:id="125" w:name="_Toc487900365"/>
      <w:bookmarkStart w:id="126" w:name="_Toc279701255"/>
      <w:bookmarkStart w:id="127" w:name="_Toc259093684"/>
      <w:bookmarkStart w:id="128" w:name="_Toc30676"/>
      <w:bookmarkStart w:id="129" w:name="_Toc689"/>
      <w:r>
        <w:rPr>
          <w:rFonts w:hint="eastAsia" w:ascii="仿宋" w:hAnsi="仿宋" w:eastAsia="仿宋" w:cs="仿宋"/>
          <w:b/>
          <w:sz w:val="24"/>
        </w:rPr>
        <w:t>2.13 税费</w:t>
      </w:r>
      <w:bookmarkEnd w:id="124"/>
      <w:bookmarkEnd w:id="125"/>
      <w:bookmarkEnd w:id="126"/>
      <w:bookmarkEnd w:id="127"/>
      <w:bookmarkEnd w:id="128"/>
      <w:bookmarkEnd w:id="129"/>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30" w:name="_Toc279701258"/>
      <w:bookmarkStart w:id="131" w:name="_Toc7102"/>
      <w:bookmarkStart w:id="132" w:name="_Toc8298"/>
      <w:bookmarkStart w:id="133" w:name="_Toc259093687"/>
      <w:bookmarkStart w:id="134" w:name="_Toc487900368"/>
      <w:bookmarkStart w:id="135" w:name="_Toc16959"/>
      <w:r>
        <w:rPr>
          <w:rFonts w:hint="eastAsia" w:ascii="仿宋" w:hAnsi="仿宋" w:eastAsia="仿宋" w:cs="仿宋"/>
          <w:b/>
          <w:sz w:val="24"/>
        </w:rPr>
        <w:t>2.14乙方破产</w:t>
      </w:r>
      <w:bookmarkEnd w:id="130"/>
      <w:bookmarkEnd w:id="131"/>
      <w:bookmarkEnd w:id="132"/>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6" w:name="_Toc15387"/>
      <w:bookmarkStart w:id="137" w:name="_Toc29333"/>
      <w:bookmarkStart w:id="138" w:name="_Toc6134"/>
      <w:r>
        <w:rPr>
          <w:rFonts w:hint="eastAsia" w:ascii="仿宋" w:hAnsi="仿宋" w:eastAsia="仿宋" w:cs="仿宋"/>
          <w:b/>
          <w:sz w:val="24"/>
        </w:rPr>
        <w:t>2.15 合同中止、终止</w:t>
      </w:r>
      <w:bookmarkEnd w:id="136"/>
      <w:bookmarkEnd w:id="137"/>
      <w:bookmarkEnd w:id="138"/>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9" w:name="_Toc14563"/>
      <w:bookmarkStart w:id="140" w:name="_Toc6596"/>
      <w:bookmarkStart w:id="141" w:name="_Toc1125"/>
      <w:r>
        <w:rPr>
          <w:rFonts w:hint="eastAsia" w:ascii="仿宋" w:hAnsi="仿宋" w:eastAsia="仿宋" w:cs="仿宋"/>
          <w:b/>
          <w:sz w:val="24"/>
        </w:rPr>
        <w:t>2.16检验和验收</w:t>
      </w:r>
      <w:bookmarkEnd w:id="139"/>
      <w:bookmarkEnd w:id="140"/>
      <w:bookmarkEnd w:id="141"/>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1"/>
    <w:bookmarkEnd w:id="112"/>
    <w:bookmarkEnd w:id="113"/>
    <w:bookmarkEnd w:id="114"/>
    <w:p>
      <w:pPr>
        <w:spacing w:line="560" w:lineRule="exact"/>
        <w:ind w:firstLine="482" w:firstLineChars="200"/>
        <w:outlineLvl w:val="0"/>
        <w:rPr>
          <w:rFonts w:ascii="仿宋" w:hAnsi="仿宋" w:eastAsia="仿宋" w:cs="仿宋"/>
          <w:b/>
          <w:sz w:val="24"/>
        </w:rPr>
      </w:pPr>
      <w:bookmarkStart w:id="142" w:name="_Toc487900371"/>
      <w:bookmarkStart w:id="143" w:name="_Toc259093690"/>
      <w:bookmarkStart w:id="144" w:name="_Toc279701261"/>
      <w:bookmarkStart w:id="145" w:name="_Toc25182"/>
      <w:bookmarkStart w:id="146" w:name="_Toc19604"/>
      <w:bookmarkStart w:id="147" w:name="_Toc11284"/>
      <w:r>
        <w:rPr>
          <w:rFonts w:hint="eastAsia" w:ascii="仿宋" w:hAnsi="仿宋" w:eastAsia="仿宋" w:cs="仿宋"/>
          <w:b/>
          <w:sz w:val="24"/>
        </w:rPr>
        <w:t>2.17 通知</w:t>
      </w:r>
      <w:bookmarkEnd w:id="142"/>
      <w:bookmarkEnd w:id="143"/>
      <w:bookmarkEnd w:id="144"/>
      <w:r>
        <w:rPr>
          <w:rFonts w:hint="eastAsia" w:ascii="仿宋" w:hAnsi="仿宋" w:eastAsia="仿宋" w:cs="仿宋"/>
          <w:b/>
          <w:sz w:val="24"/>
        </w:rPr>
        <w:t>和送达</w:t>
      </w:r>
      <w:bookmarkEnd w:id="145"/>
      <w:bookmarkEnd w:id="146"/>
      <w:bookmarkEnd w:id="147"/>
    </w:p>
    <w:p>
      <w:pPr>
        <w:spacing w:line="560" w:lineRule="exact"/>
        <w:ind w:firstLine="480" w:firstLineChars="200"/>
        <w:rPr>
          <w:rFonts w:ascii="仿宋" w:hAnsi="仿宋" w:eastAsia="仿宋" w:cs="仿宋"/>
          <w:sz w:val="24"/>
        </w:rPr>
      </w:pPr>
      <w:bookmarkStart w:id="148" w:name="_Toc6698"/>
      <w:bookmarkStart w:id="149" w:name="_Toc3135"/>
      <w:bookmarkStart w:id="150" w:name="_Toc279701262"/>
      <w:bookmarkStart w:id="151" w:name="_Toc259093691"/>
      <w:bookmarkStart w:id="152"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ascii="仿宋" w:hAnsi="仿宋" w:eastAsia="仿宋" w:cs="仿宋"/>
          <w:sz w:val="24"/>
        </w:rPr>
      </w:pPr>
      <w:bookmarkStart w:id="153" w:name="_Toc23128"/>
      <w:bookmarkStart w:id="154"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spacing w:line="560" w:lineRule="exact"/>
        <w:ind w:firstLine="482" w:firstLineChars="200"/>
        <w:outlineLvl w:val="0"/>
        <w:rPr>
          <w:rFonts w:ascii="仿宋" w:hAnsi="仿宋" w:eastAsia="仿宋" w:cs="仿宋"/>
          <w:b/>
          <w:sz w:val="24"/>
        </w:rPr>
      </w:pPr>
      <w:bookmarkStart w:id="155" w:name="_Toc18540"/>
      <w:bookmarkStart w:id="156" w:name="_Toc30599"/>
      <w:bookmarkStart w:id="157" w:name="_Toc4355"/>
      <w:r>
        <w:rPr>
          <w:rFonts w:hint="eastAsia" w:ascii="仿宋" w:hAnsi="仿宋" w:eastAsia="仿宋" w:cs="仿宋"/>
          <w:b/>
          <w:sz w:val="24"/>
        </w:rPr>
        <w:t>2.18 计量单位</w:t>
      </w:r>
      <w:bookmarkEnd w:id="150"/>
      <w:bookmarkEnd w:id="151"/>
      <w:bookmarkEnd w:id="152"/>
      <w:bookmarkEnd w:id="155"/>
      <w:bookmarkEnd w:id="156"/>
      <w:bookmarkEnd w:id="157"/>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8" w:name="_Toc18567"/>
      <w:bookmarkStart w:id="159" w:name="_Toc487900373"/>
      <w:bookmarkStart w:id="160" w:name="_Toc10330"/>
      <w:bookmarkStart w:id="161" w:name="_Toc12773"/>
      <w:bookmarkStart w:id="162" w:name="_Toc279701263"/>
      <w:bookmarkStart w:id="163" w:name="_Toc259093692"/>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4" w:name="_Toc259093693"/>
      <w:bookmarkStart w:id="165" w:name="_Toc279701264"/>
      <w:bookmarkStart w:id="166" w:name="_Toc3148"/>
      <w:bookmarkStart w:id="167" w:name="_Toc12004"/>
      <w:bookmarkStart w:id="168" w:name="_Toc16673"/>
      <w:bookmarkStart w:id="169" w:name="_Toc487900374"/>
      <w:r>
        <w:rPr>
          <w:rFonts w:hint="eastAsia" w:ascii="仿宋" w:hAnsi="仿宋" w:eastAsia="仿宋" w:cs="仿宋"/>
          <w:b/>
          <w:sz w:val="24"/>
        </w:rPr>
        <w:t>2.20 履约保证金</w:t>
      </w:r>
      <w:bookmarkEnd w:id="164"/>
      <w:bookmarkEnd w:id="165"/>
      <w:bookmarkEnd w:id="166"/>
      <w:bookmarkEnd w:id="167"/>
      <w:bookmarkEnd w:id="168"/>
    </w:p>
    <w:p>
      <w:pPr>
        <w:pStyle w:val="284"/>
        <w:spacing w:before="0" w:beforeAutospacing="0" w:after="0" w:afterAutospacing="0" w:line="360" w:lineRule="auto"/>
        <w:ind w:firstLine="420"/>
        <w:rPr>
          <w:rFonts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约定的方式将履约保证金退还乙方，逾期退还的，乙方可要求甲方支付违约金，违约金按每迟延退还一日的应退还而未退还金额的%计算，最高限额为本合同履约保证金的%；</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ascii="仿宋" w:hAnsi="仿宋" w:eastAsia="仿宋" w:cs="仿宋"/>
          <w:b/>
          <w:sz w:val="24"/>
        </w:rPr>
      </w:pPr>
      <w:bookmarkStart w:id="170" w:name="_Toc19890"/>
      <w:bookmarkStart w:id="171" w:name="_Toc6885"/>
      <w:bookmarkStart w:id="172" w:name="_Toc14001"/>
      <w:r>
        <w:rPr>
          <w:rFonts w:hint="eastAsia" w:ascii="仿宋" w:hAnsi="仿宋" w:eastAsia="仿宋" w:cs="仿宋"/>
          <w:b/>
          <w:sz w:val="24"/>
        </w:rPr>
        <w:t>2.22合同份数</w:t>
      </w:r>
      <w:bookmarkEnd w:id="170"/>
      <w:bookmarkEnd w:id="171"/>
      <w:bookmarkEnd w:id="172"/>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pStyle w:val="283"/>
        <w:spacing w:line="560" w:lineRule="exact"/>
        <w:jc w:val="center"/>
        <w:rPr>
          <w:rFonts w:ascii="仿宋" w:hAnsi="仿宋" w:eastAsia="仿宋" w:cs="仿宋"/>
          <w:b/>
          <w:szCs w:val="24"/>
        </w:rPr>
      </w:pPr>
      <w:r>
        <w:rPr>
          <w:rFonts w:hint="eastAsia" w:ascii="仿宋" w:hAnsi="仿宋" w:eastAsia="仿宋" w:cs="仿宋"/>
          <w:kern w:val="0"/>
          <w:szCs w:val="24"/>
        </w:rPr>
        <w:br w:type="page"/>
      </w:r>
      <w:bookmarkStart w:id="173" w:name="_Toc331685784"/>
      <w:bookmarkEnd w:id="173"/>
      <w:r>
        <w:rPr>
          <w:rFonts w:hint="eastAsia" w:ascii="仿宋" w:hAnsi="仿宋" w:eastAsia="仿宋" w:cs="仿宋"/>
          <w:b/>
          <w:szCs w:val="24"/>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8275" w:type="dxa"/>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rPr>
          <w:rFonts w:ascii="仿宋" w:hAnsi="仿宋" w:eastAsia="仿宋" w:cs="仿宋"/>
        </w:rPr>
      </w:pPr>
    </w:p>
    <w:p>
      <w:pPr>
        <w:pStyle w:val="22"/>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2.1商务技术分（60分）</w:t>
      </w:r>
    </w:p>
    <w:tbl>
      <w:tblPr>
        <w:tblStyle w:val="41"/>
        <w:tblpPr w:leftFromText="180" w:rightFromText="180" w:vertAnchor="text" w:horzAnchor="page" w:tblpX="1736" w:tblpY="460"/>
        <w:tblOverlap w:val="never"/>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983"/>
        <w:gridCol w:w="7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0" w:type="pct"/>
            <w:noWrap/>
            <w:vAlign w:val="center"/>
          </w:tcPr>
          <w:p>
            <w:pPr>
              <w:kinsoku w:val="0"/>
              <w:spacing w:line="360" w:lineRule="auto"/>
              <w:ind w:left="-88" w:leftChars="-42" w:right="-113" w:rightChars="-54"/>
              <w:jc w:val="center"/>
              <w:rPr>
                <w:rFonts w:ascii="仿宋" w:hAnsi="仿宋" w:eastAsia="仿宋" w:cs="仿宋"/>
                <w:sz w:val="24"/>
              </w:rPr>
            </w:pPr>
            <w:r>
              <w:rPr>
                <w:rFonts w:hint="eastAsia" w:ascii="仿宋" w:hAnsi="仿宋" w:eastAsia="仿宋" w:cs="仿宋"/>
                <w:sz w:val="24"/>
              </w:rPr>
              <w:t>序号</w:t>
            </w:r>
          </w:p>
        </w:tc>
        <w:tc>
          <w:tcPr>
            <w:tcW w:w="525" w:type="pct"/>
            <w:noWrap/>
            <w:vAlign w:val="center"/>
          </w:tcPr>
          <w:p>
            <w:pPr>
              <w:kinsoku w:val="0"/>
              <w:spacing w:line="360" w:lineRule="auto"/>
              <w:ind w:left="-88" w:leftChars="-42" w:right="-113" w:rightChars="-54"/>
              <w:jc w:val="center"/>
              <w:rPr>
                <w:rFonts w:ascii="仿宋" w:hAnsi="仿宋" w:eastAsia="仿宋" w:cs="仿宋"/>
                <w:sz w:val="24"/>
              </w:rPr>
            </w:pPr>
            <w:r>
              <w:rPr>
                <w:rFonts w:hint="eastAsia" w:ascii="仿宋" w:hAnsi="仿宋" w:eastAsia="仿宋" w:cs="仿宋"/>
                <w:sz w:val="24"/>
              </w:rPr>
              <w:t>评审指标</w:t>
            </w:r>
          </w:p>
        </w:tc>
        <w:tc>
          <w:tcPr>
            <w:tcW w:w="4214" w:type="pct"/>
            <w:noWrap/>
            <w:vAlign w:val="center"/>
          </w:tcPr>
          <w:p>
            <w:pPr>
              <w:kinsoku w:val="0"/>
              <w:spacing w:line="360" w:lineRule="auto"/>
              <w:ind w:left="-88" w:leftChars="-42" w:right="-113" w:rightChars="-54"/>
              <w:jc w:val="center"/>
              <w:rPr>
                <w:rFonts w:ascii="仿宋" w:hAnsi="仿宋" w:eastAsia="仿宋" w:cs="仿宋"/>
                <w:sz w:val="24"/>
              </w:rPr>
            </w:pPr>
            <w:r>
              <w:rPr>
                <w:rFonts w:hint="eastAsia" w:ascii="仿宋" w:hAnsi="仿宋" w:eastAsia="仿宋" w:cs="仿宋"/>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260"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1</w:t>
            </w:r>
          </w:p>
        </w:tc>
        <w:tc>
          <w:tcPr>
            <w:tcW w:w="525"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综合实力(11分)</w:t>
            </w:r>
          </w:p>
        </w:tc>
        <w:tc>
          <w:tcPr>
            <w:tcW w:w="4214" w:type="pct"/>
            <w:noWrap/>
            <w:vAlign w:val="center"/>
          </w:tcPr>
          <w:p>
            <w:pPr>
              <w:spacing w:line="360" w:lineRule="auto"/>
              <w:jc w:val="left"/>
              <w:rPr>
                <w:rFonts w:ascii="仿宋" w:hAnsi="仿宋" w:eastAsia="仿宋" w:cs="仿宋"/>
                <w:sz w:val="24"/>
              </w:rPr>
            </w:pPr>
            <w:r>
              <w:rPr>
                <w:rFonts w:hint="eastAsia" w:ascii="仿宋" w:hAnsi="仿宋" w:eastAsia="仿宋" w:cs="仿宋"/>
                <w:sz w:val="24"/>
              </w:rPr>
              <w:t>1、投标人具有有效期内的质量管理体系认证证书，认证内容需包含本次采购的家具产品（钢木家具、人造板类家具、实木家具、涂饰家具、综合类家具、椅子、沙发），完全符合的的得2分，缺1项扣0.5分，扣完为止。</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2、投标人具有有效期内的环境管理体系认证证书，认证内容需包含本次采购的家具产品（钢木家具、人造板类家具、实木家具、涂饰家具、综合类家具、椅子、沙发），完全符合的的得2分，缺1项扣0.5分，扣完为止。</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3、投标人具有有效期内的职业健康安全管理体系认证证书，认证内容需包含本次采购的家具产品（钢木家具、人造板类家具、实木家具、涂饰家具、综合类家具、椅子、沙发），完全符合的的得2分，缺1项扣</w:t>
            </w:r>
            <w:r>
              <w:rPr>
                <w:rFonts w:ascii="仿宋" w:hAnsi="仿宋" w:eastAsia="仿宋" w:cs="仿宋"/>
                <w:color w:val="FF0000"/>
                <w:sz w:val="24"/>
              </w:rPr>
              <w:t>0.5</w:t>
            </w:r>
            <w:r>
              <w:rPr>
                <w:rFonts w:hint="eastAsia" w:ascii="仿宋" w:hAnsi="仿宋" w:eastAsia="仿宋" w:cs="仿宋"/>
                <w:sz w:val="24"/>
              </w:rPr>
              <w:t>分，扣完为止。</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（投标文件中提供认证证书复印件并加盖投标人公章，不提供不得分）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7" w:hRule="atLeast"/>
        </w:trPr>
        <w:tc>
          <w:tcPr>
            <w:tcW w:w="260" w:type="pct"/>
            <w:vMerge w:val="continue"/>
            <w:noWrap/>
            <w:vAlign w:val="center"/>
          </w:tcPr>
          <w:p>
            <w:pPr>
              <w:kinsoku w:val="0"/>
              <w:spacing w:line="360" w:lineRule="auto"/>
              <w:ind w:left="-88" w:leftChars="-42" w:right="-113" w:rightChars="-54"/>
              <w:jc w:val="left"/>
              <w:rPr>
                <w:rFonts w:ascii="仿宋" w:hAnsi="仿宋" w:eastAsia="仿宋" w:cs="仿宋"/>
                <w:sz w:val="24"/>
              </w:rPr>
            </w:pPr>
          </w:p>
        </w:tc>
        <w:tc>
          <w:tcPr>
            <w:tcW w:w="525" w:type="pct"/>
            <w:vMerge w:val="continue"/>
            <w:noWrap/>
            <w:vAlign w:val="center"/>
          </w:tcPr>
          <w:p>
            <w:pPr>
              <w:kinsoku w:val="0"/>
              <w:spacing w:line="360" w:lineRule="auto"/>
              <w:ind w:left="-88" w:leftChars="-42" w:right="-113" w:rightChars="-54"/>
              <w:jc w:val="left"/>
              <w:rPr>
                <w:rFonts w:ascii="仿宋" w:hAnsi="仿宋" w:eastAsia="仿宋" w:cs="仿宋"/>
                <w:sz w:val="24"/>
              </w:rPr>
            </w:pPr>
          </w:p>
        </w:tc>
        <w:tc>
          <w:tcPr>
            <w:tcW w:w="4214" w:type="pct"/>
            <w:noWrap/>
            <w:vAlign w:val="center"/>
          </w:tcPr>
          <w:p>
            <w:pPr>
              <w:kinsoku w:val="0"/>
              <w:spacing w:line="360" w:lineRule="auto"/>
              <w:ind w:left="-88" w:leftChars="-42" w:right="-113" w:rightChars="-54"/>
              <w:jc w:val="left"/>
              <w:rPr>
                <w:rFonts w:ascii="仿宋" w:hAnsi="仿宋" w:eastAsia="仿宋" w:cs="仿宋"/>
                <w:sz w:val="24"/>
              </w:rPr>
            </w:pPr>
            <w:r>
              <w:rPr>
                <w:rFonts w:hint="eastAsia" w:ascii="仿宋" w:hAnsi="仿宋" w:eastAsia="仿宋" w:cs="仿宋"/>
                <w:sz w:val="24"/>
              </w:rPr>
              <w:t>投标人提供所投产品列入财政部、生态环境部等部门发布的“环境标志产品品目清单”，且获得指定认证机构出具的有效期内的环境标志产品认证证书，认证家具包括：医生桌、咨询服务台、医生椅、书架、接待沙发、检查床，全部符合的得3分，缺一个扣1分，扣完为止。</w:t>
            </w:r>
          </w:p>
          <w:p>
            <w:pPr>
              <w:kinsoku w:val="0"/>
              <w:spacing w:line="360" w:lineRule="auto"/>
              <w:ind w:left="-88" w:leftChars="-42" w:right="-113" w:rightChars="-54"/>
              <w:jc w:val="left"/>
              <w:rPr>
                <w:rFonts w:ascii="仿宋" w:hAnsi="仿宋" w:eastAsia="仿宋" w:cs="仿宋"/>
                <w:sz w:val="24"/>
              </w:rPr>
            </w:pPr>
            <w:r>
              <w:rPr>
                <w:rFonts w:hint="eastAsia" w:ascii="仿宋" w:hAnsi="仿宋" w:eastAsia="仿宋" w:cs="仿宋"/>
                <w:sz w:val="24"/>
              </w:rPr>
              <w:t>（投标文件中提供有效认证证书复印件及全国认证认可信息公共服务平台网站截图加盖投标人公章。）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trPr>
        <w:tc>
          <w:tcPr>
            <w:tcW w:w="260" w:type="pct"/>
            <w:vMerge w:val="continue"/>
            <w:noWrap/>
            <w:vAlign w:val="center"/>
          </w:tcPr>
          <w:p>
            <w:pPr>
              <w:kinsoku w:val="0"/>
              <w:spacing w:line="360" w:lineRule="auto"/>
              <w:ind w:left="-88" w:leftChars="-42" w:right="-113" w:rightChars="-54"/>
              <w:jc w:val="left"/>
              <w:rPr>
                <w:rFonts w:ascii="仿宋" w:hAnsi="仿宋" w:eastAsia="仿宋" w:cs="仿宋"/>
                <w:sz w:val="24"/>
              </w:rPr>
            </w:pPr>
          </w:p>
        </w:tc>
        <w:tc>
          <w:tcPr>
            <w:tcW w:w="525" w:type="pct"/>
            <w:vMerge w:val="continue"/>
            <w:noWrap/>
            <w:vAlign w:val="center"/>
          </w:tcPr>
          <w:p>
            <w:pPr>
              <w:kinsoku w:val="0"/>
              <w:spacing w:line="360" w:lineRule="auto"/>
              <w:ind w:left="-88" w:leftChars="-42" w:right="-113" w:rightChars="-54"/>
              <w:jc w:val="left"/>
              <w:rPr>
                <w:rFonts w:ascii="仿宋" w:hAnsi="仿宋" w:eastAsia="仿宋" w:cs="仿宋"/>
                <w:sz w:val="24"/>
              </w:rPr>
            </w:pPr>
          </w:p>
        </w:tc>
        <w:tc>
          <w:tcPr>
            <w:tcW w:w="4214" w:type="pct"/>
            <w:noWrap/>
            <w:vAlign w:val="center"/>
          </w:tcPr>
          <w:p>
            <w:pPr>
              <w:kinsoku w:val="0"/>
              <w:spacing w:line="360" w:lineRule="auto"/>
              <w:ind w:left="-88" w:leftChars="-42" w:right="-113" w:rightChars="-54"/>
              <w:jc w:val="left"/>
              <w:rPr>
                <w:rFonts w:ascii="仿宋" w:hAnsi="仿宋" w:eastAsia="仿宋" w:cs="仿宋"/>
                <w:sz w:val="24"/>
              </w:rPr>
            </w:pPr>
            <w:r>
              <w:rPr>
                <w:rFonts w:hint="eastAsia" w:ascii="仿宋" w:hAnsi="仿宋" w:eastAsia="仿宋" w:cs="仿宋"/>
                <w:sz w:val="24"/>
              </w:rPr>
              <w:t>投标人具有有效期内的CEC家具产品环保卫士认证证书，认证产品需符合本次采购的家具产品（医生桌、咨询服务台、医生椅、书架、接待沙发、检查床），完全符合得2分，缺1项扣1分。</w:t>
            </w:r>
          </w:p>
          <w:p>
            <w:pPr>
              <w:kinsoku w:val="0"/>
              <w:spacing w:line="360" w:lineRule="auto"/>
              <w:ind w:left="-88" w:leftChars="-42" w:right="-113" w:rightChars="-54"/>
              <w:jc w:val="left"/>
              <w:rPr>
                <w:rFonts w:ascii="仿宋" w:hAnsi="仿宋" w:eastAsia="仿宋" w:cs="仿宋"/>
                <w:sz w:val="24"/>
              </w:rPr>
            </w:pPr>
            <w:r>
              <w:rPr>
                <w:rFonts w:hint="eastAsia" w:ascii="仿宋" w:hAnsi="仿宋" w:eastAsia="仿宋" w:cs="仿宋"/>
                <w:sz w:val="24"/>
              </w:rPr>
              <w:t>（投标文件中提供认证证书复印件并加盖投标人公章，不提供不得分）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260" w:type="pc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2</w:t>
            </w:r>
          </w:p>
        </w:tc>
        <w:tc>
          <w:tcPr>
            <w:tcW w:w="525" w:type="pc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企业业绩(3分)</w:t>
            </w:r>
          </w:p>
        </w:tc>
        <w:tc>
          <w:tcPr>
            <w:tcW w:w="4214" w:type="pct"/>
            <w:noWrap/>
            <w:vAlign w:val="center"/>
          </w:tcPr>
          <w:p>
            <w:pPr>
              <w:kinsoku w:val="0"/>
              <w:spacing w:line="360" w:lineRule="auto"/>
              <w:ind w:right="-113" w:rightChars="-54"/>
              <w:jc w:val="left"/>
              <w:rPr>
                <w:rFonts w:ascii="仿宋" w:hAnsi="仿宋" w:eastAsia="仿宋" w:cs="仿宋"/>
                <w:sz w:val="24"/>
              </w:rPr>
            </w:pPr>
            <w:r>
              <w:rPr>
                <w:rFonts w:hint="eastAsia" w:ascii="仿宋" w:hAnsi="仿宋" w:eastAsia="仿宋" w:cs="仿宋"/>
                <w:bCs/>
                <w:sz w:val="24"/>
              </w:rPr>
              <w:t>投</w:t>
            </w:r>
            <w:r>
              <w:rPr>
                <w:rFonts w:hint="eastAsia" w:ascii="仿宋" w:hAnsi="仿宋" w:eastAsia="仿宋" w:cs="仿宋"/>
                <w:sz w:val="24"/>
              </w:rPr>
              <w:t>标人提供自2020年以来（以合同签订时间为准）的同类案例，每个案例得1分，最高得3分。（提供中标通知书、合同复印件（加盖公章）、发票复印件（加盖公章））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260"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3</w:t>
            </w:r>
          </w:p>
        </w:tc>
        <w:tc>
          <w:tcPr>
            <w:tcW w:w="525"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产品技术参数配置及性能、功能情况</w:t>
            </w:r>
          </w:p>
          <w:p>
            <w:pPr>
              <w:kinsoku w:val="0"/>
              <w:spacing w:line="360" w:lineRule="auto"/>
              <w:jc w:val="center"/>
              <w:rPr>
                <w:rFonts w:ascii="仿宋" w:hAnsi="仿宋" w:eastAsia="仿宋" w:cs="仿宋"/>
                <w:sz w:val="24"/>
              </w:rPr>
            </w:pPr>
            <w:r>
              <w:rPr>
                <w:rFonts w:hint="eastAsia" w:ascii="仿宋" w:hAnsi="仿宋" w:eastAsia="仿宋" w:cs="仿宋"/>
                <w:sz w:val="24"/>
              </w:rPr>
              <w:t>(13分)</w:t>
            </w:r>
          </w:p>
        </w:tc>
        <w:tc>
          <w:tcPr>
            <w:tcW w:w="4214" w:type="pct"/>
            <w:noWrap/>
            <w:vAlign w:val="center"/>
          </w:tcPr>
          <w:p>
            <w:pPr>
              <w:autoSpaceDE w:val="0"/>
              <w:spacing w:line="360" w:lineRule="auto"/>
              <w:rPr>
                <w:rFonts w:ascii="仿宋" w:hAnsi="仿宋" w:eastAsia="仿宋" w:cs="仿宋"/>
                <w:sz w:val="24"/>
              </w:rPr>
            </w:pPr>
            <w:r>
              <w:rPr>
                <w:rFonts w:hint="eastAsia" w:ascii="仿宋" w:hAnsi="仿宋" w:eastAsia="仿宋" w:cs="仿宋"/>
                <w:sz w:val="24"/>
              </w:rPr>
              <w:drawing>
                <wp:anchor distT="0" distB="0" distL="114300" distR="114300" simplePos="0" relativeHeight="251696128" behindDoc="0" locked="0" layoutInCell="1" allowOverlap="1">
                  <wp:simplePos x="0" y="0"/>
                  <wp:positionH relativeFrom="column">
                    <wp:posOffset>802005</wp:posOffset>
                  </wp:positionH>
                  <wp:positionV relativeFrom="paragraph">
                    <wp:posOffset>252095</wp:posOffset>
                  </wp:positionV>
                  <wp:extent cx="1459230" cy="909320"/>
                  <wp:effectExtent l="0" t="0" r="7620" b="5080"/>
                  <wp:wrapNone/>
                  <wp:docPr id="490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 name="图片 2"/>
                          <pic:cNvPicPr>
                            <a:picLocks noChangeAspect="1"/>
                          </pic:cNvPicPr>
                        </pic:nvPicPr>
                        <pic:blipFill>
                          <a:blip r:embed="rId54"/>
                          <a:stretch>
                            <a:fillRect/>
                          </a:stretch>
                        </pic:blipFill>
                        <pic:spPr>
                          <a:xfrm>
                            <a:off x="0" y="0"/>
                            <a:ext cx="1459230" cy="909320"/>
                          </a:xfrm>
                          <a:prstGeom prst="rect">
                            <a:avLst/>
                          </a:prstGeom>
                          <a:noFill/>
                          <a:ln w="9525">
                            <a:noFill/>
                          </a:ln>
                        </pic:spPr>
                      </pic:pic>
                    </a:graphicData>
                  </a:graphic>
                </wp:anchor>
              </w:drawing>
            </w:r>
            <w:r>
              <w:rPr>
                <w:rFonts w:hint="eastAsia" w:ascii="仿宋" w:hAnsi="仿宋" w:eastAsia="仿宋" w:cs="仿宋"/>
                <w:sz w:val="24"/>
              </w:rPr>
              <w:drawing>
                <wp:anchor distT="0" distB="0" distL="114300" distR="114300" simplePos="0" relativeHeight="251695104" behindDoc="0" locked="0" layoutInCell="1" allowOverlap="1">
                  <wp:simplePos x="0" y="0"/>
                  <wp:positionH relativeFrom="column">
                    <wp:posOffset>40005</wp:posOffset>
                  </wp:positionH>
                  <wp:positionV relativeFrom="paragraph">
                    <wp:posOffset>263525</wp:posOffset>
                  </wp:positionV>
                  <wp:extent cx="674370" cy="903605"/>
                  <wp:effectExtent l="0" t="0" r="11430" b="10795"/>
                  <wp:wrapNone/>
                  <wp:docPr id="49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8" name="图片 1"/>
                          <pic:cNvPicPr>
                            <a:picLocks noChangeAspect="1"/>
                          </pic:cNvPicPr>
                        </pic:nvPicPr>
                        <pic:blipFill>
                          <a:blip r:embed="rId55"/>
                          <a:stretch>
                            <a:fillRect/>
                          </a:stretch>
                        </pic:blipFill>
                        <pic:spPr>
                          <a:xfrm>
                            <a:off x="0" y="0"/>
                            <a:ext cx="674370" cy="903605"/>
                          </a:xfrm>
                          <a:prstGeom prst="rect">
                            <a:avLst/>
                          </a:prstGeom>
                          <a:noFill/>
                          <a:ln w="9525">
                            <a:noFill/>
                          </a:ln>
                        </pic:spPr>
                      </pic:pic>
                    </a:graphicData>
                  </a:graphic>
                </wp:anchor>
              </w:drawing>
            </w:r>
            <w:r>
              <w:rPr>
                <w:rFonts w:hint="eastAsia" w:ascii="仿宋" w:hAnsi="仿宋" w:eastAsia="仿宋" w:cs="仿宋"/>
                <w:sz w:val="24"/>
              </w:rPr>
              <w:t>提供序号3办公椅1把（660/490*660/450*980-1080mm）</w:t>
            </w:r>
          </w:p>
          <w:p>
            <w:pPr>
              <w:pStyle w:val="2"/>
              <w:rPr>
                <w:rFonts w:ascii="仿宋" w:hAnsi="仿宋" w:eastAsia="仿宋" w:cs="仿宋"/>
                <w:sz w:val="24"/>
              </w:rPr>
            </w:pPr>
          </w:p>
          <w:p>
            <w:pPr>
              <w:pStyle w:val="39"/>
              <w:spacing w:line="360" w:lineRule="auto"/>
              <w:ind w:firstLine="240"/>
              <w:rPr>
                <w:rFonts w:ascii="仿宋" w:hAnsi="仿宋" w:eastAsia="仿宋" w:cs="仿宋"/>
                <w:sz w:val="24"/>
              </w:rPr>
            </w:pPr>
          </w:p>
          <w:p>
            <w:pPr>
              <w:spacing w:line="360" w:lineRule="auto"/>
              <w:rPr>
                <w:rFonts w:ascii="仿宋" w:hAnsi="仿宋" w:eastAsia="仿宋" w:cs="仿宋"/>
                <w:sz w:val="24"/>
              </w:rPr>
            </w:pPr>
          </w:p>
          <w:p>
            <w:pPr>
              <w:kinsoku w:val="0"/>
              <w:spacing w:line="360" w:lineRule="auto"/>
              <w:ind w:left="-88" w:leftChars="-42" w:right="-113" w:rightChars="-54"/>
              <w:rPr>
                <w:rFonts w:ascii="仿宋" w:hAnsi="仿宋" w:eastAsia="仿宋" w:cs="仿宋"/>
                <w:sz w:val="24"/>
              </w:rPr>
            </w:pPr>
            <w:r>
              <w:rPr>
                <w:rFonts w:hint="eastAsia" w:ascii="仿宋" w:hAnsi="仿宋" w:eastAsia="仿宋" w:cs="仿宋"/>
                <w:sz w:val="24"/>
              </w:rPr>
              <w:t>根据所投产品的、材质、主要技术指标、功能特征等对比打分，完全符合得5</w:t>
            </w:r>
            <w:r>
              <w:rPr>
                <w:rFonts w:ascii="仿宋" w:hAnsi="仿宋" w:eastAsia="仿宋" w:cs="仿宋"/>
                <w:sz w:val="24"/>
              </w:rPr>
              <w:t>-</w:t>
            </w:r>
            <w:r>
              <w:rPr>
                <w:rFonts w:hint="eastAsia" w:ascii="仿宋" w:hAnsi="仿宋" w:eastAsia="仿宋" w:cs="仿宋"/>
                <w:sz w:val="24"/>
              </w:rPr>
              <w:t>3.1分，一般符合得3</w:t>
            </w:r>
            <w:r>
              <w:rPr>
                <w:rFonts w:ascii="仿宋" w:hAnsi="仿宋" w:eastAsia="仿宋" w:cs="仿宋"/>
                <w:sz w:val="24"/>
              </w:rPr>
              <w:t>－</w:t>
            </w:r>
            <w:r>
              <w:rPr>
                <w:rFonts w:hint="eastAsia" w:ascii="仿宋" w:hAnsi="仿宋" w:eastAsia="仿宋" w:cs="仿宋"/>
                <w:sz w:val="24"/>
              </w:rPr>
              <w:t>1.1</w:t>
            </w:r>
            <w:r>
              <w:rPr>
                <w:rFonts w:ascii="仿宋" w:hAnsi="仿宋" w:eastAsia="仿宋" w:cs="仿宋"/>
                <w:sz w:val="24"/>
              </w:rPr>
              <w:t>分，偏离较大得</w:t>
            </w:r>
            <w:r>
              <w:rPr>
                <w:rFonts w:hint="eastAsia" w:ascii="仿宋" w:hAnsi="仿宋" w:eastAsia="仿宋" w:cs="仿宋"/>
                <w:sz w:val="24"/>
              </w:rPr>
              <w:t>1－</w:t>
            </w:r>
            <w:r>
              <w:rPr>
                <w:rFonts w:ascii="仿宋" w:hAnsi="仿宋" w:eastAsia="仿宋" w:cs="仿宋"/>
                <w:sz w:val="24"/>
              </w:rPr>
              <w:t>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60" w:type="pct"/>
            <w:vMerge w:val="continue"/>
            <w:noWrap/>
            <w:vAlign w:val="center"/>
          </w:tcPr>
          <w:p>
            <w:pPr>
              <w:kinsoku w:val="0"/>
              <w:spacing w:line="360" w:lineRule="auto"/>
              <w:jc w:val="center"/>
              <w:rPr>
                <w:rFonts w:ascii="仿宋" w:hAnsi="仿宋" w:eastAsia="仿宋" w:cs="仿宋"/>
                <w:sz w:val="24"/>
              </w:rPr>
            </w:pPr>
          </w:p>
        </w:tc>
        <w:tc>
          <w:tcPr>
            <w:tcW w:w="525" w:type="pct"/>
            <w:vMerge w:val="continue"/>
            <w:noWrap/>
            <w:vAlign w:val="center"/>
          </w:tcPr>
          <w:p>
            <w:pPr>
              <w:kinsoku w:val="0"/>
              <w:spacing w:line="360" w:lineRule="auto"/>
              <w:jc w:val="center"/>
              <w:rPr>
                <w:rFonts w:ascii="仿宋" w:hAnsi="仿宋" w:eastAsia="仿宋" w:cs="仿宋"/>
                <w:sz w:val="24"/>
              </w:rPr>
            </w:pPr>
          </w:p>
        </w:tc>
        <w:tc>
          <w:tcPr>
            <w:tcW w:w="4214" w:type="pct"/>
            <w:noWrap/>
            <w:vAlign w:val="center"/>
          </w:tcPr>
          <w:p>
            <w:pPr>
              <w:autoSpaceDE w:val="0"/>
              <w:spacing w:line="360" w:lineRule="auto"/>
              <w:rPr>
                <w:rFonts w:ascii="仿宋" w:hAnsi="仿宋" w:eastAsia="仿宋" w:cs="仿宋"/>
                <w:sz w:val="24"/>
              </w:rPr>
            </w:pPr>
            <w:r>
              <w:rPr>
                <w:rFonts w:hint="eastAsia" w:ascii="仿宋" w:hAnsi="仿宋" w:eastAsia="仿宋" w:cs="仿宋"/>
                <w:sz w:val="24"/>
              </w:rPr>
              <w:t>提供序号29咨询服务台1个（样品尺寸：1000*600*800mm）</w:t>
            </w:r>
          </w:p>
          <w:p>
            <w:pPr>
              <w:pStyle w:val="39"/>
              <w:spacing w:line="360" w:lineRule="auto"/>
              <w:ind w:firstLine="240"/>
              <w:rPr>
                <w:rFonts w:ascii="仿宋" w:hAnsi="仿宋" w:eastAsia="仿宋" w:cs="仿宋"/>
                <w:sz w:val="24"/>
              </w:rPr>
            </w:pPr>
            <w:r>
              <w:rPr>
                <w:rFonts w:hint="eastAsia" w:ascii="仿宋" w:hAnsi="仿宋" w:eastAsia="仿宋" w:cs="仿宋"/>
                <w:sz w:val="24"/>
              </w:rPr>
              <w:drawing>
                <wp:inline distT="0" distB="0" distL="114300" distR="114300">
                  <wp:extent cx="1048385" cy="910590"/>
                  <wp:effectExtent l="0" t="0" r="3175" b="3810"/>
                  <wp:docPr id="6454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6" name="图片 73"/>
                          <pic:cNvPicPr>
                            <a:picLocks noChangeAspect="1"/>
                          </pic:cNvPicPr>
                        </pic:nvPicPr>
                        <pic:blipFill>
                          <a:blip r:embed="rId56"/>
                          <a:stretch>
                            <a:fillRect/>
                          </a:stretch>
                        </pic:blipFill>
                        <pic:spPr>
                          <a:xfrm>
                            <a:off x="0" y="0"/>
                            <a:ext cx="1048385" cy="910590"/>
                          </a:xfrm>
                          <a:prstGeom prst="rect">
                            <a:avLst/>
                          </a:prstGeom>
                          <a:noFill/>
                          <a:ln w="9525">
                            <a:noFill/>
                          </a:ln>
                        </pic:spPr>
                      </pic:pic>
                    </a:graphicData>
                  </a:graphic>
                </wp:inline>
              </w:drawing>
            </w:r>
          </w:p>
          <w:p>
            <w:pPr>
              <w:kinsoku w:val="0"/>
              <w:spacing w:line="360" w:lineRule="auto"/>
              <w:ind w:left="-88" w:leftChars="-42" w:right="-113" w:rightChars="-54"/>
              <w:jc w:val="left"/>
              <w:rPr>
                <w:rFonts w:ascii="仿宋" w:hAnsi="仿宋" w:eastAsia="仿宋" w:cs="仿宋"/>
                <w:sz w:val="24"/>
              </w:rPr>
            </w:pPr>
            <w:r>
              <w:rPr>
                <w:rFonts w:hint="eastAsia" w:ascii="仿宋" w:hAnsi="仿宋" w:eastAsia="仿宋" w:cs="仿宋"/>
                <w:sz w:val="24"/>
              </w:rPr>
              <w:t>根据所投产品的、材质、主要技术指标、功能特征等对比打分，完全符合得8-5分，一般符合得4.9－3.0分，偏离较大得2.9－0.1分。（材质不符按最差档评分）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60"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4</w:t>
            </w:r>
          </w:p>
        </w:tc>
        <w:tc>
          <w:tcPr>
            <w:tcW w:w="525"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产品质量（12分）</w:t>
            </w:r>
          </w:p>
        </w:tc>
        <w:tc>
          <w:tcPr>
            <w:tcW w:w="4214" w:type="pct"/>
            <w:noWrap/>
            <w:vAlign w:val="center"/>
          </w:tcPr>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投标人提供自2021年1月1日以来由国家认可的第三方检测机构出具的带有</w:t>
            </w:r>
            <w:r>
              <w:rPr>
                <w:rFonts w:hint="eastAsia" w:ascii="仿宋" w:hAnsi="仿宋" w:eastAsia="仿宋" w:cs="仿宋"/>
                <w:color w:val="0000FF"/>
                <w:sz w:val="24"/>
              </w:rPr>
              <w:t>“CMA</w:t>
            </w:r>
            <w:r>
              <w:rPr>
                <w:rFonts w:hint="eastAsia" w:ascii="仿宋" w:hAnsi="仿宋" w:eastAsia="仿宋" w:cs="仿宋"/>
                <w:color w:val="0000FF"/>
                <w:sz w:val="24"/>
                <w:lang w:val="en-US" w:eastAsia="zh-CN"/>
              </w:rPr>
              <w:t>或</w:t>
            </w:r>
            <w:r>
              <w:rPr>
                <w:rFonts w:hint="eastAsia" w:ascii="仿宋" w:hAnsi="仿宋" w:eastAsia="仿宋" w:cs="仿宋"/>
                <w:color w:val="0000FF"/>
                <w:sz w:val="24"/>
              </w:rPr>
              <w:t>CNAS”</w:t>
            </w:r>
            <w:r>
              <w:rPr>
                <w:rFonts w:hint="eastAsia" w:ascii="仿宋" w:hAnsi="仿宋" w:eastAsia="仿宋" w:cs="仿宋"/>
                <w:sz w:val="24"/>
              </w:rPr>
              <w:t>标识的原材料检测合格报告：</w:t>
            </w:r>
          </w:p>
          <w:p>
            <w:pPr>
              <w:pStyle w:val="40"/>
              <w:numPr>
                <w:ilvl w:val="0"/>
                <w:numId w:val="10"/>
              </w:numPr>
              <w:spacing w:line="360" w:lineRule="auto"/>
              <w:ind w:left="0" w:leftChars="0" w:firstLine="0" w:firstLineChars="0"/>
              <w:rPr>
                <w:rFonts w:ascii="仿宋" w:hAnsi="仿宋" w:eastAsia="仿宋" w:cs="仿宋"/>
                <w:sz w:val="24"/>
              </w:rPr>
            </w:pPr>
            <w:r>
              <w:rPr>
                <w:rFonts w:hint="eastAsia" w:ascii="仿宋" w:hAnsi="仿宋" w:eastAsia="仿宋" w:cs="仿宋"/>
                <w:sz w:val="24"/>
              </w:rPr>
              <w:t>多层板：</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①提供符合GB/T 9846-2015的全项目抽样检测报告的得1分。</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②提供防霉性能（黑曲霉、土曲霉、宛氏拟青霉、绳状青霉、出芽短梗霉、球毛壳霉）符合JC/T 2039-2010标准达到1级及以上的检测报告的得1分；</w:t>
            </w:r>
          </w:p>
          <w:p>
            <w:pPr>
              <w:pStyle w:val="40"/>
              <w:numPr>
                <w:ilvl w:val="0"/>
                <w:numId w:val="10"/>
              </w:numPr>
              <w:spacing w:line="360" w:lineRule="auto"/>
              <w:ind w:left="0" w:leftChars="0" w:firstLine="0" w:firstLineChars="0"/>
              <w:rPr>
                <w:rFonts w:ascii="仿宋" w:hAnsi="仿宋" w:eastAsia="仿宋" w:cs="仿宋"/>
                <w:sz w:val="24"/>
              </w:rPr>
            </w:pPr>
            <w:r>
              <w:rPr>
                <w:rFonts w:hint="eastAsia" w:ascii="仿宋" w:hAnsi="仿宋" w:eastAsia="仿宋" w:cs="仿宋"/>
                <w:sz w:val="24"/>
              </w:rPr>
              <w:t>封边条：提供符合QB/T 4463-2013的全项目抽样检测报告的得1分。</w:t>
            </w:r>
          </w:p>
          <w:p>
            <w:pPr>
              <w:pStyle w:val="40"/>
              <w:numPr>
                <w:ilvl w:val="0"/>
                <w:numId w:val="10"/>
              </w:numPr>
              <w:spacing w:line="360" w:lineRule="auto"/>
              <w:ind w:left="0" w:leftChars="0" w:firstLine="0" w:firstLineChars="0"/>
              <w:rPr>
                <w:rFonts w:ascii="仿宋" w:hAnsi="仿宋" w:eastAsia="仿宋" w:cs="仿宋"/>
                <w:sz w:val="24"/>
              </w:rPr>
            </w:pPr>
            <w:r>
              <w:rPr>
                <w:rFonts w:hint="eastAsia" w:ascii="仿宋" w:hAnsi="仿宋" w:eastAsia="仿宋" w:cs="仿宋"/>
                <w:sz w:val="24"/>
              </w:rPr>
              <w:t>热熔胶：提供符合GB 18583-2008的游离甲醛、苯、甲苯+二甲苯未检出、总挥发性有机物≤10g/L的抽样检测报告的得1分。</w:t>
            </w:r>
          </w:p>
          <w:p>
            <w:pPr>
              <w:pStyle w:val="40"/>
              <w:numPr>
                <w:ilvl w:val="0"/>
                <w:numId w:val="10"/>
              </w:numPr>
              <w:spacing w:line="360" w:lineRule="auto"/>
              <w:ind w:left="0" w:leftChars="0" w:firstLine="0" w:firstLineChars="0"/>
              <w:rPr>
                <w:rFonts w:ascii="仿宋" w:hAnsi="仿宋" w:eastAsia="仿宋" w:cs="仿宋"/>
                <w:sz w:val="24"/>
              </w:rPr>
            </w:pPr>
            <w:r>
              <w:rPr>
                <w:rFonts w:hint="eastAsia" w:ascii="仿宋" w:hAnsi="仿宋" w:eastAsia="仿宋" w:cs="仿宋"/>
                <w:sz w:val="24"/>
              </w:rPr>
              <w:t>铰链：提供符合QB/T 2189-2013、QB/T 3827-1999、QB/T 3826-1999的全项目抽样检测报告的得1分。</w:t>
            </w:r>
          </w:p>
          <w:p>
            <w:pPr>
              <w:pStyle w:val="40"/>
              <w:numPr>
                <w:ilvl w:val="0"/>
                <w:numId w:val="10"/>
              </w:numPr>
              <w:spacing w:line="360" w:lineRule="auto"/>
              <w:ind w:left="0" w:leftChars="0" w:firstLine="0" w:firstLineChars="0"/>
              <w:rPr>
                <w:rFonts w:ascii="仿宋" w:hAnsi="仿宋" w:eastAsia="仿宋" w:cs="仿宋"/>
                <w:sz w:val="24"/>
              </w:rPr>
            </w:pPr>
            <w:r>
              <w:rPr>
                <w:rFonts w:hint="eastAsia" w:ascii="仿宋" w:hAnsi="仿宋" w:eastAsia="仿宋" w:cs="仿宋"/>
                <w:sz w:val="24"/>
              </w:rPr>
              <w:t>导轨：提供符合QB/T 2454-2013、QB/T 3827-1999、QB/T 3826-1999的全项目抽样检测报告的得1分。</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6、海绵：符合GB/T 10802-2006的全项目抽样检测报告的得1分。</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7、人造革（皮）：</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①摩擦色牢度、涂层粘着牢度、耐折牢度（50000 次）、耐磨性、撕裂力、感官要求、甲醛等指标符合GB/T 16799-2018、QB/T 2709-2005要求的得1分。</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②提供防霉性能（黄曲霉、黑曲霉、大毛霉、产黄青霉、桔灰青霉、变幻青霉、马氏拟青霉、绿色木霉）符合QB/T 4199-2011标准达到1级及以上的检测报告的得1分；</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（投标时提供证明材料复印件并加盖公章，不提供者不得分）。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60" w:type="pct"/>
            <w:vMerge w:val="continue"/>
            <w:noWrap/>
            <w:vAlign w:val="center"/>
          </w:tcPr>
          <w:p>
            <w:pPr>
              <w:kinsoku w:val="0"/>
              <w:spacing w:line="360" w:lineRule="auto"/>
              <w:jc w:val="center"/>
              <w:rPr>
                <w:rFonts w:ascii="仿宋" w:hAnsi="仿宋" w:eastAsia="仿宋" w:cs="仿宋"/>
                <w:sz w:val="24"/>
              </w:rPr>
            </w:pPr>
          </w:p>
        </w:tc>
        <w:tc>
          <w:tcPr>
            <w:tcW w:w="525" w:type="pct"/>
            <w:vMerge w:val="continue"/>
            <w:noWrap/>
            <w:vAlign w:val="center"/>
          </w:tcPr>
          <w:p>
            <w:pPr>
              <w:kinsoku w:val="0"/>
              <w:spacing w:line="360" w:lineRule="auto"/>
              <w:jc w:val="center"/>
              <w:rPr>
                <w:rFonts w:ascii="仿宋" w:hAnsi="仿宋" w:eastAsia="仿宋" w:cs="仿宋"/>
                <w:sz w:val="24"/>
              </w:rPr>
            </w:pPr>
          </w:p>
        </w:tc>
        <w:tc>
          <w:tcPr>
            <w:tcW w:w="4214" w:type="pct"/>
            <w:noWrap/>
            <w:vAlign w:val="center"/>
          </w:tcPr>
          <w:p>
            <w:pPr>
              <w:spacing w:line="360" w:lineRule="auto"/>
              <w:rPr>
                <w:rFonts w:ascii="仿宋" w:hAnsi="仿宋" w:eastAsia="仿宋" w:cs="仿宋"/>
                <w:sz w:val="24"/>
              </w:rPr>
            </w:pPr>
            <w:r>
              <w:rPr>
                <w:rFonts w:hint="eastAsia" w:ascii="仿宋" w:hAnsi="仿宋" w:eastAsia="仿宋" w:cs="仿宋"/>
                <w:sz w:val="24"/>
              </w:rPr>
              <w:t>投标人提供自2021年1月1日以来由国家认可的第三方检测机构出具的带有</w:t>
            </w:r>
            <w:r>
              <w:rPr>
                <w:rFonts w:hint="eastAsia" w:ascii="仿宋" w:hAnsi="仿宋" w:eastAsia="仿宋" w:cs="仿宋"/>
                <w:color w:val="0000FF"/>
                <w:sz w:val="24"/>
              </w:rPr>
              <w:t>“CMA</w:t>
            </w:r>
            <w:r>
              <w:rPr>
                <w:rFonts w:hint="eastAsia" w:ascii="仿宋" w:hAnsi="仿宋" w:eastAsia="仿宋" w:cs="仿宋"/>
                <w:color w:val="0000FF"/>
                <w:sz w:val="24"/>
                <w:lang w:val="en-US" w:eastAsia="zh-CN"/>
              </w:rPr>
              <w:t>或</w:t>
            </w:r>
            <w:r>
              <w:rPr>
                <w:rFonts w:hint="eastAsia" w:ascii="仿宋" w:hAnsi="仿宋" w:eastAsia="仿宋" w:cs="仿宋"/>
                <w:color w:val="0000FF"/>
                <w:sz w:val="24"/>
              </w:rPr>
              <w:t>CNAS”</w:t>
            </w:r>
            <w:r>
              <w:rPr>
                <w:rFonts w:hint="eastAsia" w:ascii="仿宋" w:hAnsi="仿宋" w:eastAsia="仿宋" w:cs="仿宋"/>
                <w:sz w:val="24"/>
              </w:rPr>
              <w:t>标识的成品检测合格报告：</w:t>
            </w:r>
          </w:p>
          <w:p>
            <w:pPr>
              <w:pStyle w:val="2"/>
              <w:rPr>
                <w:rFonts w:ascii="仿宋" w:hAnsi="仿宋" w:eastAsia="仿宋" w:cs="仿宋"/>
                <w:sz w:val="24"/>
              </w:rPr>
            </w:pPr>
            <w:r>
              <w:rPr>
                <w:rFonts w:hint="eastAsia" w:ascii="仿宋" w:hAnsi="仿宋" w:eastAsia="仿宋" w:cs="仿宋"/>
                <w:sz w:val="24"/>
              </w:rPr>
              <w:t>1、医生桌：外观性能要求、结构安全、理化性能要求、力学性能要求、甲醛等指标符合GB/T 3325-2017、GB 18580-2017要求的得1分。</w:t>
            </w:r>
          </w:p>
          <w:p>
            <w:pPr>
              <w:pStyle w:val="2"/>
              <w:tabs>
                <w:tab w:val="left" w:pos="0"/>
              </w:tabs>
              <w:rPr>
                <w:rFonts w:ascii="仿宋" w:hAnsi="仿宋" w:eastAsia="仿宋" w:cs="仿宋"/>
                <w:sz w:val="24"/>
              </w:rPr>
            </w:pPr>
            <w:r>
              <w:rPr>
                <w:rFonts w:hint="eastAsia" w:ascii="仿宋" w:hAnsi="仿宋" w:eastAsia="仿宋" w:cs="仿宋"/>
                <w:sz w:val="24"/>
              </w:rPr>
              <w:t>2、医生椅：外观、理化性能要求、力学性能、阻燃性、甲醛、TVOC等指标符合QB/T 2280-2016要求的得1分。</w:t>
            </w:r>
          </w:p>
          <w:p>
            <w:pPr>
              <w:spacing w:line="360" w:lineRule="auto"/>
              <w:rPr>
                <w:rFonts w:ascii="仿宋" w:hAnsi="仿宋" w:eastAsia="仿宋" w:cs="仿宋"/>
                <w:color w:val="0000FF"/>
                <w:sz w:val="24"/>
              </w:rPr>
            </w:pPr>
            <w:r>
              <w:rPr>
                <w:rFonts w:hint="eastAsia" w:ascii="仿宋" w:hAnsi="仿宋" w:eastAsia="仿宋" w:cs="仿宋"/>
                <w:color w:val="0000FF"/>
                <w:sz w:val="24"/>
              </w:rPr>
              <w:t>3、沙发：符合GB 8624-2012规定，达到软质家具燃烧性能B1级规定的得1分。</w:t>
            </w:r>
          </w:p>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（投标时提供证明材料复印件并加盖公章，不提供者不得分）。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60" w:type="pc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5</w:t>
            </w:r>
          </w:p>
        </w:tc>
        <w:tc>
          <w:tcPr>
            <w:tcW w:w="525" w:type="pc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技术响应情况（7分）</w:t>
            </w:r>
          </w:p>
        </w:tc>
        <w:tc>
          <w:tcPr>
            <w:tcW w:w="4214" w:type="pct"/>
            <w:noWrap/>
            <w:vAlign w:val="center"/>
          </w:tcPr>
          <w:p>
            <w:pPr>
              <w:pStyle w:val="40"/>
              <w:spacing w:line="360" w:lineRule="auto"/>
              <w:ind w:left="0" w:leftChars="0" w:firstLine="0" w:firstLineChars="0"/>
              <w:rPr>
                <w:rFonts w:ascii="仿宋" w:hAnsi="仿宋" w:eastAsia="仿宋" w:cs="仿宋"/>
                <w:sz w:val="24"/>
              </w:rPr>
            </w:pPr>
            <w:r>
              <w:rPr>
                <w:rFonts w:hint="eastAsia" w:ascii="仿宋" w:hAnsi="仿宋" w:eastAsia="仿宋" w:cs="仿宋"/>
                <w:sz w:val="24"/>
              </w:rPr>
              <w:t>完全满足招标文件要求的得7分，负偏离或缺漏一项扣0.5分，扣完为止。（不包含评分标准3涉及的内容）。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trPr>
        <w:tc>
          <w:tcPr>
            <w:tcW w:w="260" w:type="pct"/>
            <w:vMerge w:val="restart"/>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6</w:t>
            </w:r>
          </w:p>
        </w:tc>
        <w:tc>
          <w:tcPr>
            <w:tcW w:w="525" w:type="pct"/>
            <w:vMerge w:val="restart"/>
            <w:noWrap/>
            <w:vAlign w:val="center"/>
          </w:tcPr>
          <w:p>
            <w:pPr>
              <w:spacing w:line="360" w:lineRule="auto"/>
              <w:jc w:val="center"/>
              <w:rPr>
                <w:rFonts w:ascii="仿宋" w:hAnsi="仿宋" w:eastAsia="仿宋" w:cs="仿宋"/>
                <w:bCs/>
                <w:sz w:val="24"/>
              </w:rPr>
            </w:pPr>
            <w:r>
              <w:rPr>
                <w:rFonts w:hint="eastAsia" w:ascii="仿宋" w:hAnsi="仿宋" w:eastAsia="仿宋" w:cs="仿宋"/>
                <w:bCs/>
                <w:sz w:val="24"/>
              </w:rPr>
              <w:t>项目实施方案</w:t>
            </w:r>
          </w:p>
          <w:p>
            <w:pPr>
              <w:spacing w:line="360" w:lineRule="auto"/>
              <w:jc w:val="center"/>
              <w:rPr>
                <w:rFonts w:ascii="仿宋" w:hAnsi="仿宋" w:eastAsia="仿宋" w:cs="仿宋"/>
                <w:sz w:val="24"/>
              </w:rPr>
            </w:pPr>
            <w:r>
              <w:rPr>
                <w:rFonts w:hint="eastAsia" w:ascii="仿宋" w:hAnsi="仿宋" w:eastAsia="仿宋" w:cs="仿宋"/>
                <w:bCs/>
                <w:sz w:val="24"/>
              </w:rPr>
              <w:t>（8分）</w:t>
            </w:r>
          </w:p>
        </w:tc>
        <w:tc>
          <w:tcPr>
            <w:tcW w:w="4214" w:type="pct"/>
            <w:noWrap/>
            <w:vAlign w:val="center"/>
          </w:tcPr>
          <w:p>
            <w:pPr>
              <w:spacing w:line="360" w:lineRule="auto"/>
              <w:rPr>
                <w:rFonts w:ascii="仿宋" w:hAnsi="仿宋" w:eastAsia="仿宋" w:cs="仿宋"/>
                <w:sz w:val="24"/>
              </w:rPr>
            </w:pPr>
            <w:r>
              <w:rPr>
                <w:rFonts w:hint="eastAsia" w:ascii="仿宋" w:hAnsi="仿宋" w:eastAsia="仿宋" w:cs="仿宋"/>
                <w:sz w:val="24"/>
              </w:rPr>
              <w:t>投标人提供项目实施规划方案，提出合理的项目整体实施方案，能按照项目分解节点，并可跟踪实施。根据供应商提供的方案能否满足采购需求，由评审小组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rPr>
        <w:tc>
          <w:tcPr>
            <w:tcW w:w="260" w:type="pct"/>
            <w:vMerge w:val="continue"/>
            <w:noWrap/>
            <w:vAlign w:val="center"/>
          </w:tcPr>
          <w:p>
            <w:pPr>
              <w:kinsoku w:val="0"/>
              <w:spacing w:line="360" w:lineRule="auto"/>
              <w:jc w:val="center"/>
              <w:rPr>
                <w:rFonts w:ascii="仿宋" w:hAnsi="仿宋" w:eastAsia="仿宋" w:cs="仿宋"/>
                <w:sz w:val="24"/>
              </w:rPr>
            </w:pPr>
          </w:p>
        </w:tc>
        <w:tc>
          <w:tcPr>
            <w:tcW w:w="525" w:type="pct"/>
            <w:vMerge w:val="continue"/>
            <w:noWrap/>
            <w:vAlign w:val="center"/>
          </w:tcPr>
          <w:p>
            <w:pPr>
              <w:spacing w:line="360" w:lineRule="auto"/>
              <w:jc w:val="center"/>
              <w:rPr>
                <w:rFonts w:ascii="仿宋" w:hAnsi="仿宋" w:eastAsia="仿宋" w:cs="仿宋"/>
                <w:sz w:val="24"/>
              </w:rPr>
            </w:pPr>
          </w:p>
        </w:tc>
        <w:tc>
          <w:tcPr>
            <w:tcW w:w="4214" w:type="pct"/>
            <w:noWrap/>
            <w:vAlign w:val="center"/>
          </w:tcPr>
          <w:p>
            <w:pPr>
              <w:autoSpaceDE w:val="0"/>
              <w:spacing w:line="360" w:lineRule="auto"/>
              <w:rPr>
                <w:rFonts w:ascii="仿宋" w:hAnsi="仿宋" w:eastAsia="仿宋" w:cs="仿宋"/>
                <w:sz w:val="24"/>
              </w:rPr>
            </w:pPr>
            <w:r>
              <w:rPr>
                <w:rFonts w:hint="eastAsia" w:ascii="仿宋" w:hAnsi="仿宋" w:eastAsia="仿宋" w:cs="仿宋"/>
                <w:sz w:val="24"/>
              </w:rPr>
              <w:t>投标产品具有品质管理管控过程，有独立品管部门和专门品管人员，确保产品生产过程中的质量控制完善。由评审小组对响应方案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260" w:type="pct"/>
            <w:vMerge w:val="continue"/>
            <w:noWrap/>
            <w:vAlign w:val="center"/>
          </w:tcPr>
          <w:p>
            <w:pPr>
              <w:kinsoku w:val="0"/>
              <w:spacing w:line="360" w:lineRule="auto"/>
              <w:jc w:val="center"/>
              <w:rPr>
                <w:rFonts w:ascii="仿宋" w:hAnsi="仿宋" w:eastAsia="仿宋" w:cs="仿宋"/>
                <w:sz w:val="24"/>
              </w:rPr>
            </w:pPr>
          </w:p>
        </w:tc>
        <w:tc>
          <w:tcPr>
            <w:tcW w:w="525" w:type="pct"/>
            <w:vMerge w:val="continue"/>
            <w:noWrap/>
            <w:vAlign w:val="center"/>
          </w:tcPr>
          <w:p>
            <w:pPr>
              <w:spacing w:line="360" w:lineRule="auto"/>
              <w:jc w:val="center"/>
              <w:rPr>
                <w:rFonts w:ascii="仿宋" w:hAnsi="仿宋" w:eastAsia="仿宋" w:cs="仿宋"/>
                <w:sz w:val="24"/>
              </w:rPr>
            </w:pPr>
          </w:p>
        </w:tc>
        <w:tc>
          <w:tcPr>
            <w:tcW w:w="4214" w:type="pct"/>
            <w:noWrap/>
            <w:vAlign w:val="center"/>
          </w:tcPr>
          <w:p>
            <w:pPr>
              <w:spacing w:line="360" w:lineRule="auto"/>
              <w:rPr>
                <w:rFonts w:ascii="仿宋" w:hAnsi="仿宋" w:eastAsia="仿宋" w:cs="仿宋"/>
                <w:sz w:val="24"/>
              </w:rPr>
            </w:pPr>
            <w:r>
              <w:rPr>
                <w:rFonts w:hint="eastAsia" w:ascii="仿宋" w:hAnsi="仿宋" w:eastAsia="仿宋" w:cs="仿宋"/>
                <w:sz w:val="24"/>
              </w:rPr>
              <w:t>投标人提供安装服务实施方案，安装方案的制定，根据货物交付时间节点，落实送货安装时间和人员安排，确保按期交付使用。根据供应商提供的方案能否满足采购需求，由评审小组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trPr>
        <w:tc>
          <w:tcPr>
            <w:tcW w:w="260" w:type="pct"/>
            <w:vMerge w:val="continue"/>
            <w:noWrap/>
            <w:vAlign w:val="center"/>
          </w:tcPr>
          <w:p>
            <w:pPr>
              <w:kinsoku w:val="0"/>
              <w:spacing w:line="360" w:lineRule="auto"/>
              <w:jc w:val="center"/>
              <w:rPr>
                <w:rFonts w:ascii="仿宋" w:hAnsi="仿宋" w:eastAsia="仿宋" w:cs="仿宋"/>
                <w:sz w:val="24"/>
              </w:rPr>
            </w:pPr>
          </w:p>
        </w:tc>
        <w:tc>
          <w:tcPr>
            <w:tcW w:w="525" w:type="pct"/>
            <w:vMerge w:val="continue"/>
            <w:noWrap/>
            <w:vAlign w:val="center"/>
          </w:tcPr>
          <w:p>
            <w:pPr>
              <w:spacing w:line="360" w:lineRule="auto"/>
              <w:jc w:val="center"/>
              <w:rPr>
                <w:rFonts w:ascii="仿宋" w:hAnsi="仿宋" w:eastAsia="仿宋" w:cs="仿宋"/>
                <w:sz w:val="24"/>
              </w:rPr>
            </w:pPr>
          </w:p>
        </w:tc>
        <w:tc>
          <w:tcPr>
            <w:tcW w:w="4214" w:type="pct"/>
            <w:noWrap/>
            <w:vAlign w:val="center"/>
          </w:tcPr>
          <w:p>
            <w:pPr>
              <w:spacing w:line="360" w:lineRule="auto"/>
              <w:jc w:val="left"/>
              <w:rPr>
                <w:rFonts w:ascii="仿宋" w:hAnsi="仿宋" w:eastAsia="仿宋" w:cs="仿宋"/>
                <w:sz w:val="24"/>
              </w:rPr>
            </w:pPr>
            <w:r>
              <w:rPr>
                <w:rFonts w:hint="eastAsia" w:ascii="仿宋" w:hAnsi="仿宋" w:eastAsia="仿宋" w:cs="仿宋"/>
                <w:sz w:val="24"/>
              </w:rPr>
              <w:t>投标人提供针对本项目的人员配置方案及相关人员的社保证明(未提供社保不得分)等材料，由评审小组进行综合评分。符合招标文件要求得2--1.1分，部分符合招标文件要求的得1－0.1分，不符合的不得分。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60" w:type="pct"/>
            <w:tcBorders>
              <w:top w:val="single" w:color="auto" w:sz="4" w:space="0"/>
              <w:left w:val="single" w:color="auto" w:sz="4" w:space="0"/>
              <w:bottom w:val="single" w:color="auto" w:sz="4" w:space="0"/>
              <w:right w:val="single" w:color="auto" w:sz="4" w:space="0"/>
            </w:tcBorders>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7</w:t>
            </w:r>
          </w:p>
        </w:tc>
        <w:tc>
          <w:tcPr>
            <w:tcW w:w="525" w:type="pct"/>
            <w:tcBorders>
              <w:top w:val="single" w:color="auto" w:sz="4" w:space="0"/>
              <w:left w:val="single" w:color="auto" w:sz="4" w:space="0"/>
              <w:bottom w:val="single" w:color="auto" w:sz="4" w:space="0"/>
              <w:right w:val="single" w:color="auto" w:sz="4" w:space="0"/>
            </w:tcBorders>
            <w:noWrap/>
            <w:vAlign w:val="center"/>
          </w:tcPr>
          <w:p>
            <w:pPr>
              <w:kinsoku w:val="0"/>
              <w:spacing w:line="360" w:lineRule="auto"/>
              <w:jc w:val="center"/>
              <w:rPr>
                <w:rFonts w:ascii="仿宋" w:hAnsi="仿宋" w:eastAsia="仿宋" w:cs="仿宋"/>
                <w:sz w:val="24"/>
              </w:rPr>
            </w:pPr>
            <w:r>
              <w:rPr>
                <w:rFonts w:hint="eastAsia" w:ascii="仿宋" w:hAnsi="仿宋" w:eastAsia="仿宋" w:cs="仿宋"/>
                <w:sz w:val="24"/>
              </w:rPr>
              <w:t>售后响应方案（6分）</w:t>
            </w:r>
          </w:p>
        </w:tc>
        <w:tc>
          <w:tcPr>
            <w:tcW w:w="4214" w:type="pct"/>
            <w:tcBorders>
              <w:top w:val="single" w:color="auto" w:sz="4" w:space="0"/>
              <w:left w:val="single" w:color="auto" w:sz="4" w:space="0"/>
              <w:bottom w:val="single" w:color="auto" w:sz="4" w:space="0"/>
              <w:right w:val="single" w:color="auto" w:sz="4" w:space="0"/>
            </w:tcBorders>
            <w:noWrap/>
            <w:vAlign w:val="center"/>
          </w:tcPr>
          <w:p>
            <w:pPr>
              <w:kinsoku w:val="0"/>
              <w:spacing w:line="360" w:lineRule="auto"/>
              <w:ind w:right="-25" w:rightChars="-12"/>
              <w:jc w:val="left"/>
              <w:rPr>
                <w:rFonts w:ascii="仿宋" w:hAnsi="仿宋" w:eastAsia="仿宋" w:cs="仿宋"/>
                <w:kern w:val="0"/>
                <w:sz w:val="24"/>
                <w:lang w:val="zh-CN"/>
              </w:rPr>
            </w:pPr>
            <w:r>
              <w:rPr>
                <w:rFonts w:hint="eastAsia" w:ascii="仿宋" w:hAnsi="仿宋" w:eastAsia="仿宋" w:cs="仿宋"/>
                <w:kern w:val="0"/>
                <w:sz w:val="24"/>
                <w:lang w:val="zh-CN"/>
              </w:rPr>
              <w:t>根据投标人提供的“三包”措施的详细度和售后服务方案的完整度、投标人本地化服务能力、投标人是否具备关于医院类家具项目的正规的售后服务资质、备品备件、质保期、售后服务保证措施、维修响应时间、技术培训、优惠措施等进行打分，优得</w:t>
            </w:r>
            <w:r>
              <w:rPr>
                <w:rFonts w:hint="eastAsia" w:ascii="仿宋" w:hAnsi="仿宋" w:eastAsia="仿宋" w:cs="仿宋"/>
                <w:kern w:val="0"/>
                <w:sz w:val="24"/>
              </w:rPr>
              <w:t>6-3.1</w:t>
            </w:r>
            <w:r>
              <w:rPr>
                <w:rFonts w:hint="eastAsia" w:ascii="仿宋" w:hAnsi="仿宋" w:eastAsia="仿宋" w:cs="仿宋"/>
                <w:kern w:val="0"/>
                <w:sz w:val="24"/>
                <w:lang w:val="zh-CN"/>
              </w:rPr>
              <w:t>分，良得</w:t>
            </w:r>
            <w:r>
              <w:rPr>
                <w:rFonts w:hint="eastAsia" w:ascii="仿宋" w:hAnsi="仿宋" w:eastAsia="仿宋" w:cs="仿宋"/>
                <w:kern w:val="0"/>
                <w:sz w:val="24"/>
              </w:rPr>
              <w:t>3-1.1</w:t>
            </w:r>
            <w:r>
              <w:rPr>
                <w:rFonts w:hint="eastAsia" w:ascii="仿宋" w:hAnsi="仿宋" w:eastAsia="仿宋" w:cs="仿宋"/>
                <w:kern w:val="0"/>
                <w:sz w:val="24"/>
                <w:lang w:val="zh-CN"/>
              </w:rPr>
              <w:t>分，一般得</w:t>
            </w:r>
            <w:r>
              <w:rPr>
                <w:rFonts w:hint="eastAsia" w:ascii="仿宋" w:hAnsi="仿宋" w:eastAsia="仿宋" w:cs="仿宋"/>
                <w:kern w:val="0"/>
                <w:sz w:val="24"/>
              </w:rPr>
              <w:t>1-0.1</w:t>
            </w:r>
            <w:r>
              <w:rPr>
                <w:rFonts w:hint="eastAsia" w:ascii="仿宋" w:hAnsi="仿宋" w:eastAsia="仿宋" w:cs="仿宋"/>
                <w:kern w:val="0"/>
                <w:sz w:val="24"/>
                <w:lang w:val="zh-CN"/>
              </w:rPr>
              <w:t>分，没有不得分。</w:t>
            </w:r>
          </w:p>
        </w:tc>
      </w:tr>
    </w:tbl>
    <w:p>
      <w:pPr>
        <w:spacing w:line="440" w:lineRule="exact"/>
        <w:rPr>
          <w:rFonts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rPr>
      </w:pPr>
      <w:r>
        <w:rPr>
          <w:rFonts w:hint="eastAsia" w:ascii="仿宋" w:hAnsi="仿宋" w:eastAsia="仿宋" w:cs="仿宋"/>
          <w:b/>
          <w:bCs/>
          <w:iCs/>
          <w:sz w:val="24"/>
        </w:rPr>
        <w:t>2.1.2中标单位中标后3天内必须向采购人提供评分标准里涉及的检测报告和证书原件及复印件（复印件需加盖投标单位公章），如在规定时间内不提供相关检测报告原件和证书原件的或在中标公示期满规定时间内不签订合同的,作自动放弃处理。评分中涉及的授权证书及证明必须为同一家生产单位。</w:t>
      </w:r>
    </w:p>
    <w:p>
      <w:pPr>
        <w:spacing w:line="440" w:lineRule="exact"/>
        <w:rPr>
          <w:rFonts w:ascii="仿宋" w:hAnsi="仿宋" w:eastAsia="仿宋" w:cs="仿宋"/>
          <w:b/>
          <w:bCs/>
          <w:iCs/>
          <w:sz w:val="24"/>
        </w:rPr>
      </w:pPr>
      <w:r>
        <w:rPr>
          <w:rFonts w:hint="eastAsia" w:ascii="仿宋" w:hAnsi="仿宋" w:eastAsia="仿宋" w:cs="仿宋"/>
          <w:b/>
          <w:bCs/>
          <w:iCs/>
          <w:sz w:val="24"/>
        </w:rPr>
        <w:t>2.2价格分（40分）</w:t>
      </w:r>
    </w:p>
    <w:bookmarkEnd w:id="10"/>
    <w:bookmarkEnd w:id="11"/>
    <w:bookmarkEnd w:id="12"/>
    <w:bookmarkEnd w:id="13"/>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2.2.1评标基准价：即满足招标文件要求且投标折扣最低的折扣报价为评标基准价，其价格分为满分。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投标报价得分=(评标基准价／投标折扣报价)×价格权值×100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即：投标报价得分=(评标基准价／投标折扣报价)×40</w:t>
      </w: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8"/>
        <w:spacing w:line="800" w:lineRule="atLeast"/>
        <w:ind w:left="0" w:leftChars="0"/>
        <w:rPr>
          <w:rFonts w:ascii="仿宋" w:hAnsi="仿宋" w:eastAsia="仿宋" w:cs="仿宋"/>
          <w:b/>
          <w:sz w:val="36"/>
          <w:szCs w:val="36"/>
        </w:rPr>
      </w:pPr>
    </w:p>
    <w:p>
      <w:pPr>
        <w:pStyle w:val="18"/>
        <w:spacing w:line="800" w:lineRule="atLeast"/>
        <w:ind w:left="0" w:leftChars="0"/>
        <w:rPr>
          <w:rFonts w:ascii="仿宋" w:hAnsi="仿宋" w:eastAsia="仿宋" w:cs="仿宋"/>
          <w:b/>
          <w:sz w:val="36"/>
          <w:szCs w:val="36"/>
        </w:rPr>
      </w:pPr>
    </w:p>
    <w:p>
      <w:pPr>
        <w:pStyle w:val="18"/>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开户银行：账号：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投标人(公章)：　　　　　　　　　日期：</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标项：</w:t>
      </w:r>
    </w:p>
    <w:p>
      <w:pPr>
        <w:snapToGrid w:val="0"/>
        <w:spacing w:line="400" w:lineRule="exact"/>
        <w:rPr>
          <w:rFonts w:ascii="仿宋" w:hAnsi="仿宋" w:eastAsia="仿宋" w:cs="仿宋"/>
          <w:sz w:val="24"/>
        </w:rPr>
      </w:pPr>
      <w:r>
        <w:rPr>
          <w:rFonts w:hint="eastAsia" w:ascii="仿宋" w:hAnsi="仿宋" w:eastAsia="仿宋" w:cs="仿宋"/>
          <w:sz w:val="24"/>
        </w:rPr>
        <w:t>招标编号：</w:t>
      </w:r>
    </w:p>
    <w:p>
      <w:pPr>
        <w:pStyle w:val="50"/>
      </w:pPr>
    </w:p>
    <w:tbl>
      <w:tblPr>
        <w:tblStyle w:val="41"/>
        <w:tblW w:w="8327" w:type="dxa"/>
        <w:tblInd w:w="-72" w:type="dxa"/>
        <w:tblLayout w:type="fixed"/>
        <w:tblCellMar>
          <w:top w:w="0" w:type="dxa"/>
          <w:left w:w="108" w:type="dxa"/>
          <w:bottom w:w="0" w:type="dxa"/>
          <w:right w:w="108" w:type="dxa"/>
        </w:tblCellMar>
      </w:tblPr>
      <w:tblGrid>
        <w:gridCol w:w="816"/>
        <w:gridCol w:w="1500"/>
        <w:gridCol w:w="2362"/>
        <w:gridCol w:w="1741"/>
        <w:gridCol w:w="1908"/>
      </w:tblGrid>
      <w:tr>
        <w:tblPrEx>
          <w:tblCellMar>
            <w:top w:w="0" w:type="dxa"/>
            <w:left w:w="108" w:type="dxa"/>
            <w:bottom w:w="0" w:type="dxa"/>
            <w:right w:w="108" w:type="dxa"/>
          </w:tblCellMar>
        </w:tblPrEx>
        <w:trPr>
          <w:trHeight w:val="873"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序号</w:t>
            </w:r>
          </w:p>
        </w:tc>
        <w:tc>
          <w:tcPr>
            <w:tcW w:w="386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项目内容</w:t>
            </w:r>
          </w:p>
        </w:tc>
        <w:tc>
          <w:tcPr>
            <w:tcW w:w="174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rPr>
              <w:t>数量</w:t>
            </w:r>
          </w:p>
        </w:tc>
        <w:tc>
          <w:tcPr>
            <w:tcW w:w="19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b/>
                <w:bCs/>
                <w:sz w:val="24"/>
              </w:rPr>
            </w:pPr>
            <w:r>
              <w:rPr>
                <w:rFonts w:hint="eastAsia" w:ascii="仿宋" w:hAnsi="仿宋" w:eastAsia="仿宋" w:cs="仿宋"/>
                <w:b/>
                <w:bCs/>
                <w:sz w:val="24"/>
                <w:lang w:val="zh-CN"/>
              </w:rPr>
              <w:t>备注</w:t>
            </w:r>
          </w:p>
        </w:tc>
      </w:tr>
      <w:tr>
        <w:tblPrEx>
          <w:tblCellMar>
            <w:top w:w="0" w:type="dxa"/>
            <w:left w:w="108" w:type="dxa"/>
            <w:bottom w:w="0" w:type="dxa"/>
            <w:right w:w="108" w:type="dxa"/>
          </w:tblCellMar>
        </w:tblPrEx>
        <w:trPr>
          <w:trHeight w:val="1014" w:hRule="atLeast"/>
        </w:trPr>
        <w:tc>
          <w:tcPr>
            <w:tcW w:w="8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w:t>
            </w:r>
          </w:p>
        </w:tc>
        <w:tc>
          <w:tcPr>
            <w:tcW w:w="3862"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绍兴市人民医院干部保健基地家具采购</w:t>
            </w:r>
          </w:p>
        </w:tc>
        <w:tc>
          <w:tcPr>
            <w:tcW w:w="174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1批</w:t>
            </w:r>
          </w:p>
        </w:tc>
        <w:tc>
          <w:tcPr>
            <w:tcW w:w="19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0" w:lineRule="exact"/>
              <w:rPr>
                <w:rFonts w:ascii="仿宋" w:hAnsi="仿宋" w:eastAsia="仿宋" w:cs="仿宋"/>
                <w:sz w:val="24"/>
              </w:rPr>
            </w:pP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ascii="仿宋" w:hAnsi="仿宋" w:eastAsia="仿宋" w:cs="仿宋"/>
                <w:sz w:val="24"/>
                <w:lang w:val="zh-CN"/>
              </w:rPr>
            </w:pPr>
            <w:r>
              <w:rPr>
                <w:rFonts w:hint="eastAsia" w:ascii="仿宋" w:hAnsi="仿宋" w:eastAsia="仿宋" w:cs="仿宋"/>
                <w:sz w:val="24"/>
              </w:rPr>
              <w:t>折扣报价（小写）</w:t>
            </w:r>
          </w:p>
        </w:tc>
        <w:tc>
          <w:tcPr>
            <w:tcW w:w="6011"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rPr>
                <w:rFonts w:ascii="仿宋" w:hAnsi="仿宋" w:eastAsia="仿宋" w:cs="仿宋"/>
                <w:sz w:val="24"/>
              </w:rPr>
            </w:pPr>
            <w:r>
              <w:rPr>
                <w:rFonts w:hint="eastAsia" w:ascii="仿宋" w:hAnsi="仿宋" w:eastAsia="仿宋" w:cs="仿宋"/>
                <w:sz w:val="24"/>
              </w:rPr>
              <w:t>%</w:t>
            </w:r>
          </w:p>
        </w:tc>
      </w:tr>
      <w:tr>
        <w:tblPrEx>
          <w:tblCellMar>
            <w:top w:w="0" w:type="dxa"/>
            <w:left w:w="108" w:type="dxa"/>
            <w:bottom w:w="0" w:type="dxa"/>
            <w:right w:w="108" w:type="dxa"/>
          </w:tblCellMar>
        </w:tblPrEx>
        <w:trPr>
          <w:trHeight w:val="765" w:hRule="atLeast"/>
        </w:trPr>
        <w:tc>
          <w:tcPr>
            <w:tcW w:w="2316" w:type="dxa"/>
            <w:gridSpan w:val="2"/>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exact"/>
              <w:jc w:val="center"/>
              <w:rPr>
                <w:rFonts w:ascii="仿宋" w:hAnsi="仿宋" w:eastAsia="仿宋" w:cs="仿宋"/>
                <w:sz w:val="24"/>
              </w:rPr>
            </w:pPr>
            <w:r>
              <w:rPr>
                <w:rFonts w:hint="eastAsia" w:ascii="仿宋" w:hAnsi="仿宋" w:eastAsia="仿宋" w:cs="仿宋"/>
                <w:sz w:val="24"/>
              </w:rPr>
              <w:t>折扣报价</w:t>
            </w:r>
            <w:r>
              <w:rPr>
                <w:rFonts w:hint="eastAsia" w:ascii="仿宋" w:hAnsi="仿宋" w:eastAsia="仿宋" w:cs="仿宋"/>
                <w:sz w:val="24"/>
                <w:szCs w:val="21"/>
              </w:rPr>
              <w:t>（大写）</w:t>
            </w:r>
          </w:p>
        </w:tc>
        <w:tc>
          <w:tcPr>
            <w:tcW w:w="6011" w:type="dxa"/>
            <w:gridSpan w:val="3"/>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exact"/>
              <w:rPr>
                <w:rFonts w:ascii="仿宋" w:hAnsi="仿宋" w:eastAsia="仿宋" w:cs="仿宋"/>
                <w:sz w:val="24"/>
              </w:rPr>
            </w:pPr>
          </w:p>
        </w:tc>
      </w:tr>
    </w:tbl>
    <w:p>
      <w:pPr>
        <w:snapToGrid w:val="0"/>
        <w:ind w:firstLine="480" w:firstLineChars="200"/>
        <w:jc w:val="left"/>
        <w:rPr>
          <w:rFonts w:ascii="仿宋" w:hAnsi="仿宋" w:eastAsia="仿宋" w:cs="仿宋"/>
          <w:sz w:val="24"/>
        </w:rPr>
      </w:pPr>
    </w:p>
    <w:p>
      <w:pPr>
        <w:snapToGrid w:val="0"/>
        <w:ind w:firstLine="480" w:firstLineChars="200"/>
        <w:jc w:val="left"/>
        <w:rPr>
          <w:rFonts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项目名称和项目编号，中标供应商名称、地址和中标金额，主要中标标的名称、规格型号、数量、单价、服务要求等</w:t>
      </w:r>
      <w:r>
        <w:rPr>
          <w:rFonts w:hint="eastAsia" w:ascii="仿宋" w:hAnsi="仿宋" w:eastAsia="仿宋" w:cs="仿宋"/>
          <w:b/>
          <w:kern w:val="0"/>
          <w:sz w:val="24"/>
          <w:lang w:val="zh-CN"/>
        </w:rPr>
        <w:t>予以公示。请把上述涉及的内容完整填写在开标一览表中。</w:t>
      </w:r>
    </w:p>
    <w:p>
      <w:pPr>
        <w:ind w:firstLine="482" w:firstLineChars="200"/>
        <w:rPr>
          <w:rFonts w:ascii="仿宋" w:hAnsi="仿宋" w:eastAsia="仿宋" w:cs="仿宋"/>
          <w:b/>
          <w:kern w:val="0"/>
          <w:sz w:val="24"/>
        </w:rPr>
      </w:pPr>
      <w:r>
        <w:rPr>
          <w:rFonts w:hint="eastAsia" w:ascii="仿宋" w:hAnsi="仿宋" w:eastAsia="仿宋" w:cs="仿宋"/>
          <w:b/>
          <w:kern w:val="0"/>
          <w:sz w:val="24"/>
        </w:rPr>
        <w:t>7.报价要求：本项目报价以采购清单中货物上限单价为基准，投标人按统一折扣报价。折扣报价=实际供货单价/上限单价*100%。投标人根据自身实际情况，自行确定一个折扣，折扣保留百分比小数点后一位，即**.*%。</w:t>
      </w:r>
    </w:p>
    <w:p>
      <w:pPr>
        <w:spacing w:line="360" w:lineRule="auto"/>
        <w:ind w:left="-3" w:leftChars="-72" w:right="-817" w:rightChars="-389" w:hanging="148" w:hangingChars="62"/>
        <w:rPr>
          <w:rFonts w:ascii="仿宋" w:hAnsi="仿宋" w:eastAsia="仿宋" w:cs="仿宋"/>
          <w:sz w:val="24"/>
        </w:rPr>
      </w:pPr>
    </w:p>
    <w:p>
      <w:pPr>
        <w:snapToGrid w:val="0"/>
        <w:ind w:left="886" w:leftChars="197" w:hanging="472" w:hangingChars="196"/>
        <w:jc w:val="left"/>
        <w:rPr>
          <w:rFonts w:ascii="仿宋" w:hAnsi="仿宋" w:eastAsia="仿宋" w:cs="仿宋"/>
          <w:b/>
          <w:kern w:val="0"/>
          <w:sz w:val="24"/>
        </w:rPr>
      </w:pPr>
    </w:p>
    <w:p>
      <w:pPr>
        <w:ind w:firstLine="482" w:firstLineChars="200"/>
        <w:rPr>
          <w:rFonts w:ascii="仿宋" w:hAnsi="仿宋" w:eastAsia="仿宋" w:cs="仿宋"/>
          <w:b/>
          <w:kern w:val="0"/>
          <w:sz w:val="24"/>
          <w:lang w:val="zh-CN"/>
        </w:rPr>
      </w:pP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投标人（公章）：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法定代表人或其授权代表（签字或盖章）：日期：年月日</w:t>
      </w:r>
    </w:p>
    <w:p>
      <w:pPr>
        <w:pageBreakBefore/>
        <w:rPr>
          <w:rFonts w:ascii="仿宋" w:hAnsi="仿宋" w:eastAsia="仿宋" w:cs="仿宋"/>
          <w:b/>
          <w:sz w:val="32"/>
          <w:szCs w:val="32"/>
        </w:rPr>
        <w:sectPr>
          <w:headerReference r:id="rId10" w:type="first"/>
          <w:headerReference r:id="rId9" w:type="default"/>
          <w:footerReference r:id="rId11" w:type="default"/>
          <w:pgSz w:w="11905" w:h="16838"/>
          <w:pgMar w:top="1417" w:right="1417" w:bottom="1417" w:left="1417" w:header="850" w:footer="850" w:gutter="0"/>
          <w:pgNumType w:fmt="decimal"/>
          <w:cols w:space="0" w:num="1"/>
          <w:titlePg/>
          <w:docGrid w:linePitch="312" w:charSpace="0"/>
        </w:sectPr>
      </w:pPr>
    </w:p>
    <w:p>
      <w:pPr>
        <w:pageBreakBefore/>
        <w:rPr>
          <w:rFonts w:ascii="仿宋" w:hAnsi="仿宋" w:eastAsia="仿宋" w:cs="仿宋"/>
          <w:b/>
          <w:sz w:val="32"/>
          <w:szCs w:val="32"/>
        </w:rPr>
      </w:pPr>
      <w:r>
        <w:rPr>
          <w:rFonts w:hint="eastAsia" w:ascii="仿宋" w:hAnsi="仿宋" w:eastAsia="仿宋" w:cs="仿宋"/>
          <w:b/>
          <w:sz w:val="32"/>
          <w:szCs w:val="32"/>
        </w:rPr>
        <w:t>3、中小企业声明函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企业名称（盖章）：</w:t>
      </w:r>
    </w:p>
    <w:p>
      <w:pPr>
        <w:ind w:right="420" w:firstLine="5520" w:firstLineChars="2300"/>
        <w:rPr>
          <w:rFonts w:ascii="仿宋" w:hAnsi="仿宋" w:eastAsia="仿宋" w:cs="仿宋"/>
        </w:rPr>
      </w:pPr>
      <w:r>
        <w:rPr>
          <w:rFonts w:hint="eastAsia" w:ascii="仿宋" w:hAnsi="仿宋" w:eastAsia="仿宋" w:cs="仿宋"/>
          <w:sz w:val="24"/>
        </w:rPr>
        <w:t>日期：年月</w:t>
      </w:r>
      <w:r>
        <w:rPr>
          <w:rFonts w:hint="eastAsia" w:ascii="仿宋" w:hAnsi="仿宋" w:eastAsia="仿宋" w:cs="仿宋"/>
        </w:rPr>
        <w:t>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企业名称（盖章）：</w:t>
      </w:r>
    </w:p>
    <w:p>
      <w:pPr>
        <w:ind w:right="420" w:firstLine="5520" w:firstLineChars="2300"/>
        <w:rPr>
          <w:rFonts w:ascii="仿宋" w:hAnsi="仿宋" w:eastAsia="仿宋" w:cs="仿宋"/>
        </w:rPr>
      </w:pPr>
      <w:r>
        <w:rPr>
          <w:rFonts w:hint="eastAsia" w:ascii="仿宋" w:hAnsi="仿宋" w:eastAsia="仿宋" w:cs="仿宋"/>
          <w:sz w:val="24"/>
        </w:rPr>
        <w:t>日期：年月</w:t>
      </w:r>
      <w:r>
        <w:rPr>
          <w:rFonts w:hint="eastAsia" w:ascii="仿宋" w:hAnsi="仿宋" w:eastAsia="仿宋" w:cs="仿宋"/>
        </w:rPr>
        <w:t>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声明单位（盖章）：</w:t>
      </w:r>
    </w:p>
    <w:p>
      <w:pPr>
        <w:ind w:right="420" w:firstLine="5520" w:firstLineChars="2300"/>
        <w:rPr>
          <w:rFonts w:ascii="仿宋" w:hAnsi="仿宋" w:eastAsia="仿宋" w:cs="仿宋"/>
        </w:rPr>
      </w:pPr>
      <w:r>
        <w:rPr>
          <w:rFonts w:hint="eastAsia" w:ascii="仿宋" w:hAnsi="仿宋" w:eastAsia="仿宋" w:cs="仿宋"/>
          <w:sz w:val="24"/>
        </w:rPr>
        <w:t>日期：年月</w:t>
      </w:r>
      <w:r>
        <w:rPr>
          <w:rFonts w:hint="eastAsia" w:ascii="仿宋" w:hAnsi="仿宋" w:eastAsia="仿宋" w:cs="仿宋"/>
        </w:rPr>
        <w:t>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注：根据《财政部民政部中国残疾人联合会关于促进残疾人就业政府采购政策的通知》（财库〔2017〕141号）规定填报。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5" o:spt="75" type="#_x0000_t75" style="height:42pt;width:390pt;" o:ole="t" filled="f" o:preferrelative="t" stroked="f" coordsize="21600,21600">
            <v:path/>
            <v:fill on="f" focussize="0,0"/>
            <v:stroke on="f" joinstyle="miter"/>
            <v:imagedata r:id="rId58" o:title=""/>
            <o:lock v:ext="edit" aspectratio="t"/>
            <w10:wrap type="none"/>
            <w10:anchorlock/>
          </v:shape>
          <o:OLEObject Type="Embed" ProgID="Package" ShapeID="_x0000_i1025" DrawAspect="Content" ObjectID="_1468075725" r:id="rId5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Lines="50" w:after="50"/>
        <w:rPr>
          <w:rFonts w:ascii="仿宋" w:hAnsi="仿宋" w:eastAsia="仿宋" w:cs="仿宋"/>
          <w:sz w:val="30"/>
          <w:szCs w:val="30"/>
        </w:rPr>
      </w:pPr>
    </w:p>
    <w:p>
      <w:pPr>
        <w:snapToGrid w:val="0"/>
        <w:spacing w:beforeLines="50" w:after="50"/>
        <w:jc w:val="center"/>
        <w:rPr>
          <w:rFonts w:ascii="仿宋" w:hAnsi="仿宋" w:eastAsia="仿宋" w:cs="仿宋"/>
        </w:rPr>
      </w:pPr>
      <w:r>
        <w:rPr>
          <w:rFonts w:hint="eastAsia" w:ascii="仿宋" w:hAnsi="仿宋" w:eastAsia="仿宋" w:cs="仿宋"/>
          <w:sz w:val="30"/>
          <w:szCs w:val="30"/>
        </w:rPr>
        <w:t>目录</w:t>
      </w:r>
    </w:p>
    <w:p>
      <w:pPr>
        <w:pStyle w:val="193"/>
        <w:spacing w:line="360" w:lineRule="auto"/>
        <w:ind w:left="0" w:firstLine="0" w:firstLineChars="0"/>
        <w:rPr>
          <w:rFonts w:ascii="仿宋" w:eastAsia="仿宋" w:cs="仿宋"/>
        </w:rPr>
      </w:pPr>
      <w:r>
        <w:rPr>
          <w:rFonts w:hint="eastAsia" w:ascii="仿宋" w:eastAsia="仿宋" w:cs="仿宋"/>
        </w:rPr>
        <w:t>（1）法定代表人授权书…………………………………………………………（页码）</w:t>
      </w:r>
    </w:p>
    <w:p>
      <w:pPr>
        <w:pStyle w:val="193"/>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3"/>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3"/>
        <w:spacing w:line="360" w:lineRule="auto"/>
        <w:ind w:left="0" w:firstLine="0" w:firstLineChars="0"/>
        <w:rPr>
          <w:rFonts w:ascii="仿宋" w:eastAsia="仿宋" w:cs="仿宋"/>
        </w:rPr>
      </w:pPr>
      <w:r>
        <w:rPr>
          <w:rFonts w:hint="eastAsia" w:ascii="仿宋" w:eastAsia="仿宋" w:cs="仿宋"/>
        </w:rPr>
        <w:t>（4）法定代表人身份证明书………………………………………………………（页码）</w:t>
      </w:r>
    </w:p>
    <w:p>
      <w:pPr>
        <w:pStyle w:val="193"/>
        <w:spacing w:line="360" w:lineRule="auto"/>
        <w:ind w:left="0" w:firstLine="0" w:firstLineChars="0"/>
        <w:rPr>
          <w:rFonts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（6）符合特定资格条件（如果项目要求）的有关证明材料（复印件）………（页码）</w:t>
      </w:r>
    </w:p>
    <w:p>
      <w:pPr>
        <w:pStyle w:val="193"/>
        <w:spacing w:line="360" w:lineRule="auto"/>
        <w:ind w:left="0" w:firstLine="0" w:firstLineChars="0"/>
        <w:rPr>
          <w:rFonts w:ascii="仿宋" w:eastAsia="仿宋" w:cs="仿宋"/>
        </w:rPr>
      </w:pPr>
      <w:r>
        <w:rPr>
          <w:rFonts w:hint="eastAsia" w:ascii="仿宋" w:eastAsia="仿宋" w:cs="仿宋"/>
        </w:rPr>
        <w:t>（7）投标人售后服务证明材料……………………………………………………（页码）</w:t>
      </w:r>
    </w:p>
    <w:p>
      <w:pPr>
        <w:pStyle w:val="193"/>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（9）廉政承诺书…………………………………………………………………（页码）</w:t>
      </w:r>
    </w:p>
    <w:p>
      <w:pPr>
        <w:pStyle w:val="193"/>
        <w:spacing w:line="360" w:lineRule="auto"/>
        <w:ind w:left="0" w:firstLine="0" w:firstLineChars="0"/>
        <w:rPr>
          <w:rFonts w:ascii="仿宋" w:eastAsia="仿宋" w:cs="仿宋"/>
        </w:rPr>
      </w:pPr>
      <w:r>
        <w:rPr>
          <w:rFonts w:hint="eastAsia" w:ascii="仿宋" w:eastAsia="仿宋" w:cs="仿宋"/>
        </w:rPr>
        <w:t>（10）技术解决方案………………………………………………………………（页码）</w:t>
      </w:r>
    </w:p>
    <w:p>
      <w:pPr>
        <w:pStyle w:val="193"/>
        <w:spacing w:line="360" w:lineRule="auto"/>
        <w:ind w:left="0" w:firstLine="0" w:firstLineChars="0"/>
        <w:rPr>
          <w:rFonts w:ascii="仿宋" w:eastAsia="仿宋" w:cs="仿宋"/>
        </w:rPr>
      </w:pPr>
      <w:r>
        <w:rPr>
          <w:rFonts w:hint="eastAsia" w:ascii="仿宋" w:eastAsia="仿宋" w:cs="仿宋"/>
        </w:rPr>
        <w:t>（11）技术偏离说明表……………………………………………………………（页码）</w:t>
      </w:r>
    </w:p>
    <w:p>
      <w:pPr>
        <w:pStyle w:val="193"/>
        <w:spacing w:line="360" w:lineRule="auto"/>
        <w:ind w:left="0" w:firstLine="0" w:firstLineChars="0"/>
        <w:rPr>
          <w:rFonts w:ascii="仿宋" w:eastAsia="仿宋" w:cs="仿宋"/>
        </w:rPr>
      </w:pPr>
      <w:r>
        <w:rPr>
          <w:rFonts w:hint="eastAsia" w:ascii="仿宋" w:eastAsia="仿宋" w:cs="仿宋"/>
        </w:rPr>
        <w:t>（12）组织实施方案………………………………………………………………（页码）</w:t>
      </w:r>
    </w:p>
    <w:p>
      <w:pPr>
        <w:pStyle w:val="193"/>
        <w:spacing w:line="360" w:lineRule="auto"/>
        <w:ind w:left="0" w:firstLine="0" w:firstLineChars="0"/>
        <w:rPr>
          <w:rFonts w:ascii="仿宋" w:eastAsia="仿宋" w:cs="仿宋"/>
        </w:rPr>
      </w:pPr>
      <w:r>
        <w:rPr>
          <w:rFonts w:hint="eastAsia" w:ascii="仿宋" w:eastAsia="仿宋" w:cs="仿宋"/>
        </w:rPr>
        <w:t>（13）售后服务方案………………………………………………………………（页码）</w:t>
      </w:r>
    </w:p>
    <w:p>
      <w:pPr>
        <w:pStyle w:val="193"/>
        <w:spacing w:line="360" w:lineRule="auto"/>
        <w:ind w:left="0" w:firstLine="0" w:firstLineChars="0"/>
        <w:rPr>
          <w:rFonts w:ascii="仿宋" w:eastAsia="仿宋" w:cs="仿宋"/>
        </w:rPr>
      </w:pPr>
      <w:r>
        <w:rPr>
          <w:rFonts w:hint="eastAsia" w:ascii="仿宋" w:eastAsia="仿宋" w:cs="仿宋"/>
        </w:rPr>
        <w:t>（14）项目小组人员名单…………………………………………………………（页码）</w:t>
      </w:r>
    </w:p>
    <w:p>
      <w:pPr>
        <w:pStyle w:val="193"/>
        <w:spacing w:line="360"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备品备件及供选择的配套零部件清单………………………</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培训计划………………………………………………………</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验收方案…………………………………………………………</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（19）</w:t>
      </w:r>
      <w:r>
        <w:rPr>
          <w:rFonts w:hint="eastAsia" w:ascii="仿宋" w:eastAsia="仿宋" w:cs="仿宋"/>
          <w:lang w:val="zh-CN"/>
        </w:rPr>
        <w:t>认为需要的其他商务技术（资信）文件或说明…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（20）</w:t>
      </w:r>
      <w:r>
        <w:rPr>
          <w:rFonts w:hint="eastAsia" w:ascii="仿宋" w:eastAsia="仿宋" w:cs="仿宋"/>
          <w:lang w:val="zh-CN"/>
        </w:rPr>
        <w:t>联合协议（如有）……………………………………………………</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（21）</w:t>
      </w:r>
      <w:r>
        <w:rPr>
          <w:rFonts w:hint="eastAsia" w:ascii="仿宋" w:eastAsia="仿宋" w:cs="仿宋"/>
          <w:lang w:val="zh-CN"/>
        </w:rPr>
        <w:t>分包意向协议（如有）…………………………………………</w:t>
      </w:r>
      <w:r>
        <w:rPr>
          <w:rFonts w:hint="eastAsia" w:ascii="仿宋" w:eastAsia="仿宋" w:cs="仿宋"/>
        </w:rPr>
        <w:t>……………（页码）</w:t>
      </w:r>
    </w:p>
    <w:p>
      <w:pPr>
        <w:pStyle w:val="193"/>
        <w:spacing w:line="360" w:lineRule="auto"/>
        <w:ind w:left="0" w:firstLine="0" w:firstLineChars="0"/>
        <w:rPr>
          <w:rFonts w:ascii="仿宋" w:eastAsia="仿宋" w:cs="仿宋"/>
          <w:b/>
          <w:bCs/>
        </w:rPr>
      </w:pPr>
      <w:r>
        <w:rPr>
          <w:rFonts w:hint="eastAsia" w:ascii="仿宋" w:eastAsia="仿宋" w:cs="仿宋"/>
        </w:rPr>
        <w:t>（22）中小企业声明函………………………………………………………………（页码）</w:t>
      </w:r>
    </w:p>
    <w:p>
      <w:pPr>
        <w:pStyle w:val="193"/>
        <w:spacing w:line="360" w:lineRule="auto"/>
        <w:ind w:left="0" w:firstLine="0" w:firstLineChars="0"/>
        <w:rPr>
          <w:rFonts w:ascii="仿宋" w:eastAsia="仿宋" w:cs="仿宋"/>
          <w:b/>
          <w:bCs/>
        </w:rPr>
      </w:pPr>
      <w:r>
        <w:rPr>
          <w:rFonts w:hint="eastAsia" w:ascii="仿宋" w:eastAsia="仿宋" w:cs="仿宋"/>
        </w:rPr>
        <w:t>（23）代理服务费支付承诺书………………………………………………………（页码）</w:t>
      </w:r>
    </w:p>
    <w:p>
      <w:pPr>
        <w:spacing w:line="360" w:lineRule="auto"/>
        <w:jc w:val="lef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1、法定代表人授权委托书（格式）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授权代表姓名：性别：年龄：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单位：部门：职务：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年月日</w:t>
      </w:r>
    </w:p>
    <w:p>
      <w:pPr>
        <w:pageBreakBefore/>
        <w:spacing w:afterLines="100"/>
        <w:rPr>
          <w:rFonts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ascii="仿宋" w:hAnsi="仿宋" w:eastAsia="仿宋" w:cs="仿宋"/>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u w:val="single"/>
        </w:rPr>
        <w:t>（项目名称）（招标编号:）</w:t>
      </w:r>
      <w:r>
        <w:rPr>
          <w:rFonts w:hint="eastAsia" w:ascii="仿宋" w:hAnsi="仿宋" w:eastAsia="仿宋" w:cs="仿宋"/>
          <w:sz w:val="24"/>
        </w:rPr>
        <w:t>招标文件中关于申请人资格要求的下列条件：</w:t>
      </w:r>
    </w:p>
    <w:p>
      <w:pPr>
        <w:pStyle w:val="69"/>
        <w:widowControl w:val="0"/>
        <w:spacing w:afterLines="0"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2"/>
        <w:spacing w:line="44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195"/>
        <w:pageBreakBefore/>
        <w:ind w:firstLine="0"/>
        <w:jc w:val="both"/>
        <w:rPr>
          <w:rFonts w:ascii="仿宋" w:eastAsia="仿宋" w:cs="仿宋"/>
        </w:rPr>
      </w:pPr>
      <w:r>
        <w:rPr>
          <w:rFonts w:hint="eastAsia" w:ascii="仿宋" w:eastAsia="仿宋" w:cs="仿宋"/>
        </w:rPr>
        <w:t>9、廉政承诺书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六、严格遵守政府采购法等法律法规，诚实守信，合法经营，坚决抵制各种违法违纪行为。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2pt;width:442.5pt;" o:ole="t" filled="f" o:preferrelative="t" stroked="f" coordsize="21600,21600">
            <v:path/>
            <v:fill on="f" focussize="0,0"/>
            <v:stroke on="f" joinstyle="miter"/>
            <v:imagedata r:id="rId60" o:title=""/>
            <o:lock v:ext="edit" aspectratio="t"/>
            <w10:wrap type="none"/>
            <w10:anchorlock/>
          </v:shape>
          <o:OLEObject Type="Embed" ProgID="Package" ShapeID="_x0000_i1026" DrawAspect="Content" ObjectID="_1468075726" r:id="rId59">
            <o:LockedField>false</o:LockedField>
          </o:OLEObject>
        </w:object>
      </w:r>
      <w:r>
        <w:rPr>
          <w:rFonts w:hint="eastAsia" w:ascii="仿宋" w:hAnsi="仿宋" w:eastAsia="仿宋" w:cs="仿宋"/>
          <w:b/>
          <w:kern w:val="0"/>
          <w:sz w:val="28"/>
          <w:szCs w:val="28"/>
        </w:rPr>
        <w:object>
          <v:shape id="_x0000_i1027" o:spt="75" type="#_x0000_t75" style="height:42pt;width:441.75pt;" o:ole="t" filled="f" o:preferrelative="t" stroked="f" coordsize="21600,21600">
            <v:path/>
            <v:fill on="f" focussize="0,0"/>
            <v:stroke on="f" joinstyle="miter"/>
            <v:imagedata r:id="rId62" o:title=""/>
            <o:lock v:ext="edit" aspectratio="t"/>
            <w10:wrap type="none"/>
            <w10:anchorlock/>
          </v:shape>
          <o:OLEObject Type="Embed" ProgID="Package" ShapeID="_x0000_i1027" DrawAspect="Content" ObjectID="_1468075727" r:id="rId61">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snapToGrid w:val="0"/>
        <w:spacing w:line="360" w:lineRule="auto"/>
        <w:ind w:right="480"/>
        <w:rPr>
          <w:rFonts w:ascii="仿宋" w:hAnsi="仿宋" w:eastAsia="仿宋" w:cs="仿宋"/>
          <w:b/>
          <w:kern w:val="0"/>
          <w:sz w:val="32"/>
          <w:szCs w:val="32"/>
          <w:lang w:val="zh-CN"/>
        </w:rPr>
        <w:sectPr>
          <w:headerReference r:id="rId12" w:type="first"/>
          <w:footerReference r:id="rId14" w:type="first"/>
          <w:footerReference r:id="rId13" w:type="default"/>
          <w:pgSz w:w="11905" w:h="16838"/>
          <w:pgMar w:top="1417" w:right="1417" w:bottom="1417" w:left="1417" w:header="850" w:footer="850" w:gutter="0"/>
          <w:pgNumType w:fmt="decimal"/>
          <w:cols w:space="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投标人名称(公章)：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。投标人名称(公章)：</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日期：年月日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日期：年月日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_x0000_s1026" o:spid="_x0000_s1026" o:spt="1" style="position:absolute;left:0pt;margin-left:238.9pt;margin-top:28.05pt;height:177.45pt;width:212.95pt;z-index:-251619328;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cs="仿宋"/>
          <w:b/>
          <w:bCs/>
          <w:sz w:val="24"/>
        </w:rPr>
        <w:pict>
          <v:rect id="_x0000_s1028" o:spid="_x0000_s1028" o:spt="1" style="position:absolute;left:0pt;margin-left:-7.2pt;margin-top:30.3pt;height:177.45pt;width:208.5pt;z-index:-251618304;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行业；制造商为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企业名称（盖章）：</w:t>
      </w:r>
    </w:p>
    <w:p>
      <w:pPr>
        <w:ind w:right="420" w:firstLine="5520" w:firstLineChars="2300"/>
        <w:rPr>
          <w:rFonts w:ascii="仿宋" w:hAnsi="仿宋" w:eastAsia="仿宋" w:cs="仿宋"/>
        </w:rPr>
      </w:pPr>
      <w:r>
        <w:rPr>
          <w:rFonts w:hint="eastAsia" w:ascii="仿宋" w:hAnsi="仿宋" w:eastAsia="仿宋" w:cs="仿宋"/>
          <w:sz w:val="24"/>
        </w:rPr>
        <w:t>日期：年月</w:t>
      </w:r>
      <w:r>
        <w:rPr>
          <w:rFonts w:hint="eastAsia" w:ascii="仿宋" w:hAnsi="仿宋" w:eastAsia="仿宋" w:cs="仿宋"/>
        </w:rPr>
        <w:t>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企业名称（盖章）：</w:t>
      </w:r>
    </w:p>
    <w:p>
      <w:pPr>
        <w:ind w:right="420" w:firstLine="5520" w:firstLineChars="2300"/>
        <w:rPr>
          <w:rFonts w:ascii="仿宋" w:hAnsi="仿宋" w:eastAsia="仿宋" w:cs="仿宋"/>
        </w:rPr>
      </w:pPr>
      <w:r>
        <w:rPr>
          <w:rFonts w:hint="eastAsia" w:ascii="仿宋" w:hAnsi="仿宋" w:eastAsia="仿宋" w:cs="仿宋"/>
          <w:sz w:val="24"/>
        </w:rPr>
        <w:t>日期：年月</w:t>
      </w:r>
      <w:r>
        <w:rPr>
          <w:rFonts w:hint="eastAsia" w:ascii="仿宋" w:hAnsi="仿宋" w:eastAsia="仿宋" w:cs="仿宋"/>
        </w:rPr>
        <w:t>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声明单位（盖章）：</w:t>
      </w:r>
    </w:p>
    <w:p>
      <w:pPr>
        <w:ind w:right="420" w:firstLine="5520" w:firstLineChars="2300"/>
        <w:rPr>
          <w:rFonts w:ascii="仿宋" w:hAnsi="仿宋" w:eastAsia="仿宋" w:cs="仿宋"/>
        </w:rPr>
      </w:pPr>
      <w:r>
        <w:rPr>
          <w:rFonts w:hint="eastAsia" w:ascii="仿宋" w:hAnsi="仿宋" w:eastAsia="仿宋" w:cs="仿宋"/>
          <w:sz w:val="24"/>
        </w:rPr>
        <w:t>日期：年月</w:t>
      </w:r>
      <w:r>
        <w:rPr>
          <w:rFonts w:hint="eastAsia" w:ascii="仿宋" w:hAnsi="仿宋" w:eastAsia="仿宋" w:cs="仿宋"/>
        </w:rPr>
        <w:t>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注：根据《财政部民政部中国残疾人联合会关于促进残疾人就业政府采购政策的通知》（财库〔2017〕141号）规定填报。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8" o:spt="75" type="#_x0000_t75" style="height:42pt;width:390pt;" o:ole="t" filled="f" o:preferrelative="t" stroked="f" coordsize="21600,21600">
            <v:path/>
            <v:fill on="f" focussize="0,0"/>
            <v:stroke on="f" joinstyle="miter"/>
            <v:imagedata r:id="rId58" o:title=""/>
            <o:lock v:ext="edit" aspectratio="t"/>
            <w10:wrap type="none"/>
            <w10:anchorlock/>
          </v:shape>
          <o:OLEObject Type="Embed" ProgID="Package" ShapeID="_x0000_i1028" DrawAspect="Content" ObjectID="_1468075728" r:id="rId63">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 w:hAnsi="仿宋" w:eastAsia="仿宋" w:cs="仿宋"/>
          <w:b/>
          <w:kern w:val="0"/>
          <w:sz w:val="36"/>
          <w:szCs w:val="36"/>
        </w:rPr>
        <w:sectPr>
          <w:headerReference r:id="rId15" w:type="first"/>
          <w:footerReference r:id="rId17" w:type="first"/>
          <w:footerReference r:id="rId16" w:type="default"/>
          <w:pgSz w:w="11905" w:h="16838"/>
          <w:pgMar w:top="1417" w:right="1417" w:bottom="1417" w:left="1417" w:header="850" w:footer="850" w:gutter="0"/>
          <w:pgNumType w:fmt="decimal"/>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签字(签章)：公章：</w:t>
      </w:r>
    </w:p>
    <w:p>
      <w:pPr>
        <w:rPr>
          <w:rFonts w:ascii="仿宋" w:hAnsi="仿宋" w:eastAsia="仿宋" w:cs="仿宋"/>
          <w:sz w:val="30"/>
          <w:szCs w:val="30"/>
        </w:rPr>
      </w:pPr>
      <w:r>
        <w:rPr>
          <w:rFonts w:hint="eastAsia" w:ascii="仿宋" w:hAnsi="仿宋" w:eastAsia="仿宋" w:cs="仿宋"/>
          <w:sz w:val="30"/>
          <w:szCs w:val="30"/>
        </w:rPr>
        <w:t>日期：</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ascii="仿宋" w:hAnsi="仿宋" w:eastAsia="仿宋" w:cs="仿宋"/>
          <w:b/>
          <w:bCs/>
          <w:sz w:val="30"/>
          <w:szCs w:val="30"/>
        </w:rPr>
      </w:pPr>
    </w:p>
    <w:p>
      <w:pPr>
        <w:jc w:val="center"/>
        <w:rPr>
          <w:rFonts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ascii="仿宋" w:hAnsi="仿宋" w:eastAsia="仿宋" w:cs="仿宋"/>
          <w:spacing w:val="20"/>
          <w:sz w:val="24"/>
          <w:u w:val="single"/>
        </w:rPr>
      </w:pPr>
    </w:p>
    <w:p>
      <w:pPr>
        <w:spacing w:before="50" w:after="50" w:line="360" w:lineRule="auto"/>
        <w:contextualSpacing/>
        <w:rPr>
          <w:rFonts w:ascii="仿宋" w:hAnsi="仿宋" w:eastAsia="仿宋" w:cs="仿宋"/>
          <w:spacing w:val="20"/>
          <w:sz w:val="24"/>
        </w:rPr>
      </w:pPr>
      <w:r>
        <w:rPr>
          <w:rFonts w:hint="eastAsia" w:ascii="仿宋" w:hAnsi="仿宋" w:eastAsia="仿宋" w:cs="仿宋"/>
          <w:spacing w:val="20"/>
          <w:sz w:val="24"/>
        </w:rPr>
        <w:t>致：</w:t>
      </w:r>
    </w:p>
    <w:p>
      <w:pPr>
        <w:spacing w:before="50" w:after="50" w:line="360" w:lineRule="auto"/>
        <w:ind w:firstLine="630"/>
        <w:contextualSpacing/>
        <w:rPr>
          <w:rFonts w:ascii="仿宋" w:hAnsi="仿宋" w:eastAsia="仿宋" w:cs="仿宋"/>
          <w:spacing w:val="20"/>
          <w:sz w:val="24"/>
        </w:rPr>
      </w:pPr>
      <w:r>
        <w:rPr>
          <w:rFonts w:hint="eastAsia" w:ascii="仿宋" w:hAnsi="仿宋" w:eastAsia="仿宋" w:cs="仿宋"/>
          <w:spacing w:val="20"/>
          <w:sz w:val="24"/>
        </w:rPr>
        <w:t>我公司已认真阅读了招标文件（项目编号：）并在此承诺：</w:t>
      </w:r>
    </w:p>
    <w:p>
      <w:pPr>
        <w:spacing w:before="50" w:after="50" w:line="360" w:lineRule="auto"/>
        <w:ind w:firstLine="630"/>
        <w:contextualSpacing/>
        <w:rPr>
          <w:rFonts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line="360" w:lineRule="auto"/>
        <w:rPr>
          <w:rFonts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ascii="仿宋" w:hAnsi="仿宋" w:eastAsia="仿宋" w:cs="仿宋"/>
          <w:sz w:val="24"/>
          <w:u w:val="single"/>
        </w:rPr>
      </w:pPr>
      <w:r>
        <w:rPr>
          <w:rFonts w:hint="eastAsia" w:ascii="仿宋" w:hAnsi="仿宋" w:eastAsia="仿宋" w:cs="仿宋"/>
          <w:sz w:val="24"/>
        </w:rPr>
        <w:t>联系电话：联系传真：</w:t>
      </w:r>
    </w:p>
    <w:p>
      <w:pPr>
        <w:snapToGrid w:val="0"/>
        <w:spacing w:before="50" w:after="50" w:line="360" w:lineRule="auto"/>
        <w:rPr>
          <w:rFonts w:ascii="仿宋" w:hAnsi="仿宋" w:eastAsia="仿宋" w:cs="仿宋"/>
          <w:sz w:val="24"/>
        </w:rPr>
      </w:pPr>
      <w:r>
        <w:rPr>
          <w:rFonts w:hint="eastAsia" w:ascii="仿宋" w:hAnsi="仿宋" w:eastAsia="仿宋" w:cs="仿宋"/>
          <w:sz w:val="24"/>
        </w:rPr>
        <w:t>承诺日期：_____年___月___日</w:t>
      </w:r>
    </w:p>
    <w:p>
      <w:pPr>
        <w:rPr>
          <w:rFonts w:ascii="仿宋" w:hAnsi="仿宋" w:eastAsia="仿宋" w:cs="仿宋"/>
          <w:sz w:val="24"/>
        </w:rPr>
      </w:pPr>
    </w:p>
    <w:sectPr>
      <w:headerReference r:id="rId18" w:type="default"/>
      <w:footerReference r:id="rId19" w:type="default"/>
      <w:pgSz w:w="11905" w:h="16838"/>
      <w:pgMar w:top="1417" w:right="1417" w:bottom="1417" w:left="1417" w:header="850" w:footer="850"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51" o:spid="_x0000_s205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3</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60" o:spid="_x0000_s2060"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95</w:t>
                </w:r>
                <w:r>
                  <w:fldChar w:fldCharType="end"/>
                </w:r>
              </w:p>
            </w:txbxContent>
          </v:textbox>
        </v:shape>
      </w:pic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52" o:spid="_x0000_s205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48</w:t>
                </w:r>
                <w:r>
                  <w:fldChar w:fldCharType="end"/>
                </w:r>
              </w:p>
            </w:txbxContent>
          </v:textbox>
        </v:shape>
      </w:pict>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_x0000_s2054" o:spid="_x0000_s205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45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仿宋_GB2312" w:eastAsia="仿宋_GB2312"/>
      </w:rPr>
    </w:pPr>
    <w:r>
      <w:rPr>
        <w:sz w:val="18"/>
      </w:rPr>
      <w:pict>
        <v:shape id="_x0000_s2055" o:spid="_x0000_s205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47</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6" o:spid="_x0000_s205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66</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7" o:spid="_x0000_s2057"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65</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8" o:spid="_x0000_s205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86</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w:pict>
        <v:shape id="_x0000_s2059" o:spid="_x0000_s2059"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85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ind w:firstLine="180" w:firstLineChars="10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D16D27"/>
    <w:multiLevelType w:val="singleLevel"/>
    <w:tmpl w:val="A4D16D27"/>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E3FB2DE"/>
    <w:multiLevelType w:val="singleLevel"/>
    <w:tmpl w:val="1E3FB2DE"/>
    <w:lvl w:ilvl="0" w:tentative="0">
      <w:start w:val="1"/>
      <w:numFmt w:val="decimal"/>
      <w:suff w:val="nothing"/>
      <w:lvlText w:val="%1、"/>
      <w:lvlJc w:val="left"/>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96BC6DE"/>
    <w:multiLevelType w:val="singleLevel"/>
    <w:tmpl w:val="696BC6DE"/>
    <w:lvl w:ilvl="0" w:tentative="0">
      <w:start w:val="4"/>
      <w:numFmt w:val="decimal"/>
      <w:lvlText w:val="%1."/>
      <w:lvlJc w:val="left"/>
      <w:pPr>
        <w:tabs>
          <w:tab w:val="left" w:pos="312"/>
        </w:tabs>
      </w:pPr>
    </w:lvl>
  </w:abstractNum>
  <w:abstractNum w:abstractNumId="9">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8"/>
  </w:num>
  <w:num w:numId="8">
    <w:abstractNumId w:val="10"/>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AF5"/>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46801"/>
    <w:rsid w:val="00151C83"/>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0BED"/>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2A37"/>
    <w:rsid w:val="00274B01"/>
    <w:rsid w:val="00274EFC"/>
    <w:rsid w:val="00275F7B"/>
    <w:rsid w:val="00283EAF"/>
    <w:rsid w:val="002857D3"/>
    <w:rsid w:val="002860D2"/>
    <w:rsid w:val="00286495"/>
    <w:rsid w:val="00291839"/>
    <w:rsid w:val="00291D57"/>
    <w:rsid w:val="002945E5"/>
    <w:rsid w:val="00295DD9"/>
    <w:rsid w:val="002A0921"/>
    <w:rsid w:val="002A13E9"/>
    <w:rsid w:val="002A15DE"/>
    <w:rsid w:val="002A168D"/>
    <w:rsid w:val="002A22BB"/>
    <w:rsid w:val="002A2667"/>
    <w:rsid w:val="002A3119"/>
    <w:rsid w:val="002A4A75"/>
    <w:rsid w:val="002A5104"/>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591C"/>
    <w:rsid w:val="003371DD"/>
    <w:rsid w:val="003403E8"/>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22F"/>
    <w:rsid w:val="004357E0"/>
    <w:rsid w:val="0043766D"/>
    <w:rsid w:val="00441896"/>
    <w:rsid w:val="00442935"/>
    <w:rsid w:val="0044422F"/>
    <w:rsid w:val="004443C5"/>
    <w:rsid w:val="00445C1C"/>
    <w:rsid w:val="00447051"/>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31C3"/>
    <w:rsid w:val="0047483C"/>
    <w:rsid w:val="00474BED"/>
    <w:rsid w:val="00476C0B"/>
    <w:rsid w:val="00477EFE"/>
    <w:rsid w:val="00480630"/>
    <w:rsid w:val="004832BC"/>
    <w:rsid w:val="00485E04"/>
    <w:rsid w:val="00486B01"/>
    <w:rsid w:val="00487465"/>
    <w:rsid w:val="004939A7"/>
    <w:rsid w:val="00495C9D"/>
    <w:rsid w:val="0049681F"/>
    <w:rsid w:val="00497699"/>
    <w:rsid w:val="00497B54"/>
    <w:rsid w:val="00497DB2"/>
    <w:rsid w:val="004A0174"/>
    <w:rsid w:val="004A236E"/>
    <w:rsid w:val="004A3418"/>
    <w:rsid w:val="004A403F"/>
    <w:rsid w:val="004A4133"/>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4D3"/>
    <w:rsid w:val="00553FE7"/>
    <w:rsid w:val="0055544C"/>
    <w:rsid w:val="00555780"/>
    <w:rsid w:val="00556840"/>
    <w:rsid w:val="00556F43"/>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B3620"/>
    <w:rsid w:val="005C2908"/>
    <w:rsid w:val="005C2B59"/>
    <w:rsid w:val="005C30CF"/>
    <w:rsid w:val="005C3154"/>
    <w:rsid w:val="005C3A22"/>
    <w:rsid w:val="005C54A7"/>
    <w:rsid w:val="005C6EE6"/>
    <w:rsid w:val="005C6F10"/>
    <w:rsid w:val="005D0155"/>
    <w:rsid w:val="005D2F62"/>
    <w:rsid w:val="005D375C"/>
    <w:rsid w:val="005D451A"/>
    <w:rsid w:val="005D4C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2DCD"/>
    <w:rsid w:val="006541FB"/>
    <w:rsid w:val="006628E8"/>
    <w:rsid w:val="00665466"/>
    <w:rsid w:val="00665C19"/>
    <w:rsid w:val="00665CBD"/>
    <w:rsid w:val="00671A32"/>
    <w:rsid w:val="00672AC8"/>
    <w:rsid w:val="00675C4B"/>
    <w:rsid w:val="0067762D"/>
    <w:rsid w:val="00680B4E"/>
    <w:rsid w:val="006810E4"/>
    <w:rsid w:val="006814C4"/>
    <w:rsid w:val="00682C6A"/>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34FE"/>
    <w:rsid w:val="006D5227"/>
    <w:rsid w:val="006D629D"/>
    <w:rsid w:val="006E51D3"/>
    <w:rsid w:val="006E64A5"/>
    <w:rsid w:val="006E6C77"/>
    <w:rsid w:val="006E772C"/>
    <w:rsid w:val="006E797A"/>
    <w:rsid w:val="006F0A0C"/>
    <w:rsid w:val="006F19C6"/>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344CE"/>
    <w:rsid w:val="007402C2"/>
    <w:rsid w:val="007402D5"/>
    <w:rsid w:val="00740EED"/>
    <w:rsid w:val="00741976"/>
    <w:rsid w:val="00741F19"/>
    <w:rsid w:val="00743134"/>
    <w:rsid w:val="007434A7"/>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52F4"/>
    <w:rsid w:val="007E5F60"/>
    <w:rsid w:val="007E6981"/>
    <w:rsid w:val="007E6C18"/>
    <w:rsid w:val="007E765C"/>
    <w:rsid w:val="007F0029"/>
    <w:rsid w:val="007F0976"/>
    <w:rsid w:val="007F168D"/>
    <w:rsid w:val="007F1749"/>
    <w:rsid w:val="007F3580"/>
    <w:rsid w:val="007F50A3"/>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25A6"/>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10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3DAD"/>
    <w:rsid w:val="00974BCB"/>
    <w:rsid w:val="00975C87"/>
    <w:rsid w:val="00976585"/>
    <w:rsid w:val="009833C8"/>
    <w:rsid w:val="00984648"/>
    <w:rsid w:val="00986357"/>
    <w:rsid w:val="00987EF4"/>
    <w:rsid w:val="009924D5"/>
    <w:rsid w:val="009931AC"/>
    <w:rsid w:val="00993E50"/>
    <w:rsid w:val="00995623"/>
    <w:rsid w:val="00995807"/>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04B1"/>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3DC0"/>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5691"/>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CB0"/>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5D4"/>
    <w:rsid w:val="00B517D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2AB1"/>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217"/>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1D64"/>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D7224"/>
    <w:rsid w:val="00CE2BA4"/>
    <w:rsid w:val="00CE3AD7"/>
    <w:rsid w:val="00CE4EFC"/>
    <w:rsid w:val="00CE50F5"/>
    <w:rsid w:val="00CF33C3"/>
    <w:rsid w:val="00CF33D2"/>
    <w:rsid w:val="00CF3AC6"/>
    <w:rsid w:val="00CF438E"/>
    <w:rsid w:val="00CF6ADB"/>
    <w:rsid w:val="00CF7F2A"/>
    <w:rsid w:val="00CF7F8F"/>
    <w:rsid w:val="00D019ED"/>
    <w:rsid w:val="00D0225D"/>
    <w:rsid w:val="00D026F7"/>
    <w:rsid w:val="00D035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30F3"/>
    <w:rsid w:val="00D353FF"/>
    <w:rsid w:val="00D402F9"/>
    <w:rsid w:val="00D40E0C"/>
    <w:rsid w:val="00D434C3"/>
    <w:rsid w:val="00D44839"/>
    <w:rsid w:val="00D47043"/>
    <w:rsid w:val="00D47915"/>
    <w:rsid w:val="00D5093A"/>
    <w:rsid w:val="00D51479"/>
    <w:rsid w:val="00D55FFA"/>
    <w:rsid w:val="00D61824"/>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85DCF"/>
    <w:rsid w:val="00D90E00"/>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4CAF"/>
    <w:rsid w:val="00DB6503"/>
    <w:rsid w:val="00DB663C"/>
    <w:rsid w:val="00DB7B23"/>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3FF4"/>
    <w:rsid w:val="00E348B7"/>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09D1"/>
    <w:rsid w:val="00E91461"/>
    <w:rsid w:val="00E91B94"/>
    <w:rsid w:val="00E93356"/>
    <w:rsid w:val="00EA0EAA"/>
    <w:rsid w:val="00EA357D"/>
    <w:rsid w:val="00EA37AB"/>
    <w:rsid w:val="00EA4736"/>
    <w:rsid w:val="00EA5BEE"/>
    <w:rsid w:val="00EA5D3F"/>
    <w:rsid w:val="00EA60CE"/>
    <w:rsid w:val="00EA62B8"/>
    <w:rsid w:val="00EA6B0D"/>
    <w:rsid w:val="00EA7F74"/>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62A"/>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CBA"/>
    <w:rsid w:val="00EF712E"/>
    <w:rsid w:val="00EF7E5B"/>
    <w:rsid w:val="00F00B43"/>
    <w:rsid w:val="00F0162F"/>
    <w:rsid w:val="00F01C96"/>
    <w:rsid w:val="00F0661F"/>
    <w:rsid w:val="00F12CBB"/>
    <w:rsid w:val="00F1355C"/>
    <w:rsid w:val="00F16306"/>
    <w:rsid w:val="00F226E8"/>
    <w:rsid w:val="00F2566F"/>
    <w:rsid w:val="00F30E51"/>
    <w:rsid w:val="00F315E6"/>
    <w:rsid w:val="00F31980"/>
    <w:rsid w:val="00F31AD0"/>
    <w:rsid w:val="00F33527"/>
    <w:rsid w:val="00F34656"/>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4CCF"/>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826"/>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628E"/>
    <w:rsid w:val="00FF724C"/>
    <w:rsid w:val="00FF7BD2"/>
    <w:rsid w:val="01095822"/>
    <w:rsid w:val="01B61553"/>
    <w:rsid w:val="023E7489"/>
    <w:rsid w:val="02904C83"/>
    <w:rsid w:val="02D60E97"/>
    <w:rsid w:val="037A45C0"/>
    <w:rsid w:val="05356B81"/>
    <w:rsid w:val="062C2B6E"/>
    <w:rsid w:val="074804D3"/>
    <w:rsid w:val="07BE0DD4"/>
    <w:rsid w:val="07C3066C"/>
    <w:rsid w:val="0A45563D"/>
    <w:rsid w:val="0A5F5B47"/>
    <w:rsid w:val="0A613165"/>
    <w:rsid w:val="0ADC586B"/>
    <w:rsid w:val="0BCD7B2B"/>
    <w:rsid w:val="0CF0156F"/>
    <w:rsid w:val="0CFF4E6E"/>
    <w:rsid w:val="0D0F2EBA"/>
    <w:rsid w:val="0D953DE4"/>
    <w:rsid w:val="0E160010"/>
    <w:rsid w:val="0EF01B99"/>
    <w:rsid w:val="0EF47C3C"/>
    <w:rsid w:val="11EE1499"/>
    <w:rsid w:val="122668C9"/>
    <w:rsid w:val="1318123A"/>
    <w:rsid w:val="134C274B"/>
    <w:rsid w:val="13B00EEB"/>
    <w:rsid w:val="13DC1FB6"/>
    <w:rsid w:val="14AB1838"/>
    <w:rsid w:val="15003A82"/>
    <w:rsid w:val="158F20E2"/>
    <w:rsid w:val="15977775"/>
    <w:rsid w:val="165A5D81"/>
    <w:rsid w:val="165D1A46"/>
    <w:rsid w:val="16F306AF"/>
    <w:rsid w:val="17255CAC"/>
    <w:rsid w:val="17920A47"/>
    <w:rsid w:val="18B91922"/>
    <w:rsid w:val="19D86C87"/>
    <w:rsid w:val="1A0268B0"/>
    <w:rsid w:val="1A4B0EF3"/>
    <w:rsid w:val="1B244A2D"/>
    <w:rsid w:val="1C7D31B4"/>
    <w:rsid w:val="1CBE0837"/>
    <w:rsid w:val="1CE934DD"/>
    <w:rsid w:val="206C020A"/>
    <w:rsid w:val="206E168B"/>
    <w:rsid w:val="211962E5"/>
    <w:rsid w:val="21CD3BC1"/>
    <w:rsid w:val="22560FDE"/>
    <w:rsid w:val="22CE4FF7"/>
    <w:rsid w:val="251D41DD"/>
    <w:rsid w:val="25506360"/>
    <w:rsid w:val="263F10D4"/>
    <w:rsid w:val="26AD7B70"/>
    <w:rsid w:val="27034987"/>
    <w:rsid w:val="274A144C"/>
    <w:rsid w:val="29315BD1"/>
    <w:rsid w:val="2A485ED1"/>
    <w:rsid w:val="2A4D74D2"/>
    <w:rsid w:val="2B515086"/>
    <w:rsid w:val="2B8A0C87"/>
    <w:rsid w:val="2B92276F"/>
    <w:rsid w:val="2C5B55EB"/>
    <w:rsid w:val="2D96319F"/>
    <w:rsid w:val="2E933762"/>
    <w:rsid w:val="2ECD6CBC"/>
    <w:rsid w:val="30241758"/>
    <w:rsid w:val="305F0AD9"/>
    <w:rsid w:val="30DB69DD"/>
    <w:rsid w:val="31427819"/>
    <w:rsid w:val="31C7532C"/>
    <w:rsid w:val="32110C25"/>
    <w:rsid w:val="32A52181"/>
    <w:rsid w:val="32B6615F"/>
    <w:rsid w:val="341D4D4A"/>
    <w:rsid w:val="34AC6B58"/>
    <w:rsid w:val="34E91F03"/>
    <w:rsid w:val="35AD74EB"/>
    <w:rsid w:val="364E2599"/>
    <w:rsid w:val="37DA5B2A"/>
    <w:rsid w:val="38C36924"/>
    <w:rsid w:val="39DD255D"/>
    <w:rsid w:val="3B2339A3"/>
    <w:rsid w:val="3BB32D4D"/>
    <w:rsid w:val="3BE76935"/>
    <w:rsid w:val="3C2700E7"/>
    <w:rsid w:val="3DCD00FB"/>
    <w:rsid w:val="3FEB6CCE"/>
    <w:rsid w:val="41146C25"/>
    <w:rsid w:val="419E4333"/>
    <w:rsid w:val="41EC4FBC"/>
    <w:rsid w:val="42096F4A"/>
    <w:rsid w:val="42D72B59"/>
    <w:rsid w:val="43743FA0"/>
    <w:rsid w:val="4405396B"/>
    <w:rsid w:val="44344ECA"/>
    <w:rsid w:val="44391F9D"/>
    <w:rsid w:val="45A346A2"/>
    <w:rsid w:val="46162856"/>
    <w:rsid w:val="4630260D"/>
    <w:rsid w:val="467D2A15"/>
    <w:rsid w:val="46D44011"/>
    <w:rsid w:val="46E50622"/>
    <w:rsid w:val="46FF308C"/>
    <w:rsid w:val="48264F58"/>
    <w:rsid w:val="4A510D04"/>
    <w:rsid w:val="4A814096"/>
    <w:rsid w:val="4B810440"/>
    <w:rsid w:val="4BB11BA1"/>
    <w:rsid w:val="4C285091"/>
    <w:rsid w:val="4D622AFA"/>
    <w:rsid w:val="4E4F4B57"/>
    <w:rsid w:val="4F22401A"/>
    <w:rsid w:val="4FEE0A81"/>
    <w:rsid w:val="50504BB7"/>
    <w:rsid w:val="50BA2921"/>
    <w:rsid w:val="51246EEE"/>
    <w:rsid w:val="523515CA"/>
    <w:rsid w:val="528F5E6A"/>
    <w:rsid w:val="52CF6267"/>
    <w:rsid w:val="530B6B1F"/>
    <w:rsid w:val="53974940"/>
    <w:rsid w:val="54172B3A"/>
    <w:rsid w:val="54C55C59"/>
    <w:rsid w:val="55F80707"/>
    <w:rsid w:val="561A3800"/>
    <w:rsid w:val="56943A3A"/>
    <w:rsid w:val="56EF512A"/>
    <w:rsid w:val="57A33EE6"/>
    <w:rsid w:val="57E40248"/>
    <w:rsid w:val="586510D0"/>
    <w:rsid w:val="58CD7B7F"/>
    <w:rsid w:val="5B97297C"/>
    <w:rsid w:val="5BE26E59"/>
    <w:rsid w:val="5C050DC5"/>
    <w:rsid w:val="5CC25011"/>
    <w:rsid w:val="5D240877"/>
    <w:rsid w:val="5EAB17F0"/>
    <w:rsid w:val="5EFE0594"/>
    <w:rsid w:val="5EFF17BB"/>
    <w:rsid w:val="60A56368"/>
    <w:rsid w:val="620A7596"/>
    <w:rsid w:val="62683FE2"/>
    <w:rsid w:val="626D272C"/>
    <w:rsid w:val="62B032A8"/>
    <w:rsid w:val="62E6057E"/>
    <w:rsid w:val="645B7B26"/>
    <w:rsid w:val="64C37BF6"/>
    <w:rsid w:val="653F7D14"/>
    <w:rsid w:val="657D4EC9"/>
    <w:rsid w:val="664232A2"/>
    <w:rsid w:val="666344C6"/>
    <w:rsid w:val="679859A3"/>
    <w:rsid w:val="684D1945"/>
    <w:rsid w:val="68E345F1"/>
    <w:rsid w:val="693F7EB2"/>
    <w:rsid w:val="69B346B5"/>
    <w:rsid w:val="6A353140"/>
    <w:rsid w:val="6A492BD6"/>
    <w:rsid w:val="6AB457B5"/>
    <w:rsid w:val="6B0246B4"/>
    <w:rsid w:val="6B263F3D"/>
    <w:rsid w:val="6C0F3F6B"/>
    <w:rsid w:val="6C332D06"/>
    <w:rsid w:val="6D873074"/>
    <w:rsid w:val="6E6504A2"/>
    <w:rsid w:val="6EA77C40"/>
    <w:rsid w:val="6F9526D1"/>
    <w:rsid w:val="6FDB31C0"/>
    <w:rsid w:val="70653E51"/>
    <w:rsid w:val="71110EAA"/>
    <w:rsid w:val="71AE1DA3"/>
    <w:rsid w:val="72BC1431"/>
    <w:rsid w:val="72D44F3F"/>
    <w:rsid w:val="72E87C49"/>
    <w:rsid w:val="72ED5B8D"/>
    <w:rsid w:val="74366ACD"/>
    <w:rsid w:val="75234457"/>
    <w:rsid w:val="754436F6"/>
    <w:rsid w:val="76540DFE"/>
    <w:rsid w:val="77407AC8"/>
    <w:rsid w:val="778B45A3"/>
    <w:rsid w:val="787528CF"/>
    <w:rsid w:val="78D83818"/>
    <w:rsid w:val="796A1144"/>
    <w:rsid w:val="79FA5AB8"/>
    <w:rsid w:val="7AE03399"/>
    <w:rsid w:val="7B544D14"/>
    <w:rsid w:val="7C4D7A6C"/>
    <w:rsid w:val="7C54268B"/>
    <w:rsid w:val="7DFBB8BB"/>
    <w:rsid w:val="7E322723"/>
    <w:rsid w:val="7E9C6F8B"/>
    <w:rsid w:val="7EAF6DC9"/>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4"/>
    <w:qFormat/>
    <w:uiPriority w:val="0"/>
    <w:pPr>
      <w:spacing w:line="360" w:lineRule="auto"/>
    </w:pPr>
    <w:rPr>
      <w:rFonts w:eastAsia="仿宋_GB2312"/>
      <w:sz w:val="28"/>
    </w:rPr>
  </w:style>
  <w:style w:type="paragraph" w:styleId="5">
    <w:name w:val="Normal Indent"/>
    <w:basedOn w:val="1"/>
    <w:next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Indent"/>
    <w:basedOn w:val="1"/>
    <w:next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3"/>
    <w:qFormat/>
    <w:uiPriority w:val="0"/>
    <w:rPr>
      <w:rFonts w:ascii="宋体" w:hAnsi="Courier New"/>
      <w:szCs w:val="20"/>
    </w:rPr>
  </w:style>
  <w:style w:type="paragraph" w:styleId="23">
    <w:name w:val="Date"/>
    <w:basedOn w:val="1"/>
    <w:next w:val="1"/>
    <w:link w:val="66"/>
    <w:qFormat/>
    <w:uiPriority w:val="0"/>
    <w:rPr>
      <w:rFonts w:ascii="楷体_GB2312" w:eastAsia="楷体_GB2312"/>
      <w:b/>
      <w:sz w:val="28"/>
      <w:szCs w:val="20"/>
    </w:rPr>
  </w:style>
  <w:style w:type="paragraph" w:styleId="24">
    <w:name w:val="Body Text Indent 2"/>
    <w:basedOn w:val="1"/>
    <w:link w:val="80"/>
    <w:qFormat/>
    <w:uiPriority w:val="0"/>
    <w:pPr>
      <w:spacing w:after="120" w:line="480" w:lineRule="auto"/>
      <w:ind w:left="420" w:leftChars="200"/>
    </w:pPr>
  </w:style>
  <w:style w:type="paragraph" w:styleId="25">
    <w:name w:val="Balloon Text"/>
    <w:basedOn w:val="1"/>
    <w:link w:val="199"/>
    <w:semiHidden/>
    <w:qFormat/>
    <w:uiPriority w:val="0"/>
    <w:rPr>
      <w:sz w:val="18"/>
      <w:szCs w:val="18"/>
    </w:rPr>
  </w:style>
  <w:style w:type="paragraph" w:styleId="26">
    <w:name w:val="footer"/>
    <w:basedOn w:val="1"/>
    <w:link w:val="68"/>
    <w:qFormat/>
    <w:uiPriority w:val="99"/>
    <w:pPr>
      <w:tabs>
        <w:tab w:val="center" w:pos="4153"/>
        <w:tab w:val="right" w:pos="8306"/>
      </w:tabs>
      <w:snapToGrid w:val="0"/>
      <w:jc w:val="left"/>
    </w:pPr>
    <w:rPr>
      <w:sz w:val="18"/>
      <w:szCs w:val="18"/>
    </w:rPr>
  </w:style>
  <w:style w:type="paragraph" w:styleId="27">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200"/>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7"/>
    <w:next w:val="17"/>
    <w:link w:val="202"/>
    <w:semiHidden/>
    <w:qFormat/>
    <w:uiPriority w:val="0"/>
    <w:pPr>
      <w:widowControl/>
      <w:spacing w:afterLines="50"/>
    </w:pPr>
    <w:rPr>
      <w:b/>
      <w:bCs/>
      <w:kern w:val="0"/>
      <w:sz w:val="24"/>
      <w:szCs w:val="20"/>
    </w:rPr>
  </w:style>
  <w:style w:type="paragraph" w:styleId="39">
    <w:name w:val="Body Text First Indent"/>
    <w:basedOn w:val="2"/>
    <w:next w:val="1"/>
    <w:link w:val="203"/>
    <w:qFormat/>
    <w:uiPriority w:val="0"/>
    <w:pPr>
      <w:spacing w:after="120" w:line="240" w:lineRule="auto"/>
      <w:ind w:firstLine="420" w:firstLineChars="100"/>
    </w:pPr>
    <w:rPr>
      <w:rFonts w:eastAsia="宋体"/>
      <w:sz w:val="21"/>
    </w:rPr>
  </w:style>
  <w:style w:type="paragraph" w:styleId="40">
    <w:name w:val="Body Text First Indent 2"/>
    <w:basedOn w:val="18"/>
    <w:link w:val="204"/>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paragraph" w:customStyle="1" w:styleId="51">
    <w:name w:val="表格文字"/>
    <w:basedOn w:val="1"/>
    <w:qFormat/>
    <w:uiPriority w:val="0"/>
    <w:pPr>
      <w:spacing w:before="25" w:after="25"/>
      <w:jc w:val="left"/>
    </w:pPr>
    <w:rPr>
      <w:bCs/>
      <w:spacing w:val="10"/>
      <w:kern w:val="0"/>
      <w:sz w:val="24"/>
      <w:szCs w:val="20"/>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2"/>
    <w:qFormat/>
    <w:uiPriority w:val="0"/>
    <w:rPr>
      <w:rFonts w:ascii="宋体" w:hAnsi="Courier New" w:eastAsia="宋体"/>
      <w:kern w:val="2"/>
      <w:sz w:val="21"/>
      <w:lang w:val="en-US" w:eastAsia="zh-CN" w:bidi="ar-SA"/>
    </w:rPr>
  </w:style>
  <w:style w:type="paragraph" w:customStyle="1" w:styleId="64">
    <w:name w:val="表正文"/>
    <w:basedOn w:val="1"/>
    <w:next w:val="22"/>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3"/>
    <w:qFormat/>
    <w:uiPriority w:val="0"/>
    <w:rPr>
      <w:rFonts w:ascii="楷体_GB2312" w:eastAsia="楷体_GB2312"/>
      <w:b/>
      <w:kern w:val="2"/>
      <w:sz w:val="28"/>
      <w:lang w:val="en-US" w:eastAsia="zh-CN" w:bidi="ar-SA"/>
    </w:rPr>
  </w:style>
  <w:style w:type="character" w:customStyle="1" w:styleId="67">
    <w:name w:val="页眉 Char1"/>
    <w:link w:val="27"/>
    <w:qFormat/>
    <w:uiPriority w:val="0"/>
    <w:rPr>
      <w:rFonts w:eastAsia="宋体"/>
      <w:kern w:val="2"/>
      <w:sz w:val="18"/>
      <w:szCs w:val="18"/>
      <w:lang w:val="en-US" w:eastAsia="zh-CN" w:bidi="ar-SA"/>
    </w:rPr>
  </w:style>
  <w:style w:type="character" w:customStyle="1" w:styleId="68">
    <w:name w:val="页脚 Char"/>
    <w:link w:val="26"/>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2"/>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4"/>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2"/>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3"/>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3"/>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3"/>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3"/>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3"/>
    <w:link w:val="25"/>
    <w:semiHidden/>
    <w:qFormat/>
    <w:uiPriority w:val="0"/>
    <w:rPr>
      <w:kern w:val="2"/>
      <w:sz w:val="18"/>
      <w:szCs w:val="18"/>
    </w:rPr>
  </w:style>
  <w:style w:type="character" w:customStyle="1" w:styleId="200">
    <w:name w:val="正文文本缩进 3 Char"/>
    <w:basedOn w:val="43"/>
    <w:link w:val="30"/>
    <w:qFormat/>
    <w:uiPriority w:val="0"/>
    <w:rPr>
      <w:kern w:val="2"/>
      <w:sz w:val="16"/>
      <w:szCs w:val="16"/>
    </w:rPr>
  </w:style>
  <w:style w:type="character" w:customStyle="1" w:styleId="201">
    <w:name w:val="HTML 预设格式 Char"/>
    <w:basedOn w:val="43"/>
    <w:link w:val="34"/>
    <w:qFormat/>
    <w:uiPriority w:val="0"/>
    <w:rPr>
      <w:rFonts w:ascii="黑体" w:hAnsi="Courier New" w:eastAsia="黑体" w:cs="Courier New"/>
    </w:rPr>
  </w:style>
  <w:style w:type="character" w:customStyle="1" w:styleId="202">
    <w:name w:val="批注主题 Char"/>
    <w:basedOn w:val="168"/>
    <w:link w:val="38"/>
    <w:semiHidden/>
    <w:qFormat/>
    <w:uiPriority w:val="0"/>
    <w:rPr>
      <w:rFonts w:eastAsia="宋体"/>
      <w:b/>
      <w:bCs/>
      <w:kern w:val="2"/>
      <w:sz w:val="24"/>
      <w:szCs w:val="24"/>
      <w:lang w:val="en-US" w:eastAsia="zh-CN" w:bidi="ar-SA"/>
    </w:rPr>
  </w:style>
  <w:style w:type="character" w:customStyle="1" w:styleId="203">
    <w:name w:val="正文首行缩进 Char"/>
    <w:basedOn w:val="163"/>
    <w:link w:val="39"/>
    <w:qFormat/>
    <w:uiPriority w:val="0"/>
    <w:rPr>
      <w:rFonts w:eastAsia="仿宋_GB2312"/>
      <w:kern w:val="2"/>
      <w:sz w:val="21"/>
      <w:szCs w:val="24"/>
      <w:lang w:val="en-US" w:eastAsia="zh-CN" w:bidi="ar-SA"/>
    </w:rPr>
  </w:style>
  <w:style w:type="character" w:customStyle="1" w:styleId="204">
    <w:name w:val="正文首行缩进 2 Char"/>
    <w:basedOn w:val="65"/>
    <w:link w:val="40"/>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3"/>
    <w:qFormat/>
    <w:uiPriority w:val="0"/>
    <w:rPr>
      <w:rFonts w:hint="eastAsia" w:ascii="宋体" w:hAnsi="宋体" w:eastAsia="宋体" w:cs="宋体"/>
      <w:color w:val="000000"/>
      <w:sz w:val="22"/>
      <w:szCs w:val="22"/>
      <w:u w:val="none"/>
    </w:rPr>
  </w:style>
  <w:style w:type="character" w:customStyle="1" w:styleId="267">
    <w:name w:val="font11"/>
    <w:basedOn w:val="43"/>
    <w:qFormat/>
    <w:uiPriority w:val="0"/>
    <w:rPr>
      <w:rFonts w:hint="eastAsia" w:ascii="宋体" w:hAnsi="宋体" w:eastAsia="宋体" w:cs="宋体"/>
      <w:color w:val="FF0000"/>
      <w:sz w:val="22"/>
      <w:szCs w:val="22"/>
      <w:u w:val="none"/>
    </w:rPr>
  </w:style>
  <w:style w:type="character" w:customStyle="1" w:styleId="268">
    <w:name w:val="font41"/>
    <w:basedOn w:val="43"/>
    <w:qFormat/>
    <w:uiPriority w:val="0"/>
    <w:rPr>
      <w:rFonts w:hint="default" w:ascii="等线" w:hAnsi="等线" w:eastAsia="等线" w:cs="等线"/>
      <w:color w:val="FF0000"/>
      <w:sz w:val="22"/>
      <w:szCs w:val="22"/>
      <w:u w:val="none"/>
    </w:rPr>
  </w:style>
  <w:style w:type="character" w:customStyle="1" w:styleId="269">
    <w:name w:val="font21"/>
    <w:basedOn w:val="43"/>
    <w:qFormat/>
    <w:uiPriority w:val="0"/>
    <w:rPr>
      <w:rFonts w:hint="default" w:ascii="等线" w:hAnsi="等线" w:eastAsia="等线" w:cs="等线"/>
      <w:color w:val="000000"/>
      <w:sz w:val="22"/>
      <w:szCs w:val="22"/>
      <w:u w:val="none"/>
    </w:rPr>
  </w:style>
  <w:style w:type="character" w:customStyle="1" w:styleId="270">
    <w:name w:val="font51"/>
    <w:basedOn w:val="43"/>
    <w:qFormat/>
    <w:uiPriority w:val="0"/>
    <w:rPr>
      <w:rFonts w:hint="default" w:ascii="等线" w:hAnsi="等线" w:eastAsia="等线" w:cs="等线"/>
      <w:color w:val="FF0000"/>
      <w:sz w:val="22"/>
      <w:szCs w:val="22"/>
      <w:u w:val="none"/>
    </w:rPr>
  </w:style>
  <w:style w:type="character" w:customStyle="1" w:styleId="271">
    <w:name w:val="font61"/>
    <w:basedOn w:val="43"/>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3"/>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3"/>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5"/>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样式3"/>
    <w:basedOn w:val="22"/>
    <w:qFormat/>
    <w:uiPriority w:val="99"/>
    <w:pPr>
      <w:spacing w:line="240" w:lineRule="atLeast"/>
      <w:outlineLvl w:val="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oleObject" Target="embeddings/oleObject4.bin"/><Relationship Id="rId62" Type="http://schemas.openxmlformats.org/officeDocument/2006/relationships/image" Target="media/image39.emf"/><Relationship Id="rId61" Type="http://schemas.openxmlformats.org/officeDocument/2006/relationships/oleObject" Target="embeddings/oleObject3.bin"/><Relationship Id="rId60" Type="http://schemas.openxmlformats.org/officeDocument/2006/relationships/image" Target="media/image38.emf"/><Relationship Id="rId6" Type="http://schemas.openxmlformats.org/officeDocument/2006/relationships/footer" Target="footer2.xml"/><Relationship Id="rId59" Type="http://schemas.openxmlformats.org/officeDocument/2006/relationships/oleObject" Target="embeddings/oleObject2.bin"/><Relationship Id="rId58" Type="http://schemas.openxmlformats.org/officeDocument/2006/relationships/image" Target="media/image37.emf"/><Relationship Id="rId57" Type="http://schemas.openxmlformats.org/officeDocument/2006/relationships/oleObject" Target="embeddings/oleObject1.bin"/><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1" textRotate="1"/>
    <customShpInfo spid="_x0000_s2052" textRotate="1"/>
    <customShpInfo spid="_x0000_s2053" textRotate="1"/>
    <customShpInfo spid="_x0000_s2054" textRotate="1"/>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D7CB19-AE5D-41FA-A415-0A7479D6DDA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53221</Words>
  <Characters>57511</Characters>
  <Lines>469</Lines>
  <Paragraphs>132</Paragraphs>
  <TotalTime>4</TotalTime>
  <ScaleCrop>false</ScaleCrop>
  <LinksUpToDate>false</LinksUpToDate>
  <CharactersWithSpaces>63087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2023-01-19T03:15:00Z</dcterms:created>
  <dc:creator>USER</dc:creator>
  <cp:lastModifiedBy>ASUS</cp:lastModifiedBy>
  <cp:lastPrinted>2022-12-27T06:46:00Z</cp:lastPrinted>
  <dcterms:modified xsi:type="dcterms:W3CDTF">2023-01-19T07:41:20Z</dcterms:modified>
  <dc:title>绍兴文理学院计算机机房设备及录播系统供货项目</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