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rPr>
      </w:pPr>
      <w:r>
        <w:rPr>
          <w:rFonts w:hint="eastAsia" w:ascii="仿宋" w:hAnsi="仿宋" w:eastAsia="仿宋" w:cs="仿宋"/>
          <w:b/>
          <w:kern w:val="2"/>
          <w:sz w:val="48"/>
          <w:szCs w:val="48"/>
          <w:lang w:val="en-US" w:eastAsia="zh-CN" w:bidi="ar-SA"/>
        </w:rPr>
        <w:t>绍兴市人民医院脑卒中高危人群筛查与干预项目快速检测随诊包及配套服务采购项目</w:t>
      </w:r>
    </w:p>
    <w:p>
      <w:pPr>
        <w:pStyle w:val="2"/>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9"/>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w:t>
            </w:r>
            <w:r>
              <w:rPr>
                <w:rFonts w:hint="eastAsia" w:ascii="仿宋" w:hAnsi="仿宋" w:eastAsia="仿宋" w:cs="仿宋"/>
                <w:sz w:val="28"/>
                <w:u w:val="none"/>
                <w:lang w:val="en-US" w:eastAsia="zh-CN"/>
              </w:rPr>
              <w:t>C</w:t>
            </w:r>
            <w:r>
              <w:rPr>
                <w:rFonts w:hint="eastAsia" w:ascii="仿宋" w:hAnsi="仿宋" w:eastAsia="仿宋" w:cs="仿宋"/>
                <w:sz w:val="28"/>
                <w:u w:val="none"/>
              </w:rPr>
              <w:t>-202</w:t>
            </w:r>
            <w:r>
              <w:rPr>
                <w:rFonts w:hint="eastAsia" w:ascii="仿宋" w:hAnsi="仿宋" w:eastAsia="仿宋" w:cs="仿宋"/>
                <w:sz w:val="28"/>
                <w:u w:val="none"/>
                <w:lang w:val="en-US" w:eastAsia="zh-CN"/>
              </w:rPr>
              <w:t>2</w:t>
            </w:r>
            <w:r>
              <w:rPr>
                <w:rFonts w:hint="eastAsia" w:ascii="仿宋" w:hAnsi="仿宋" w:eastAsia="仿宋" w:cs="仿宋"/>
                <w:sz w:val="28"/>
                <w:u w:val="none"/>
              </w:rPr>
              <w:t>-</w:t>
            </w:r>
            <w:r>
              <w:rPr>
                <w:rFonts w:hint="eastAsia" w:ascii="仿宋" w:hAnsi="仿宋" w:eastAsia="仿宋" w:cs="仿宋"/>
                <w:sz w:val="28"/>
                <w:u w:val="none"/>
                <w:lang w:val="en-US" w:eastAsia="zh-CN"/>
              </w:rPr>
              <w:t>030</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2022</w:t>
      </w:r>
      <w:r>
        <w:rPr>
          <w:rFonts w:hint="eastAsia" w:ascii="仿宋" w:hAnsi="仿宋" w:eastAsia="仿宋" w:cs="仿宋"/>
          <w:sz w:val="28"/>
        </w:rPr>
        <w:t>年</w:t>
      </w:r>
      <w:r>
        <w:rPr>
          <w:rFonts w:hint="eastAsia" w:ascii="仿宋" w:hAnsi="仿宋" w:eastAsia="仿宋" w:cs="仿宋"/>
          <w:sz w:val="28"/>
          <w:u w:val="single"/>
          <w:lang w:val="en-US" w:eastAsia="zh-CN"/>
        </w:rPr>
        <w:t>3</w:t>
      </w:r>
      <w:r>
        <w:rPr>
          <w:rFonts w:hint="eastAsia" w:ascii="仿宋" w:hAnsi="仿宋" w:eastAsia="仿宋" w:cs="仿宋"/>
          <w:sz w:val="28"/>
        </w:rPr>
        <w:t>月</w:t>
      </w:r>
    </w:p>
    <w:p>
      <w:pPr>
        <w:rPr>
          <w:rFonts w:hint="eastAsia" w:ascii="仿宋" w:hAnsi="仿宋" w:eastAsia="仿宋" w:cs="仿宋"/>
          <w:sz w:val="28"/>
        </w:rPr>
      </w:pPr>
    </w:p>
    <w:p>
      <w:pPr>
        <w:pStyle w:val="2"/>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tabs>
          <w:tab w:val="center" w:pos="4592"/>
        </w:tabs>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w:t>
      </w:r>
      <w:r>
        <w:rPr>
          <w:rFonts w:hint="eastAsia" w:ascii="仿宋" w:hAnsi="仿宋" w:eastAsia="仿宋" w:cs="仿宋"/>
          <w:bCs/>
          <w:color w:val="000000"/>
          <w:sz w:val="24"/>
          <w:u w:val="single"/>
          <w:lang w:val="en-US" w:eastAsia="zh-CN"/>
        </w:rPr>
        <w:t>C</w:t>
      </w:r>
      <w:r>
        <w:rPr>
          <w:rFonts w:hint="eastAsia" w:ascii="仿宋" w:hAnsi="仿宋" w:eastAsia="仿宋" w:cs="仿宋"/>
          <w:bCs/>
          <w:color w:val="000000"/>
          <w:sz w:val="24"/>
          <w:u w:val="single"/>
        </w:rPr>
        <w:t>-202</w:t>
      </w:r>
      <w:r>
        <w:rPr>
          <w:rFonts w:hint="eastAsia" w:ascii="仿宋" w:hAnsi="仿宋" w:eastAsia="仿宋" w:cs="仿宋"/>
          <w:bCs/>
          <w:color w:val="000000"/>
          <w:sz w:val="24"/>
          <w:u w:val="single"/>
          <w:lang w:val="en-US" w:eastAsia="zh-CN"/>
        </w:rPr>
        <w:t>2</w:t>
      </w:r>
      <w:r>
        <w:rPr>
          <w:rFonts w:hint="eastAsia" w:ascii="仿宋" w:hAnsi="仿宋" w:eastAsia="仿宋" w:cs="仿宋"/>
          <w:bCs/>
          <w:color w:val="000000"/>
          <w:sz w:val="24"/>
          <w:u w:val="single"/>
        </w:rPr>
        <w:t>-</w:t>
      </w:r>
      <w:r>
        <w:rPr>
          <w:rFonts w:hint="eastAsia" w:ascii="仿宋" w:hAnsi="仿宋" w:eastAsia="仿宋" w:cs="仿宋"/>
          <w:bCs/>
          <w:color w:val="000000"/>
          <w:sz w:val="24"/>
          <w:u w:val="single"/>
          <w:lang w:val="en-US" w:eastAsia="zh-CN"/>
        </w:rPr>
        <w:t xml:space="preserve">030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rPr>
      </w:pPr>
      <w:r>
        <w:rPr>
          <w:rFonts w:hint="eastAsia" w:ascii="仿宋" w:hAnsi="仿宋" w:eastAsia="仿宋"/>
          <w:b/>
          <w:color w:val="auto"/>
          <w:sz w:val="24"/>
          <w:lang w:val="en-US" w:eastAsia="zh-CN"/>
        </w:rPr>
        <w:t xml:space="preserve">  </w:t>
      </w:r>
      <w:r>
        <w:rPr>
          <w:rFonts w:hint="eastAsia" w:ascii="仿宋" w:hAnsi="仿宋" w:eastAsia="仿宋" w:cs="仿宋"/>
          <w:b/>
          <w:color w:val="auto"/>
          <w:sz w:val="24"/>
          <w:szCs w:val="24"/>
          <w:lang w:val="en-US" w:eastAsia="zh-CN"/>
        </w:rPr>
        <w:t>绍兴市人民医院脑卒中高危人群筛查与干预项目快速检测随诊包及配套服务采购项目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eastAsia="zh-CN"/>
              </w:rPr>
              <w:t>脑卒中高危人群筛查与干预项目快速检测随诊包及配套服务采购</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￥585000</w:t>
            </w:r>
            <w:r>
              <w:rPr>
                <w:rFonts w:hint="eastAsia" w:ascii="仿宋" w:hAnsi="仿宋" w:eastAsia="仿宋" w:cs="仿宋"/>
                <w:color w:val="000000"/>
                <w:szCs w:val="21"/>
                <w:highlight w:val="none"/>
                <w:lang w:val="en-US" w:eastAsia="zh-CN"/>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自公告之日起至2022年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3.报名时需提供：营业执照副本复印件、授权委托书（需体现项目名称及标段）、法定代表人（授权委托人）及被授权人身份证复印件、联系方式、邮箱等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2022</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
        <w:jc w:val="both"/>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绍兴市人民医院脑卒中高危人群筛查与干预项目快速检测随诊包及配套服务采购项目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highlight w:val="none"/>
              </w:rPr>
              <w:t>是否提供样品：</w:t>
            </w:r>
            <w:r>
              <w:rPr>
                <w:rFonts w:hint="eastAsia" w:ascii="仿宋" w:hAnsi="仿宋" w:eastAsia="仿宋" w:cs="仿宋"/>
                <w:b w:val="0"/>
                <w:bCs/>
                <w:color w:val="auto"/>
                <w:sz w:val="24"/>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w:t>
            </w:r>
            <w:r>
              <w:rPr>
                <w:rFonts w:hint="eastAsia" w:ascii="仿宋" w:hAnsi="仿宋" w:eastAsia="仿宋" w:cs="仿宋"/>
                <w:color w:val="000000" w:themeColor="text1"/>
                <w:sz w:val="24"/>
                <w:highlight w:val="none"/>
                <w14:textFill>
                  <w14:solidFill>
                    <w14:schemeClr w14:val="tx1"/>
                  </w14:solidFill>
                </w14:textFill>
              </w:rPr>
              <w:t>目</w:t>
            </w:r>
            <w:r>
              <w:rPr>
                <w:rFonts w:hint="eastAsia" w:ascii="仿宋" w:hAnsi="仿宋" w:eastAsia="仿宋" w:cs="仿宋"/>
                <w:color w:val="auto"/>
                <w:sz w:val="24"/>
                <w:highlight w:val="none"/>
                <w:lang w:val="en-US" w:eastAsia="zh-CN"/>
              </w:rPr>
              <w:t>允许</w:t>
            </w:r>
            <w:r>
              <w:rPr>
                <w:rFonts w:hint="eastAsia" w:ascii="仿宋" w:hAnsi="仿宋" w:eastAsia="仿宋" w:cs="仿宋"/>
                <w:color w:val="000000" w:themeColor="text1"/>
                <w:sz w:val="24"/>
                <w:highlight w:val="none"/>
                <w14:textFill>
                  <w14:solidFill>
                    <w14:schemeClr w14:val="tx1"/>
                  </w14:solidFill>
                </w14:textFill>
              </w:rPr>
              <w:t>采购进口</w:t>
            </w:r>
            <w:r>
              <w:rPr>
                <w:rFonts w:hint="eastAsia" w:ascii="仿宋" w:hAnsi="仿宋" w:eastAsia="仿宋" w:cs="仿宋"/>
                <w:color w:val="000000" w:themeColor="text1"/>
                <w:sz w:val="24"/>
                <w14:textFill>
                  <w14:solidFill>
                    <w14:schemeClr w14:val="tx1"/>
                  </w14:solidFill>
                </w14:textFill>
              </w:rPr>
              <w:t>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w:t>
      </w:r>
      <w:r>
        <w:rPr>
          <w:rFonts w:hint="eastAsia" w:ascii="仿宋" w:eastAsia="仿宋"/>
          <w:color w:val="000000"/>
          <w:sz w:val="24"/>
          <w:highlight w:val="none"/>
          <w:lang w:val="en-US" w:eastAsia="zh-CN"/>
        </w:rPr>
        <w:t>10</w:t>
      </w:r>
      <w:r>
        <w:rPr>
          <w:rFonts w:ascii="仿宋" w:eastAsia="仿宋"/>
          <w:color w:val="000000"/>
          <w:sz w:val="24"/>
          <w:highlight w:val="none"/>
        </w:rPr>
        <w:t xml:space="preserve">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 xml:space="preserve">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w:t>
      </w:r>
      <w:r>
        <w:rPr>
          <w:rFonts w:hint="eastAsia" w:ascii="仿宋" w:eastAsia="仿宋"/>
          <w:color w:val="000000"/>
          <w:sz w:val="24"/>
          <w:highlight w:val="none"/>
          <w:lang w:val="en-US" w:eastAsia="zh-CN"/>
        </w:rPr>
        <w:t>3</w:t>
      </w:r>
      <w:r>
        <w:rPr>
          <w:rFonts w:ascii="仿宋" w:eastAsia="仿宋"/>
          <w:color w:val="000000"/>
          <w:sz w:val="24"/>
          <w:highlight w:val="none"/>
        </w:rPr>
        <w:t>%的扣除，用扣除后的价格参加评审。联合体各方均为小型、微型企业的，联合体视同为小型、微型企业。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格式自拟）；</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w:t>
      </w:r>
      <w:r>
        <w:rPr>
          <w:rFonts w:hint="eastAsia" w:ascii="仿宋" w:hAnsi="仿宋" w:eastAsia="仿宋" w:cs="仿宋"/>
          <w:color w:val="auto"/>
          <w:sz w:val="24"/>
          <w:lang w:val="en-US" w:eastAsia="zh-CN"/>
        </w:rPr>
        <w:t>2.5</w:t>
      </w:r>
      <w:r>
        <w:rPr>
          <w:rFonts w:hint="eastAsia" w:ascii="仿宋" w:hAnsi="仿宋" w:eastAsia="仿宋" w:cs="仿宋"/>
          <w:color w:val="auto"/>
          <w:sz w:val="24"/>
        </w:rPr>
        <w:t>%。</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2"/>
        <w:rPr>
          <w:rFonts w:hint="eastAsia"/>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0"/>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绍兴市人民医院脑卒中高危人群筛查与干预项目快速检测随诊包及配套服务采购项目</w:t>
      </w:r>
      <w:r>
        <w:rPr>
          <w:rFonts w:hint="eastAsia" w:ascii="仿宋" w:hAnsi="仿宋" w:eastAsia="仿宋"/>
          <w:b/>
          <w:color w:val="000000" w:themeColor="text1"/>
          <w:sz w:val="24"/>
          <w14:textFill>
            <w14:solidFill>
              <w14:schemeClr w14:val="tx1"/>
            </w14:solidFill>
          </w14:textFill>
        </w:rPr>
        <w:t>一、标段名称</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预算金额</w:t>
      </w:r>
    </w:p>
    <w:tbl>
      <w:tblPr>
        <w:tblStyle w:val="23"/>
        <w:tblW w:w="9287" w:type="dxa"/>
        <w:jc w:val="center"/>
        <w:tblLayout w:type="autofit"/>
        <w:tblCellMar>
          <w:top w:w="0" w:type="dxa"/>
          <w:left w:w="108" w:type="dxa"/>
          <w:bottom w:w="0" w:type="dxa"/>
          <w:right w:w="108" w:type="dxa"/>
        </w:tblCellMar>
      </w:tblPr>
      <w:tblGrid>
        <w:gridCol w:w="1774"/>
        <w:gridCol w:w="2138"/>
        <w:gridCol w:w="1264"/>
        <w:gridCol w:w="1276"/>
        <w:gridCol w:w="1559"/>
        <w:gridCol w:w="1276"/>
      </w:tblGrid>
      <w:tr>
        <w:tblPrEx>
          <w:tblCellMar>
            <w:top w:w="0" w:type="dxa"/>
            <w:left w:w="108" w:type="dxa"/>
            <w:bottom w:w="0" w:type="dxa"/>
            <w:right w:w="108" w:type="dxa"/>
          </w:tblCellMar>
        </w:tblPrEx>
        <w:trPr>
          <w:trHeight w:val="668" w:hRule="atLeast"/>
          <w:jc w:val="center"/>
        </w:trPr>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标段名称</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产品明细</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单位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上限单价（元/人份）</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宋体"/>
                <w:b/>
                <w:bCs/>
                <w:kern w:val="0"/>
                <w:szCs w:val="21"/>
              </w:rPr>
            </w:pPr>
            <w:r>
              <w:rPr>
                <w:rFonts w:hint="eastAsia" w:ascii="仿宋" w:hAnsi="仿宋" w:eastAsia="仿宋" w:cs="宋体"/>
                <w:b/>
                <w:bCs/>
                <w:kern w:val="0"/>
                <w:szCs w:val="21"/>
              </w:rPr>
              <w:t>预估数量</w:t>
            </w:r>
          </w:p>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lang w:eastAsia="zh-CN"/>
              </w:rPr>
              <w:t>（</w:t>
            </w:r>
            <w:r>
              <w:rPr>
                <w:rFonts w:hint="eastAsia" w:ascii="仿宋" w:hAnsi="仿宋" w:eastAsia="仿宋" w:cs="宋体"/>
                <w:b/>
                <w:bCs/>
                <w:kern w:val="0"/>
                <w:szCs w:val="21"/>
              </w:rPr>
              <w:t>2年</w:t>
            </w:r>
            <w:r>
              <w:rPr>
                <w:rFonts w:hint="eastAsia" w:ascii="仿宋" w:hAnsi="仿宋" w:eastAsia="仿宋" w:cs="宋体"/>
                <w:b/>
                <w:bCs/>
                <w:kern w:val="0"/>
                <w:szCs w:val="21"/>
                <w:lang w:eastAsia="zh-CN"/>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宋体"/>
                <w:b/>
                <w:bCs/>
                <w:kern w:val="0"/>
                <w:szCs w:val="21"/>
              </w:rPr>
            </w:pPr>
            <w:r>
              <w:rPr>
                <w:rFonts w:hint="eastAsia" w:ascii="仿宋" w:hAnsi="仿宋" w:eastAsia="仿宋" w:cs="宋体"/>
                <w:b/>
                <w:bCs/>
                <w:kern w:val="0"/>
                <w:szCs w:val="21"/>
              </w:rPr>
              <w:t>是否需要</w:t>
            </w:r>
          </w:p>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配套设备</w:t>
            </w:r>
          </w:p>
        </w:tc>
      </w:tr>
      <w:tr>
        <w:tblPrEx>
          <w:tblCellMar>
            <w:top w:w="0" w:type="dxa"/>
            <w:left w:w="108" w:type="dxa"/>
            <w:bottom w:w="0" w:type="dxa"/>
            <w:right w:w="108" w:type="dxa"/>
          </w:tblCellMar>
        </w:tblPrEx>
        <w:trPr>
          <w:trHeight w:val="598" w:hRule="atLeast"/>
          <w:jc w:val="center"/>
        </w:trPr>
        <w:tc>
          <w:tcPr>
            <w:tcW w:w="1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脑卒中高危人群筛查与干预项目快速检测随诊包及配套服务采购</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脂类检测条</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人份</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19.5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color w:val="FF0000"/>
                <w:kern w:val="0"/>
                <w:szCs w:val="21"/>
              </w:rPr>
            </w:pPr>
            <w:r>
              <w:rPr>
                <w:rFonts w:hint="eastAsia" w:ascii="仿宋" w:hAnsi="仿宋" w:eastAsia="仿宋" w:cs="宋体"/>
                <w:color w:val="auto"/>
                <w:kern w:val="0"/>
                <w:szCs w:val="21"/>
              </w:rPr>
              <w:t>9000</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Cs/>
                <w:kern w:val="0"/>
                <w:szCs w:val="21"/>
              </w:rPr>
            </w:pPr>
            <w:r>
              <w:rPr>
                <w:rFonts w:hint="eastAsia" w:ascii="仿宋" w:hAnsi="仿宋" w:eastAsia="仿宋" w:cs="宋体"/>
                <w:bCs/>
                <w:kern w:val="0"/>
                <w:szCs w:val="21"/>
              </w:rPr>
              <w:t>是(包含所有配件、耗品等)</w:t>
            </w:r>
          </w:p>
        </w:tc>
      </w:tr>
      <w:tr>
        <w:tblPrEx>
          <w:tblCellMar>
            <w:top w:w="0" w:type="dxa"/>
            <w:left w:w="108" w:type="dxa"/>
            <w:bottom w:w="0" w:type="dxa"/>
            <w:right w:w="108" w:type="dxa"/>
          </w:tblCellMar>
        </w:tblPrEx>
        <w:trPr>
          <w:trHeight w:val="561"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0"/>
              <w:jc w:val="left"/>
              <w:rPr>
                <w:rFonts w:ascii="仿宋" w:hAnsi="仿宋" w:eastAsia="仿宋" w:cs="宋体"/>
                <w:kern w:val="0"/>
                <w:szCs w:val="21"/>
              </w:rPr>
            </w:pPr>
          </w:p>
        </w:tc>
        <w:tc>
          <w:tcPr>
            <w:tcW w:w="21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血糖检测试纸</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人份</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0.5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9000</w:t>
            </w: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firstLine="400"/>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730" w:hRule="atLeast"/>
          <w:jc w:val="center"/>
        </w:trPr>
        <w:tc>
          <w:tcPr>
            <w:tcW w:w="1774"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0"/>
              <w:jc w:val="left"/>
              <w:rPr>
                <w:rFonts w:ascii="仿宋" w:hAnsi="仿宋" w:eastAsia="仿宋" w:cs="宋体"/>
                <w:kern w:val="0"/>
                <w:szCs w:val="21"/>
              </w:rPr>
            </w:pPr>
          </w:p>
        </w:tc>
        <w:tc>
          <w:tcPr>
            <w:tcW w:w="21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同型半胱氨酸检测试剂盒（酶法）</w:t>
            </w:r>
          </w:p>
        </w:tc>
        <w:tc>
          <w:tcPr>
            <w:tcW w:w="1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人份</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25</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9000</w:t>
            </w: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400"/>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873" w:hRule="atLeast"/>
          <w:jc w:val="center"/>
        </w:trPr>
        <w:tc>
          <w:tcPr>
            <w:tcW w:w="1774"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0"/>
              <w:jc w:val="left"/>
              <w:rPr>
                <w:rFonts w:ascii="仿宋" w:hAnsi="仿宋" w:eastAsia="仿宋" w:cs="宋体"/>
                <w:color w:val="000000"/>
                <w:kern w:val="0"/>
                <w:szCs w:val="21"/>
              </w:rPr>
            </w:pPr>
          </w:p>
        </w:tc>
        <w:tc>
          <w:tcPr>
            <w:tcW w:w="21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糖化血红蛋白试剂盒（免疫散射速率法）</w:t>
            </w:r>
          </w:p>
        </w:tc>
        <w:tc>
          <w:tcPr>
            <w:tcW w:w="1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人份</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20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9000</w:t>
            </w: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firstLine="400"/>
              <w:jc w:val="center"/>
              <w:rPr>
                <w:rFonts w:ascii="仿宋" w:hAnsi="仿宋" w:eastAsia="仿宋" w:cs="宋体"/>
                <w:b/>
                <w:bCs/>
                <w:kern w:val="0"/>
                <w:szCs w:val="21"/>
              </w:rPr>
            </w:pPr>
          </w:p>
        </w:tc>
      </w:tr>
    </w:tbl>
    <w:p>
      <w:pPr>
        <w:rPr>
          <w:rFonts w:hint="eastAsia" w:eastAsia="仿宋"/>
          <w:color w:val="auto"/>
          <w:lang w:eastAsia="zh-CN"/>
        </w:rPr>
      </w:pPr>
      <w:r>
        <w:rPr>
          <w:rFonts w:hint="eastAsia" w:ascii="仿宋" w:hAnsi="仿宋" w:eastAsia="仿宋"/>
          <w:color w:val="auto"/>
          <w:sz w:val="24"/>
        </w:rPr>
        <w:t>备注：根据采购人需求提供相应数量的设备、配件、耗品等；以及免费提供工作人员培训、技术支持（工程师现场全程跟踪）、设备保养维修及升级。保证投标产品及配套服务相关内容货源充足</w:t>
      </w:r>
      <w:r>
        <w:rPr>
          <w:rFonts w:hint="eastAsia" w:ascii="仿宋" w:hAnsi="仿宋" w:eastAsia="仿宋"/>
          <w:color w:val="auto"/>
          <w:sz w:val="24"/>
          <w:lang w:eastAsia="zh-CN"/>
        </w:rPr>
        <w:t>，</w:t>
      </w:r>
      <w:r>
        <w:rPr>
          <w:rFonts w:hint="eastAsia" w:ascii="仿宋" w:hAnsi="仿宋" w:eastAsia="仿宋"/>
          <w:color w:val="auto"/>
          <w:sz w:val="24"/>
          <w:lang w:val="en-US" w:eastAsia="zh-CN"/>
        </w:rPr>
        <w:t>不单独报价</w:t>
      </w:r>
      <w:r>
        <w:rPr>
          <w:rFonts w:hint="eastAsia" w:ascii="仿宋" w:hAnsi="仿宋" w:eastAsia="仿宋"/>
          <w:color w:val="auto"/>
          <w:sz w:val="24"/>
          <w:lang w:eastAsia="zh-CN"/>
        </w:rPr>
        <w:t>。</w:t>
      </w:r>
    </w:p>
    <w:p>
      <w:pPr>
        <w:snapToGrid w:val="0"/>
        <w:spacing w:line="360" w:lineRule="auto"/>
        <w:jc w:val="left"/>
        <w:rPr>
          <w:rFonts w:hint="eastAsia" w:ascii="FangSong_GB2312" w:hAnsi="宋体" w:eastAsia="FangSong_GB2312" w:cs="Arial"/>
          <w:b/>
          <w:bCs/>
          <w:color w:val="auto"/>
          <w:sz w:val="24"/>
        </w:rPr>
      </w:pPr>
    </w:p>
    <w:p>
      <w:pPr>
        <w:snapToGrid w:val="0"/>
        <w:spacing w:line="360" w:lineRule="auto"/>
        <w:jc w:val="left"/>
        <w:rPr>
          <w:rFonts w:hint="eastAsia" w:ascii="仿宋" w:hAnsi="仿宋" w:eastAsia="仿宋" w:cs="FangSong_GB2312"/>
          <w:color w:val="auto"/>
          <w:kern w:val="0"/>
          <w:sz w:val="24"/>
        </w:rPr>
      </w:pPr>
      <w:r>
        <w:rPr>
          <w:rFonts w:hint="eastAsia" w:ascii="FangSong_GB2312" w:hAnsi="宋体" w:eastAsia="FangSong_GB2312" w:cs="Arial"/>
          <w:b/>
          <w:bCs/>
          <w:color w:val="auto"/>
          <w:sz w:val="24"/>
        </w:rPr>
        <w:t>二、其他要求</w:t>
      </w:r>
    </w:p>
    <w:p>
      <w:pPr>
        <w:spacing w:line="420" w:lineRule="exact"/>
        <w:rPr>
          <w:rFonts w:ascii="仿宋" w:hAnsi="仿宋" w:eastAsia="仿宋" w:cs="FangSong_GB2312"/>
          <w:color w:val="auto"/>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w:t>
      </w:r>
      <w:r>
        <w:rPr>
          <w:rFonts w:hint="eastAsia" w:ascii="仿宋" w:hAnsi="仿宋" w:eastAsia="仿宋" w:cs="FangSong_GB2312"/>
          <w:color w:val="auto"/>
          <w:kern w:val="0"/>
          <w:sz w:val="24"/>
          <w:lang w:val="en-US" w:eastAsia="zh-CN"/>
        </w:rPr>
        <w:t>无效标处理</w:t>
      </w:r>
      <w:r>
        <w:rPr>
          <w:rFonts w:hint="eastAsia" w:ascii="仿宋" w:hAnsi="仿宋" w:eastAsia="仿宋" w:cs="FangSong_GB2312"/>
          <w:color w:val="auto"/>
          <w:kern w:val="0"/>
          <w:sz w:val="24"/>
          <w:lang w:val="zh-CN"/>
        </w:rPr>
        <w:t>。</w:t>
      </w:r>
    </w:p>
    <w:p>
      <w:pPr>
        <w:snapToGrid w:val="0"/>
        <w:spacing w:line="440" w:lineRule="exact"/>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cs="FangSong_GB2312"/>
          <w:kern w:val="0"/>
          <w:sz w:val="24"/>
          <w:lang w:val="zh-CN"/>
        </w:rPr>
      </w:pPr>
      <w:r>
        <w:rPr>
          <w:rFonts w:hint="eastAsia" w:ascii="仿宋" w:hAnsi="仿宋" w:eastAsia="仿宋" w:cs="FangSong_GB2312"/>
          <w:color w:val="000000"/>
          <w:kern w:val="0"/>
          <w:sz w:val="24"/>
          <w:lang w:val="zh-CN"/>
        </w:rPr>
        <w:t>3</w:t>
      </w:r>
      <w:r>
        <w:rPr>
          <w:rFonts w:hint="eastAsia" w:ascii="仿宋" w:hAnsi="仿宋" w:eastAsia="仿宋" w:cs="FangSong_GB2312"/>
          <w:kern w:val="0"/>
          <w:sz w:val="24"/>
          <w:lang w:val="zh-CN"/>
        </w:rPr>
        <w:t>.</w:t>
      </w:r>
      <w:r>
        <w:rPr>
          <w:rFonts w:hint="eastAsia" w:ascii="仿宋" w:hAnsi="仿宋" w:eastAsia="仿宋"/>
          <w:sz w:val="24"/>
        </w:rPr>
        <w:t xml:space="preserve"> 投标人需承诺</w:t>
      </w:r>
      <w:r>
        <w:rPr>
          <w:rFonts w:hint="eastAsia" w:ascii="仿宋" w:hAnsi="仿宋" w:eastAsia="仿宋"/>
          <w:sz w:val="24"/>
          <w:szCs w:val="24"/>
        </w:rPr>
        <w:t>能够提供冷链运输服务</w:t>
      </w:r>
      <w:r>
        <w:rPr>
          <w:rFonts w:ascii="仿宋" w:hAnsi="仿宋" w:eastAsia="仿宋"/>
          <w:sz w:val="24"/>
        </w:rPr>
        <w:t>。</w:t>
      </w:r>
    </w:p>
    <w:p>
      <w:pPr>
        <w:snapToGrid w:val="0"/>
        <w:spacing w:line="440" w:lineRule="exact"/>
        <w:jc w:val="left"/>
        <w:rPr>
          <w:rFonts w:ascii="仿宋" w:hAnsi="仿宋" w:eastAsia="仿宋"/>
          <w:kern w:val="0"/>
          <w:sz w:val="24"/>
        </w:rPr>
      </w:pPr>
      <w:r>
        <w:rPr>
          <w:rFonts w:hint="eastAsia" w:ascii="仿宋" w:hAnsi="仿宋" w:eastAsia="仿宋" w:cs="FangSong_GB2312"/>
          <w:kern w:val="0"/>
          <w:sz w:val="24"/>
          <w:lang w:val="zh-CN"/>
        </w:rPr>
        <w:t>4.</w:t>
      </w:r>
      <w:r>
        <w:rPr>
          <w:rFonts w:hint="eastAsia" w:ascii="仿宋" w:hAnsi="仿宋" w:eastAsia="仿宋"/>
          <w:kern w:val="0"/>
          <w:sz w:val="24"/>
        </w:rPr>
        <w:t>付款方式：合同生效且具备实施条件后</w:t>
      </w:r>
      <w:r>
        <w:rPr>
          <w:rFonts w:hint="eastAsia" w:ascii="仿宋" w:hAnsi="仿宋" w:eastAsia="仿宋"/>
          <w:kern w:val="0"/>
          <w:sz w:val="24"/>
          <w:lang w:val="en-US" w:eastAsia="zh-CN"/>
        </w:rPr>
        <w:t>7个工作日</w:t>
      </w:r>
      <w:r>
        <w:rPr>
          <w:rFonts w:hint="eastAsia" w:ascii="仿宋" w:hAnsi="仿宋" w:eastAsia="仿宋"/>
          <w:kern w:val="0"/>
          <w:sz w:val="24"/>
        </w:rPr>
        <w:t>内支付合</w:t>
      </w:r>
      <w:r>
        <w:rPr>
          <w:rFonts w:ascii="仿宋" w:hAnsi="仿宋" w:eastAsia="仿宋"/>
          <w:kern w:val="0"/>
          <w:sz w:val="24"/>
        </w:rPr>
        <w:t>同金额的</w:t>
      </w:r>
      <w:r>
        <w:rPr>
          <w:rFonts w:hint="eastAsia" w:ascii="仿宋" w:hAnsi="仿宋" w:eastAsia="仿宋"/>
          <w:kern w:val="0"/>
          <w:sz w:val="24"/>
        </w:rPr>
        <w:t>40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tabs>
          <w:tab w:val="left" w:pos="3870"/>
          <w:tab w:val="left" w:pos="4085"/>
        </w:tabs>
        <w:snapToGrid w:val="0"/>
        <w:spacing w:line="360" w:lineRule="auto"/>
        <w:jc w:val="left"/>
        <w:rPr>
          <w:rFonts w:ascii="仿宋" w:hAnsi="仿宋" w:eastAsia="仿宋"/>
          <w:sz w:val="24"/>
        </w:rPr>
      </w:pPr>
      <w:r>
        <w:rPr>
          <w:rFonts w:hint="eastAsia" w:ascii="仿宋" w:hAnsi="仿宋" w:eastAsia="仿宋"/>
          <w:kern w:val="0"/>
          <w:sz w:val="24"/>
        </w:rPr>
        <w:t>5.到货期：中标供应商需与医院物资供应链系统连接，在医院发出采购需求后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6.合同期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7.中标产品能够提供浙江省药械采购平台代码，并能在浙江省药械采购平台上线采购。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8.</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snapToGrid w:val="0"/>
        <w:spacing w:line="440" w:lineRule="exact"/>
        <w:jc w:val="left"/>
        <w:rPr>
          <w:rFonts w:ascii="仿宋" w:hAnsi="仿宋" w:eastAsia="仿宋"/>
          <w:kern w:val="0"/>
          <w:sz w:val="24"/>
        </w:rPr>
      </w:pPr>
      <w:r>
        <w:rPr>
          <w:rFonts w:hint="eastAsia" w:ascii="仿宋" w:hAnsi="仿宋" w:eastAsia="仿宋"/>
          <w:kern w:val="0"/>
          <w:sz w:val="24"/>
        </w:rPr>
        <w:t>9.合同期内若遇中标产品价格统一下调，中标单位需主动向医院申报并下调交易价格，医院不定期进行抽查，发现未主动申报下调价格，将在履约保证金中加倍扣除相应的金额。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color w:val="000000"/>
          <w:kern w:val="0"/>
          <w:sz w:val="24"/>
        </w:rPr>
        <w:t>10.</w:t>
      </w:r>
      <w:r>
        <w:rPr>
          <w:rFonts w:hint="eastAsia" w:ascii="仿宋" w:hAnsi="仿宋" w:eastAsia="仿宋"/>
          <w:kern w:val="0"/>
          <w:sz w:val="24"/>
        </w:rPr>
        <w:t>配套服务需求（根据实际情况）</w:t>
      </w:r>
    </w:p>
    <w:p>
      <w:pPr>
        <w:spacing w:line="560" w:lineRule="exact"/>
        <w:jc w:val="left"/>
        <w:rPr>
          <w:rFonts w:ascii="仿宋" w:hAnsi="仿宋" w:eastAsia="仿宋"/>
          <w:color w:val="auto"/>
          <w:kern w:val="0"/>
          <w:sz w:val="24"/>
        </w:rPr>
      </w:pPr>
      <w:r>
        <w:rPr>
          <w:rFonts w:hint="eastAsia" w:ascii="仿宋" w:hAnsi="仿宋" w:eastAsia="仿宋"/>
          <w:color w:val="000000"/>
          <w:kern w:val="0"/>
          <w:sz w:val="24"/>
        </w:rPr>
        <w:t>11.投标人需对本投标单位所投标产品提供有效测试数(注:有效测试数是指投标人提供的临床科室在用仪器上的可实际测试数；该产品价格=测试价格*有效测试数)。测试期内</w:t>
      </w:r>
      <w:r>
        <w:rPr>
          <w:rFonts w:hint="eastAsia" w:ascii="仿宋" w:hAnsi="仿宋" w:eastAsia="仿宋"/>
          <w:color w:val="auto"/>
          <w:kern w:val="0"/>
          <w:sz w:val="24"/>
        </w:rPr>
        <w:t>（</w:t>
      </w:r>
      <w:r>
        <w:rPr>
          <w:rFonts w:hint="eastAsia" w:ascii="FangSong_GB2312" w:hAnsi="仿宋" w:eastAsia="FangSong_GB2312"/>
          <w:bCs/>
          <w:iCs/>
          <w:color w:val="auto"/>
          <w:sz w:val="24"/>
        </w:rPr>
        <w:t>临床科室的实际测试数达不到投标单位提供的有效测试数（实测数的负偏差≤2%）</w:t>
      </w:r>
      <w:r>
        <w:rPr>
          <w:rFonts w:hint="eastAsia" w:ascii="仿宋" w:hAnsi="仿宋" w:eastAsia="仿宋"/>
          <w:color w:val="auto"/>
          <w:kern w:val="0"/>
          <w:sz w:val="24"/>
        </w:rPr>
        <w:t>，则对中标企业采取以下处罚措施：</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（1）罚没该标段下的履约保证金；</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（2）测试期内产生的试剂费用由中标企业承担；</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（3）原则上该标段作废标处理；</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（4）重新组织招标后,两家公司交接阶段产生的损失由原中标单位承担。</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13.履约保证金罚没风险:</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（1）投标人在投标过程中弄虚作假，提供虚假材料的；</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（2）中标人在合同期内将中标项目转让给他人或者分包给他人的；</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（3）中标人拒绝履行合同义务的；</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（4）中标人因代理授权不能延续而无法有效覆盖采购周期而造成的违约；</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（5）违背采购文件规定的配送要求或违背中标企业的配送承诺；</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（6）其他违反采购文件及供货合同条款的行为。</w:t>
      </w:r>
    </w:p>
    <w:p>
      <w:pPr>
        <w:autoSpaceDE w:val="0"/>
        <w:autoSpaceDN w:val="0"/>
        <w:adjustRightInd w:val="0"/>
        <w:spacing w:line="460" w:lineRule="atLeast"/>
        <w:rPr>
          <w:rFonts w:hint="eastAsia" w:ascii="仿宋" w:hAnsi="仿宋" w:eastAsia="仿宋"/>
          <w:kern w:val="0"/>
          <w:sz w:val="24"/>
        </w:rPr>
      </w:pPr>
      <w:r>
        <w:rPr>
          <w:rFonts w:hint="eastAsia" w:ascii="仿宋" w:hAnsi="仿宋" w:eastAsia="仿宋"/>
          <w:kern w:val="0"/>
          <w:sz w:val="24"/>
        </w:rPr>
        <w:t>14.售后服务：投标人须提供符合国家相关标准和要求的质量合格产品，满足本项目的售后服务承诺，在此期间，因质量发生的故障，由投标人全权承担，耗材配套工具及设备提供免费更换或维修保养等服务（如有）。</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15.筛查结果须直接上传到国家脑防委数据平台。</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2"/>
        <w:rPr>
          <w:rFonts w:hint="eastAsia" w:ascii="仿宋" w:hAnsi="仿宋" w:eastAsia="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ind w:firstLine="482" w:firstLineChars="200"/>
        <w:jc w:val="left"/>
        <w:rPr>
          <w:rFonts w:hint="eastAsia" w:ascii="仿宋" w:eastAsia="仿宋"/>
          <w:color w:val="auto"/>
          <w:sz w:val="24"/>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r>
        <w:rPr>
          <w:rFonts w:hint="eastAsia" w:ascii="仿宋" w:eastAsia="仿宋"/>
          <w:sz w:val="24"/>
        </w:rPr>
        <w:t>本项目采用</w:t>
      </w:r>
      <w:r>
        <w:rPr>
          <w:rFonts w:hint="eastAsia" w:ascii="仿宋" w:eastAsia="仿宋"/>
          <w:b/>
          <w:bCs/>
          <w:sz w:val="24"/>
        </w:rPr>
        <w:t>最低评标价法</w:t>
      </w:r>
      <w:r>
        <w:rPr>
          <w:rFonts w:hint="eastAsia" w:ascii="仿宋" w:eastAsia="仿宋"/>
          <w:sz w:val="24"/>
        </w:rPr>
        <w:t>，</w:t>
      </w:r>
      <w:r>
        <w:rPr>
          <w:rFonts w:hint="eastAsia" w:ascii="仿宋" w:eastAsia="仿宋"/>
          <w:color w:val="auto"/>
          <w:sz w:val="24"/>
        </w:rPr>
        <w:t>即投标文件满足招标文件全部实质性要求且投标报价最低的投标人为中标候选人。</w:t>
      </w:r>
      <w:r>
        <w:rPr>
          <w:rFonts w:hint="eastAsia" w:ascii="仿宋" w:eastAsia="仿宋"/>
          <w:color w:val="auto"/>
          <w:sz w:val="24"/>
          <w:lang w:eastAsia="zh-CN"/>
        </w:rPr>
        <w:t>最低</w:t>
      </w:r>
      <w:r>
        <w:rPr>
          <w:rFonts w:hint="eastAsia" w:ascii="仿宋" w:eastAsia="仿宋"/>
          <w:color w:val="auto"/>
          <w:sz w:val="24"/>
        </w:rPr>
        <w:t>投标报价相同的</w:t>
      </w:r>
      <w:r>
        <w:rPr>
          <w:rFonts w:ascii="仿宋" w:eastAsia="仿宋"/>
          <w:color w:val="auto"/>
          <w:sz w:val="24"/>
        </w:rPr>
        <w:t>由采购人代表开标现场随机抽签确定。</w:t>
      </w:r>
    </w:p>
    <w:p>
      <w:pPr>
        <w:spacing w:line="440" w:lineRule="exact"/>
        <w:ind w:firstLine="480" w:firstLineChars="200"/>
        <w:jc w:val="left"/>
        <w:rPr>
          <w:rFonts w:ascii="仿宋" w:hAnsi="仿宋" w:eastAsia="仿宋"/>
          <w:sz w:val="24"/>
        </w:rPr>
      </w:pPr>
      <w:r>
        <w:rPr>
          <w:rFonts w:hint="eastAsia" w:ascii="仿宋" w:hAnsi="仿宋" w:eastAsia="仿宋"/>
          <w:sz w:val="24"/>
        </w:rPr>
        <w:t>2.本项目采购预算价即为上限价。投标人的报价高于上限价或单价上限价的，作无效标处理。</w:t>
      </w:r>
    </w:p>
    <w:p>
      <w:pPr>
        <w:spacing w:line="440" w:lineRule="exact"/>
        <w:ind w:firstLine="480" w:firstLineChars="200"/>
        <w:jc w:val="left"/>
        <w:rPr>
          <w:rFonts w:ascii="仿宋" w:hAnsi="仿宋" w:eastAsia="仿宋"/>
          <w:sz w:val="24"/>
        </w:rPr>
      </w:pPr>
      <w:r>
        <w:rPr>
          <w:rFonts w:hint="eastAsia" w:ascii="仿宋" w:hAnsi="仿宋" w:eastAsia="仿宋"/>
          <w:sz w:val="24"/>
        </w:rPr>
        <w:t>3.如果所有有效投标人的报价均超出采购上限价且招标人确认不能支付的，招标人将重新组织招标。</w:t>
      </w:r>
    </w:p>
    <w:p>
      <w:pPr>
        <w:spacing w:line="440" w:lineRule="exact"/>
        <w:ind w:firstLine="480" w:firstLineChars="200"/>
        <w:jc w:val="left"/>
        <w:rPr>
          <w:rFonts w:ascii="仿宋" w:hAnsi="仿宋" w:eastAsia="仿宋"/>
          <w:b/>
          <w:strike w:val="0"/>
          <w:dstrike w:val="0"/>
          <w:color w:val="auto"/>
          <w:sz w:val="24"/>
          <w:highlight w:val="none"/>
        </w:rPr>
      </w:pPr>
      <w:r>
        <w:rPr>
          <w:rFonts w:hint="eastAsia" w:ascii="仿宋" w:hAnsi="仿宋" w:eastAsia="仿宋"/>
          <w:strike w:val="0"/>
          <w:dstrike w:val="0"/>
          <w:color w:val="auto"/>
          <w:sz w:val="24"/>
          <w:highlight w:val="none"/>
        </w:rPr>
        <w:t>4.评标标准：01标，总</w:t>
      </w:r>
      <w:r>
        <w:rPr>
          <w:rFonts w:ascii="仿宋" w:hAnsi="仿宋" w:eastAsia="仿宋"/>
          <w:strike w:val="0"/>
          <w:dstrike w:val="0"/>
          <w:color w:val="auto"/>
          <w:sz w:val="24"/>
          <w:highlight w:val="none"/>
        </w:rPr>
        <w:t>报价</w:t>
      </w:r>
      <w:r>
        <w:rPr>
          <w:rFonts w:hint="eastAsia" w:ascii="仿宋" w:hAnsi="仿宋" w:eastAsia="仿宋"/>
          <w:strike w:val="0"/>
          <w:dstrike w:val="0"/>
          <w:color w:val="auto"/>
          <w:sz w:val="24"/>
          <w:highlight w:val="none"/>
        </w:rPr>
        <w:t>：</w:t>
      </w:r>
      <w:r>
        <w:rPr>
          <w:rFonts w:hint="eastAsia" w:ascii="仿宋" w:hAnsi="仿宋" w:eastAsia="仿宋"/>
          <w:strike w:val="0"/>
          <w:dstrike w:val="0"/>
          <w:color w:val="auto"/>
          <w:sz w:val="24"/>
          <w:highlight w:val="none"/>
          <w:u w:val="single"/>
        </w:rPr>
        <w:t xml:space="preserve">    </w:t>
      </w:r>
      <w:r>
        <w:rPr>
          <w:rFonts w:ascii="仿宋" w:hAnsi="仿宋" w:eastAsia="仿宋"/>
          <w:strike w:val="0"/>
          <w:dstrike w:val="0"/>
          <w:color w:val="auto"/>
          <w:sz w:val="24"/>
          <w:highlight w:val="none"/>
        </w:rPr>
        <w:t>元</w:t>
      </w:r>
      <w:r>
        <w:rPr>
          <w:rFonts w:hint="eastAsia" w:ascii="仿宋" w:hAnsi="仿宋" w:eastAsia="仿宋"/>
          <w:strike w:val="0"/>
          <w:dstrike w:val="0"/>
          <w:color w:val="auto"/>
          <w:sz w:val="24"/>
          <w:highlight w:val="none"/>
        </w:rPr>
        <w:t>(包含“脂类检测条 +血糖检测试纸单价+同型半胱氨酸检测试剂盒（酶法）+糖化血红蛋白试剂盒（免疫散射速率法）)，</w:t>
      </w:r>
      <w:r>
        <w:rPr>
          <w:rFonts w:ascii="仿宋" w:hAnsi="仿宋" w:eastAsia="仿宋"/>
          <w:strike w:val="0"/>
          <w:dstrike w:val="0"/>
          <w:color w:val="auto"/>
          <w:sz w:val="24"/>
          <w:highlight w:val="none"/>
        </w:rPr>
        <w:t>保留两位小数</w:t>
      </w:r>
      <w:r>
        <w:rPr>
          <w:rFonts w:hint="eastAsia" w:ascii="仿宋" w:hAnsi="仿宋" w:eastAsia="仿宋"/>
          <w:strike w:val="0"/>
          <w:dstrike w:val="0"/>
          <w:color w:val="auto"/>
          <w:sz w:val="24"/>
          <w:highlight w:val="none"/>
        </w:rPr>
        <w:t>。</w:t>
      </w:r>
    </w:p>
    <w:p>
      <w:pPr>
        <w:widowControl/>
        <w:snapToGrid w:val="0"/>
        <w:spacing w:line="480" w:lineRule="exact"/>
        <w:ind w:left="0"/>
        <w:rPr>
          <w:rFonts w:hint="eastAsia" w:ascii="仿宋" w:hAnsi="仿宋" w:eastAsia="仿宋" w:cs="仿宋"/>
          <w:bCs/>
          <w:iCs/>
          <w:color w:val="auto"/>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30"/>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0"/>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0"/>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default"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0"/>
        <w:spacing w:after="50" w:afterLines="0" w:line="440" w:lineRule="exact"/>
        <w:rPr>
          <w:rFonts w:hint="eastAsia" w:ascii="仿宋" w:hAnsi="仿宋" w:eastAsia="仿宋" w:cs="仿宋"/>
          <w:szCs w:val="24"/>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5"/>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5"/>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5"/>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5"/>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5"/>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5"/>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5"/>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5"/>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5"/>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3"/>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1"/>
      <w:bookmarkEnd w:id="25"/>
      <w:bookmarkStart w:id="26" w:name="_Toc64369812"/>
      <w:bookmarkEnd w:id="26"/>
      <w:bookmarkStart w:id="27" w:name="_Toc64369806"/>
      <w:bookmarkEnd w:id="27"/>
      <w:bookmarkStart w:id="28" w:name="_Toc64369814"/>
      <w:bookmarkEnd w:id="28"/>
      <w:bookmarkStart w:id="29" w:name="_Toc64369809"/>
      <w:bookmarkEnd w:id="29"/>
      <w:bookmarkStart w:id="30" w:name="_Toc64369813"/>
      <w:bookmarkEnd w:id="30"/>
      <w:bookmarkStart w:id="31" w:name="_Toc64369804"/>
      <w:bookmarkEnd w:id="31"/>
      <w:bookmarkStart w:id="32" w:name="_Toc64369810"/>
      <w:bookmarkEnd w:id="32"/>
      <w:bookmarkStart w:id="33" w:name="_Toc64369805"/>
      <w:bookmarkEnd w:id="33"/>
      <w:bookmarkStart w:id="34" w:name="_Toc64369808"/>
      <w:bookmarkEnd w:id="34"/>
      <w:bookmarkStart w:id="35" w:name="_Toc64369807"/>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w:t>
      </w:r>
      <w:r>
        <w:rPr>
          <w:rFonts w:hint="eastAsia" w:ascii="仿宋" w:hAnsi="仿宋" w:eastAsia="仿宋" w:cs="FangSong_GB2312"/>
          <w:b/>
          <w:color w:val="000000" w:themeColor="text1"/>
          <w:sz w:val="24"/>
          <w:lang w:val="en-US" w:eastAsia="zh-CN"/>
          <w14:textFill>
            <w14:solidFill>
              <w14:schemeClr w14:val="tx1"/>
            </w14:solidFill>
          </w14:textFill>
        </w:rPr>
        <w:t>采购文件要求</w:t>
      </w:r>
      <w:r>
        <w:rPr>
          <w:rFonts w:hint="eastAsia" w:ascii="仿宋" w:hAnsi="仿宋" w:eastAsia="仿宋" w:cs="FangSong_GB2312"/>
          <w:b/>
          <w:color w:val="000000" w:themeColor="text1"/>
          <w:sz w:val="24"/>
          <w14:textFill>
            <w14:solidFill>
              <w14:schemeClr w14:val="tx1"/>
            </w14:solidFill>
          </w14:textFill>
        </w:rPr>
        <w:t>证明</w:t>
      </w:r>
      <w:r>
        <w:rPr>
          <w:rFonts w:hint="eastAsia" w:ascii="仿宋" w:hAnsi="仿宋" w:eastAsia="仿宋" w:cs="FangSong_GB2312"/>
          <w:b/>
          <w:color w:val="000000" w:themeColor="text1"/>
          <w:sz w:val="24"/>
          <w:lang w:val="en-US" w:eastAsia="zh-CN"/>
          <w14:textFill>
            <w14:solidFill>
              <w14:schemeClr w14:val="tx1"/>
            </w14:solidFill>
          </w14:textFill>
        </w:rPr>
        <w:t>材料</w:t>
      </w:r>
      <w:r>
        <w:rPr>
          <w:rFonts w:hint="eastAsia" w:ascii="仿宋" w:hAnsi="仿宋" w:eastAsia="仿宋" w:cs="FangSong_GB2312"/>
          <w:b/>
          <w:color w:val="000000" w:themeColor="text1"/>
          <w:sz w:val="24"/>
          <w14:textFill>
            <w14:solidFill>
              <w14:schemeClr w14:val="tx1"/>
            </w14:solidFill>
          </w14:textFill>
        </w:rPr>
        <w:t>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5"/>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5"/>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rPr>
        <w:t>开标一览表</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盖章</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供应商地址：</w:t>
      </w:r>
      <w:r>
        <w:rPr>
          <w:rFonts w:hint="eastAsia" w:ascii="仿宋" w:hAnsi="仿宋" w:eastAsia="仿宋" w:cs="仿宋"/>
          <w:color w:val="auto"/>
          <w:sz w:val="24"/>
          <w:u w:val="single"/>
        </w:rPr>
        <w:t xml:space="preserve">                                    </w:t>
      </w:r>
    </w:p>
    <w:p>
      <w:pPr>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标段编号：</w:t>
      </w:r>
      <w:r>
        <w:rPr>
          <w:rFonts w:hint="eastAsia" w:ascii="仿宋" w:hAnsi="仿宋" w:eastAsia="仿宋" w:cs="仿宋"/>
          <w:color w:val="auto"/>
          <w:sz w:val="24"/>
          <w:u w:val="single"/>
        </w:rPr>
        <w:t xml:space="preserve">                                      </w:t>
      </w:r>
    </w:p>
    <w:p>
      <w:pPr>
        <w:snapToGrid w:val="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单位：元</w:t>
      </w:r>
    </w:p>
    <w:tbl>
      <w:tblPr>
        <w:tblStyle w:val="23"/>
        <w:tblW w:w="5510" w:type="pct"/>
        <w:jc w:val="center"/>
        <w:tblLayout w:type="fixed"/>
        <w:tblCellMar>
          <w:top w:w="0" w:type="dxa"/>
          <w:left w:w="108" w:type="dxa"/>
          <w:bottom w:w="0" w:type="dxa"/>
          <w:right w:w="108" w:type="dxa"/>
        </w:tblCellMar>
      </w:tblPr>
      <w:tblGrid>
        <w:gridCol w:w="746"/>
        <w:gridCol w:w="1125"/>
        <w:gridCol w:w="1037"/>
        <w:gridCol w:w="1017"/>
        <w:gridCol w:w="988"/>
        <w:gridCol w:w="788"/>
        <w:gridCol w:w="1113"/>
        <w:gridCol w:w="1150"/>
        <w:gridCol w:w="1018"/>
        <w:gridCol w:w="1000"/>
        <w:gridCol w:w="783"/>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序号</w:t>
            </w:r>
          </w:p>
        </w:tc>
        <w:tc>
          <w:tcPr>
            <w:tcW w:w="356"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标段</w:t>
            </w:r>
          </w:p>
          <w:p>
            <w:pPr>
              <w:widowControl/>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名称</w:t>
            </w:r>
          </w:p>
        </w:tc>
        <w:tc>
          <w:tcPr>
            <w:tcW w:w="32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产品</w:t>
            </w:r>
          </w:p>
          <w:p>
            <w:pPr>
              <w:widowControl/>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明细</w:t>
            </w:r>
          </w:p>
        </w:tc>
        <w:tc>
          <w:tcPr>
            <w:tcW w:w="32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投标</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名称</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生产</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企业</w:t>
            </w:r>
          </w:p>
        </w:tc>
        <w:tc>
          <w:tcPr>
            <w:tcW w:w="24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品牌</w:t>
            </w:r>
          </w:p>
        </w:tc>
        <w:tc>
          <w:tcPr>
            <w:tcW w:w="35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医疗器械注册证号</w:t>
            </w:r>
          </w:p>
        </w:tc>
        <w:tc>
          <w:tcPr>
            <w:tcW w:w="36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医疗器械注册证名称</w:t>
            </w:r>
          </w:p>
        </w:tc>
        <w:tc>
          <w:tcPr>
            <w:tcW w:w="32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省平台代码</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规格</w:t>
            </w:r>
          </w:p>
        </w:tc>
        <w:tc>
          <w:tcPr>
            <w:tcW w:w="24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单位</w:t>
            </w:r>
          </w:p>
        </w:tc>
        <w:tc>
          <w:tcPr>
            <w:tcW w:w="30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上限</w:t>
            </w:r>
          </w:p>
          <w:p>
            <w:pPr>
              <w:widowControl/>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rPr>
              <w:t>单价</w:t>
            </w:r>
            <w:r>
              <w:rPr>
                <w:rFonts w:hint="eastAsia" w:ascii="仿宋" w:hAnsi="仿宋" w:eastAsia="仿宋" w:cs="宋体"/>
                <w:color w:val="auto"/>
                <w:kern w:val="0"/>
                <w:sz w:val="21"/>
                <w:szCs w:val="21"/>
                <w:lang w:eastAsia="zh-CN"/>
              </w:rPr>
              <w:t>（</w:t>
            </w:r>
            <w:r>
              <w:rPr>
                <w:rFonts w:hint="eastAsia" w:ascii="仿宋" w:hAnsi="仿宋" w:eastAsia="仿宋" w:cs="宋体"/>
                <w:color w:val="auto"/>
                <w:kern w:val="0"/>
                <w:sz w:val="21"/>
                <w:szCs w:val="21"/>
                <w:lang w:val="en-US" w:eastAsia="zh-CN"/>
              </w:rPr>
              <w:t>元/人份</w:t>
            </w:r>
            <w:r>
              <w:rPr>
                <w:rFonts w:hint="eastAsia" w:ascii="仿宋" w:hAnsi="仿宋" w:eastAsia="仿宋" w:cs="宋体"/>
                <w:color w:val="auto"/>
                <w:kern w:val="0"/>
                <w:sz w:val="21"/>
                <w:szCs w:val="21"/>
                <w:lang w:eastAsia="zh-CN"/>
              </w:rPr>
              <w:t>）</w:t>
            </w:r>
          </w:p>
        </w:tc>
        <w:tc>
          <w:tcPr>
            <w:tcW w:w="348"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参考用量</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（2年）</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投标</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单价</w:t>
            </w:r>
          </w:p>
        </w:tc>
        <w:tc>
          <w:tcPr>
            <w:tcW w:w="300"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金额</w:t>
            </w:r>
          </w:p>
        </w:tc>
        <w:tc>
          <w:tcPr>
            <w:tcW w:w="26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备注</w:t>
            </w:r>
          </w:p>
        </w:tc>
      </w:tr>
      <w:tr>
        <w:tblPrEx>
          <w:tblCellMar>
            <w:top w:w="0" w:type="dxa"/>
            <w:left w:w="108" w:type="dxa"/>
            <w:bottom w:w="0" w:type="dxa"/>
            <w:right w:w="108" w:type="dxa"/>
          </w:tblCellMar>
        </w:tblPrEx>
        <w:trPr>
          <w:trHeight w:val="545"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356" w:type="pct"/>
            <w:vMerge w:val="restart"/>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olor w:val="auto"/>
                <w:sz w:val="21"/>
                <w:szCs w:val="21"/>
              </w:rPr>
            </w:pPr>
            <w:r>
              <w:rPr>
                <w:rFonts w:hint="eastAsia" w:ascii="仿宋" w:hAnsi="仿宋" w:eastAsia="仿宋" w:cs="宋体"/>
                <w:color w:val="auto"/>
                <w:kern w:val="0"/>
                <w:szCs w:val="21"/>
              </w:rPr>
              <w:t>脑卒中高危人群筛查与干预项目快速检测随诊包及配套服务采购</w:t>
            </w: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1"/>
                <w:szCs w:val="21"/>
              </w:rPr>
            </w:pPr>
            <w:r>
              <w:rPr>
                <w:rFonts w:hint="eastAsia" w:ascii="仿宋" w:hAnsi="仿宋" w:eastAsia="仿宋" w:cs="宋体"/>
                <w:color w:val="auto"/>
                <w:kern w:val="0"/>
                <w:szCs w:val="21"/>
              </w:rPr>
              <w:t>脂类检测条</w:t>
            </w: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4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eastAsia="zh-CN"/>
              </w:rPr>
            </w:pPr>
          </w:p>
        </w:tc>
        <w:tc>
          <w:tcPr>
            <w:tcW w:w="78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b w:val="0"/>
                <w:bCs w:val="0"/>
                <w:color w:val="auto"/>
                <w:sz w:val="21"/>
                <w:szCs w:val="21"/>
                <w:lang w:val="en-US" w:eastAsia="zh-CN"/>
              </w:rPr>
            </w:pPr>
            <w:r>
              <w:rPr>
                <w:rFonts w:hint="eastAsia" w:ascii="仿宋" w:hAnsi="仿宋" w:eastAsia="仿宋" w:cs="宋体"/>
                <w:color w:val="auto"/>
                <w:kern w:val="0"/>
                <w:szCs w:val="21"/>
              </w:rPr>
              <w:t>人份</w:t>
            </w:r>
          </w:p>
        </w:tc>
        <w:tc>
          <w:tcPr>
            <w:tcW w:w="974" w:type="dxa"/>
            <w:tcBorders>
              <w:top w:val="nil"/>
              <w:left w:val="nil"/>
              <w:bottom w:val="single" w:color="auto" w:sz="4" w:space="0"/>
              <w:right w:val="single" w:color="auto" w:sz="4" w:space="0"/>
            </w:tcBorders>
            <w:noWrap/>
            <w:vAlign w:val="center"/>
          </w:tcPr>
          <w:p>
            <w:pPr>
              <w:widowControl/>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19.5</w:t>
            </w:r>
          </w:p>
        </w:tc>
        <w:tc>
          <w:tcPr>
            <w:tcW w:w="1102" w:type="dxa"/>
            <w:tcBorders>
              <w:top w:val="nil"/>
              <w:left w:val="nil"/>
              <w:bottom w:val="single" w:color="auto" w:sz="4" w:space="0"/>
              <w:right w:val="nil"/>
            </w:tcBorders>
            <w:noWrap/>
            <w:vAlign w:val="center"/>
          </w:tcPr>
          <w:p>
            <w:pPr>
              <w:widowControl/>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9000</w:t>
            </w:r>
          </w:p>
        </w:tc>
        <w:tc>
          <w:tcPr>
            <w:tcW w:w="36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356" w:type="pct"/>
            <w:vMerge w:val="continue"/>
            <w:tcBorders>
              <w:left w:val="single" w:color="auto" w:sz="4" w:space="0"/>
              <w:right w:val="single" w:color="auto" w:sz="4" w:space="0"/>
            </w:tcBorders>
            <w:noWrap/>
            <w:vAlign w:val="center"/>
          </w:tcPr>
          <w:p>
            <w:pPr>
              <w:spacing w:line="288" w:lineRule="auto"/>
              <w:jc w:val="center"/>
              <w:rPr>
                <w:rFonts w:hint="eastAsia" w:ascii="仿宋" w:hAnsi="仿宋" w:eastAsia="仿宋"/>
                <w:color w:val="auto"/>
                <w:sz w:val="21"/>
                <w:szCs w:val="21"/>
              </w:rPr>
            </w:pP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1"/>
                <w:szCs w:val="21"/>
              </w:rPr>
            </w:pPr>
            <w:r>
              <w:rPr>
                <w:rFonts w:hint="eastAsia" w:ascii="仿宋" w:hAnsi="仿宋" w:eastAsia="仿宋" w:cs="宋体"/>
                <w:color w:val="auto"/>
                <w:kern w:val="0"/>
                <w:szCs w:val="21"/>
              </w:rPr>
              <w:t>血糖检测试纸</w:t>
            </w: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4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p>
        </w:tc>
        <w:tc>
          <w:tcPr>
            <w:tcW w:w="78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人份</w:t>
            </w:r>
          </w:p>
        </w:tc>
        <w:tc>
          <w:tcPr>
            <w:tcW w:w="9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0.5</w:t>
            </w:r>
          </w:p>
        </w:tc>
        <w:tc>
          <w:tcPr>
            <w:tcW w:w="1102" w:type="dxa"/>
            <w:tcBorders>
              <w:top w:val="nil"/>
              <w:left w:val="nil"/>
              <w:bottom w:val="single" w:color="auto" w:sz="4" w:space="0"/>
              <w:right w:val="nil"/>
            </w:tcBorders>
            <w:noWrap/>
            <w:vAlign w:val="center"/>
          </w:tcPr>
          <w:p>
            <w:pPr>
              <w:widowControl/>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9000</w:t>
            </w:r>
          </w:p>
        </w:tc>
        <w:tc>
          <w:tcPr>
            <w:tcW w:w="36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356" w:type="pct"/>
            <w:vMerge w:val="continue"/>
            <w:tcBorders>
              <w:left w:val="single" w:color="auto" w:sz="4" w:space="0"/>
              <w:right w:val="single" w:color="auto" w:sz="4" w:space="0"/>
            </w:tcBorders>
            <w:noWrap/>
            <w:vAlign w:val="center"/>
          </w:tcPr>
          <w:p>
            <w:pPr>
              <w:spacing w:line="288" w:lineRule="auto"/>
              <w:jc w:val="center"/>
              <w:rPr>
                <w:rFonts w:hint="eastAsia" w:ascii="仿宋" w:hAnsi="仿宋" w:eastAsia="仿宋"/>
                <w:color w:val="auto"/>
                <w:sz w:val="21"/>
                <w:szCs w:val="21"/>
              </w:rPr>
            </w:pP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1"/>
                <w:szCs w:val="21"/>
              </w:rPr>
            </w:pPr>
            <w:r>
              <w:rPr>
                <w:rFonts w:hint="eastAsia" w:ascii="仿宋" w:hAnsi="仿宋" w:eastAsia="仿宋" w:cs="宋体"/>
                <w:color w:val="auto"/>
                <w:kern w:val="0"/>
                <w:szCs w:val="21"/>
              </w:rPr>
              <w:t>同型半胱氨酸检测试剂盒</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酶法）</w:t>
            </w: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4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p>
        </w:tc>
        <w:tc>
          <w:tcPr>
            <w:tcW w:w="78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人份</w:t>
            </w:r>
          </w:p>
        </w:tc>
        <w:tc>
          <w:tcPr>
            <w:tcW w:w="9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25</w:t>
            </w:r>
          </w:p>
        </w:tc>
        <w:tc>
          <w:tcPr>
            <w:tcW w:w="1102" w:type="dxa"/>
            <w:tcBorders>
              <w:top w:val="nil"/>
              <w:left w:val="nil"/>
              <w:bottom w:val="single" w:color="auto" w:sz="4" w:space="0"/>
              <w:right w:val="nil"/>
            </w:tcBorders>
            <w:noWrap/>
            <w:vAlign w:val="center"/>
          </w:tcPr>
          <w:p>
            <w:pPr>
              <w:widowControl/>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9000</w:t>
            </w:r>
          </w:p>
        </w:tc>
        <w:tc>
          <w:tcPr>
            <w:tcW w:w="36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356" w:type="pct"/>
            <w:vMerge w:val="continue"/>
            <w:tcBorders>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olor w:val="auto"/>
                <w:sz w:val="21"/>
                <w:szCs w:val="21"/>
              </w:rPr>
            </w:pPr>
          </w:p>
        </w:tc>
        <w:tc>
          <w:tcPr>
            <w:tcW w:w="32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color w:val="auto"/>
                <w:kern w:val="0"/>
                <w:sz w:val="21"/>
                <w:szCs w:val="21"/>
              </w:rPr>
            </w:pPr>
            <w:r>
              <w:rPr>
                <w:rFonts w:hint="eastAsia" w:ascii="仿宋" w:hAnsi="仿宋" w:eastAsia="仿宋" w:cs="宋体"/>
                <w:color w:val="auto"/>
                <w:kern w:val="0"/>
                <w:szCs w:val="21"/>
              </w:rPr>
              <w:t>糖化血红蛋白试剂盒（免疫散射速率法）</w:t>
            </w: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4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p>
        </w:tc>
        <w:tc>
          <w:tcPr>
            <w:tcW w:w="78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人份</w:t>
            </w:r>
          </w:p>
        </w:tc>
        <w:tc>
          <w:tcPr>
            <w:tcW w:w="9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20</w:t>
            </w:r>
          </w:p>
        </w:tc>
        <w:tc>
          <w:tcPr>
            <w:tcW w:w="1102" w:type="dxa"/>
            <w:tcBorders>
              <w:top w:val="nil"/>
              <w:left w:val="nil"/>
              <w:bottom w:val="single" w:color="auto" w:sz="4" w:space="0"/>
              <w:right w:val="nil"/>
            </w:tcBorders>
            <w:noWrap/>
            <w:vAlign w:val="center"/>
          </w:tcPr>
          <w:p>
            <w:pPr>
              <w:widowControl/>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宋体"/>
                <w:color w:val="auto"/>
                <w:kern w:val="0"/>
                <w:szCs w:val="21"/>
              </w:rPr>
              <w:t>9000</w:t>
            </w:r>
          </w:p>
        </w:tc>
        <w:tc>
          <w:tcPr>
            <w:tcW w:w="36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445" w:hRule="atLeast"/>
          <w:jc w:val="center"/>
        </w:trPr>
        <w:tc>
          <w:tcPr>
            <w:tcW w:w="1242" w:type="pct"/>
            <w:gridSpan w:val="4"/>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1"/>
                <w:szCs w:val="21"/>
              </w:rPr>
            </w:pPr>
            <w:r>
              <w:rPr>
                <w:rFonts w:hint="eastAsia" w:ascii="仿宋" w:hAnsi="仿宋" w:eastAsia="仿宋" w:cs="宋体"/>
                <w:color w:val="auto"/>
                <w:kern w:val="0"/>
                <w:sz w:val="21"/>
                <w:szCs w:val="21"/>
              </w:rPr>
              <w:t>投标总价=投标单价*参考用量</w:t>
            </w:r>
          </w:p>
        </w:tc>
        <w:tc>
          <w:tcPr>
            <w:tcW w:w="3757" w:type="pct"/>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1242" w:type="pct"/>
            <w:gridSpan w:val="4"/>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1"/>
                <w:szCs w:val="21"/>
              </w:rPr>
            </w:pPr>
          </w:p>
        </w:tc>
        <w:tc>
          <w:tcPr>
            <w:tcW w:w="3757" w:type="pct"/>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大写：</w:t>
            </w:r>
          </w:p>
        </w:tc>
      </w:tr>
    </w:tbl>
    <w:p>
      <w:pPr>
        <w:snapToGrid w:val="0"/>
        <w:jc w:val="left"/>
        <w:rPr>
          <w:rFonts w:ascii="仿宋" w:hAnsi="仿宋" w:eastAsia="仿宋"/>
          <w:color w:val="auto"/>
          <w:sz w:val="28"/>
          <w:szCs w:val="28"/>
        </w:rPr>
      </w:pPr>
      <w:r>
        <w:rPr>
          <w:rFonts w:hint="eastAsia" w:ascii="仿宋" w:hAnsi="仿宋" w:eastAsia="仿宋"/>
          <w:b/>
          <w:color w:val="auto"/>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both"/>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 w:hAnsi="仿宋" w:eastAsia="仿宋" w:cs="FangSong_GB2312"/>
          <w:color w:val="000000" w:themeColor="text1"/>
          <w:sz w:val="24"/>
          <w:u w:val="single"/>
          <w14:textFill>
            <w14:solidFill>
              <w14:schemeClr w14:val="tx1"/>
            </w14:solidFill>
          </w14:textFill>
        </w:rPr>
        <w:t>绍兴市人民医院脑卒中高危人群筛查与干预项目快速检测随诊包及配套服务采购项目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bookmarkStart w:id="54" w:name="_GoBack"/>
      <w:bookmarkEnd w:id="54"/>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14:textFill>
            <w14:solidFill>
              <w14:schemeClr w14:val="tx1"/>
            </w14:solidFill>
          </w14:textFill>
        </w:rPr>
        <w:t>绍兴市人民医院脑卒中高危人群筛查与干预项目快速检测随诊包及配套服务采购项目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2"/>
        <w:rPr>
          <w:rFonts w:hint="eastAsia" w:ascii="仿宋" w:hAnsi="仿宋" w:eastAsia="仿宋" w:cs="仿宋"/>
          <w:b/>
          <w:kern w:val="0"/>
          <w:sz w:val="24"/>
          <w:u w:val="single"/>
          <w:lang w:val="zh-CN"/>
        </w:rPr>
      </w:pPr>
    </w:p>
    <w:p>
      <w:pPr>
        <w:pStyle w:val="22"/>
        <w:rPr>
          <w:rFonts w:hint="eastAsia" w:ascii="仿宋" w:hAnsi="仿宋" w:eastAsia="仿宋" w:cs="仿宋"/>
          <w:b/>
          <w:kern w:val="0"/>
          <w:sz w:val="24"/>
          <w:u w:val="single"/>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绍兴市人民医院脑卒中高危人群筛查与干预项目快速检测随诊包及配套服务采购项目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绍兴市人民医院脑卒中高危人群筛查与干预项目快速检测随诊包及配套服务采购项目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绍兴市人民医院脑卒中高危人群筛查与干预项目快速检测随诊包及配套服务采购项目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5662AB"/>
    <w:rsid w:val="029B352B"/>
    <w:rsid w:val="03DA597A"/>
    <w:rsid w:val="03FB08B3"/>
    <w:rsid w:val="045A4101"/>
    <w:rsid w:val="05CA23B0"/>
    <w:rsid w:val="05D57D43"/>
    <w:rsid w:val="090E193F"/>
    <w:rsid w:val="098B54E5"/>
    <w:rsid w:val="099417A6"/>
    <w:rsid w:val="0A2A233E"/>
    <w:rsid w:val="0A360C8C"/>
    <w:rsid w:val="0A5819C8"/>
    <w:rsid w:val="0A736BA0"/>
    <w:rsid w:val="0BC03B57"/>
    <w:rsid w:val="0C323D96"/>
    <w:rsid w:val="0D1D1A10"/>
    <w:rsid w:val="0D935B75"/>
    <w:rsid w:val="0E04763A"/>
    <w:rsid w:val="0F4D6BE8"/>
    <w:rsid w:val="0F825E34"/>
    <w:rsid w:val="102D6D8C"/>
    <w:rsid w:val="108A584D"/>
    <w:rsid w:val="10D54539"/>
    <w:rsid w:val="12F636C2"/>
    <w:rsid w:val="150B775C"/>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F3085B"/>
    <w:rsid w:val="25EB63FD"/>
    <w:rsid w:val="26321A29"/>
    <w:rsid w:val="27483DC1"/>
    <w:rsid w:val="28CF0993"/>
    <w:rsid w:val="29720E36"/>
    <w:rsid w:val="298417E2"/>
    <w:rsid w:val="2AFB5C85"/>
    <w:rsid w:val="2B1A583B"/>
    <w:rsid w:val="2B547467"/>
    <w:rsid w:val="317F56D5"/>
    <w:rsid w:val="31F17EB6"/>
    <w:rsid w:val="342A7047"/>
    <w:rsid w:val="35626231"/>
    <w:rsid w:val="357F469A"/>
    <w:rsid w:val="360D6D47"/>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5278B5"/>
    <w:rsid w:val="55BD38B0"/>
    <w:rsid w:val="57462FE6"/>
    <w:rsid w:val="59502697"/>
    <w:rsid w:val="59E807A2"/>
    <w:rsid w:val="5A79155C"/>
    <w:rsid w:val="5BC713AA"/>
    <w:rsid w:val="5C7335C4"/>
    <w:rsid w:val="60F635C7"/>
    <w:rsid w:val="61566C51"/>
    <w:rsid w:val="61DF02F6"/>
    <w:rsid w:val="62B604AA"/>
    <w:rsid w:val="63FB4E0D"/>
    <w:rsid w:val="64665646"/>
    <w:rsid w:val="65460F40"/>
    <w:rsid w:val="682927B5"/>
    <w:rsid w:val="68A3173F"/>
    <w:rsid w:val="69B24315"/>
    <w:rsid w:val="6B743BAE"/>
    <w:rsid w:val="6C6829A9"/>
    <w:rsid w:val="6D3A22EB"/>
    <w:rsid w:val="6DDA0733"/>
    <w:rsid w:val="6E7042B8"/>
    <w:rsid w:val="6FBA1ED4"/>
    <w:rsid w:val="708B3A0B"/>
    <w:rsid w:val="718916D4"/>
    <w:rsid w:val="723E5536"/>
    <w:rsid w:val="76835092"/>
    <w:rsid w:val="77651D23"/>
    <w:rsid w:val="79647116"/>
    <w:rsid w:val="7A4D5B16"/>
    <w:rsid w:val="7A631723"/>
    <w:rsid w:val="7A8227E7"/>
    <w:rsid w:val="7CFD1A9F"/>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paragraph" w:styleId="22">
    <w:name w:val="Body Text First Indent 2"/>
    <w:basedOn w:val="13"/>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首行缩进"/>
    <w:basedOn w:val="1"/>
    <w:qFormat/>
    <w:uiPriority w:val="99"/>
    <w:pPr>
      <w:spacing w:line="360" w:lineRule="auto"/>
      <w:ind w:firstLine="480" w:firstLineChars="200"/>
    </w:pPr>
    <w:rPr>
      <w:sz w:val="24"/>
      <w:szCs w:val="22"/>
      <w:lang w:val="zh-CN"/>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表正文"/>
    <w:basedOn w:val="1"/>
    <w:next w:val="15"/>
    <w:qFormat/>
    <w:uiPriority w:val="0"/>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7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59</Pages>
  <Words>25815</Words>
  <Characters>28251</Characters>
  <Lines>1629</Lines>
  <Paragraphs>825</Paragraphs>
  <TotalTime>32</TotalTime>
  <ScaleCrop>false</ScaleCrop>
  <LinksUpToDate>false</LinksUpToDate>
  <CharactersWithSpaces>32567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2022-03-04T07:49:05Z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