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u w:val="single"/>
        </w:rPr>
      </w:pPr>
    </w:p>
    <w:p>
      <w:pPr>
        <w:jc w:val="center"/>
        <w:outlineLvl w:val="0"/>
        <w:rPr>
          <w:rFonts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outlineLvl w:val="0"/>
        <w:rPr>
          <w:rFonts w:ascii="仿宋" w:hAnsi="仿宋" w:eastAsia="仿宋" w:cs="仿宋"/>
          <w:b/>
          <w:spacing w:val="-12"/>
          <w:sz w:val="48"/>
          <w:szCs w:val="48"/>
        </w:rPr>
      </w:pPr>
      <w:r>
        <w:rPr>
          <w:rFonts w:hint="eastAsia" w:ascii="仿宋" w:hAnsi="仿宋" w:eastAsia="仿宋" w:cs="仿宋"/>
          <w:b/>
          <w:spacing w:val="-12"/>
          <w:sz w:val="48"/>
          <w:szCs w:val="48"/>
        </w:rPr>
        <w:t>患者疾病诊后精细化管理外包服务项目</w:t>
      </w:r>
    </w:p>
    <w:p>
      <w:pPr>
        <w:outlineLvl w:val="0"/>
        <w:rPr>
          <w:rFonts w:ascii="仿宋" w:hAnsi="仿宋" w:eastAsia="仿宋" w:cs="仿宋"/>
          <w:sz w:val="44"/>
        </w:rPr>
      </w:pPr>
    </w:p>
    <w:p>
      <w:pPr>
        <w:outlineLvl w:val="0"/>
        <w:rPr>
          <w:rFonts w:ascii="仿宋" w:hAnsi="仿宋" w:eastAsia="仿宋" w:cs="仿宋"/>
          <w:sz w:val="44"/>
        </w:rPr>
      </w:pPr>
    </w:p>
    <w:p>
      <w:pPr>
        <w:jc w:val="center"/>
        <w:outlineLvl w:val="0"/>
        <w:rPr>
          <w:rFonts w:ascii="仿宋" w:hAnsi="仿宋" w:eastAsia="仿宋" w:cs="仿宋"/>
          <w:b/>
          <w:sz w:val="72"/>
          <w:szCs w:val="72"/>
        </w:rPr>
      </w:pPr>
      <w:r>
        <w:rPr>
          <w:rFonts w:hint="eastAsia" w:ascii="仿宋" w:hAnsi="仿宋" w:eastAsia="仿宋" w:cs="仿宋"/>
          <w:b/>
          <w:sz w:val="72"/>
          <w:szCs w:val="72"/>
        </w:rPr>
        <w:t>公</w:t>
      </w:r>
    </w:p>
    <w:p>
      <w:pPr>
        <w:jc w:val="center"/>
        <w:outlineLvl w:val="0"/>
        <w:rPr>
          <w:rFonts w:ascii="仿宋" w:hAnsi="仿宋" w:eastAsia="仿宋" w:cs="仿宋"/>
          <w:b/>
          <w:sz w:val="72"/>
          <w:szCs w:val="72"/>
        </w:rPr>
      </w:pPr>
      <w:r>
        <w:rPr>
          <w:rFonts w:hint="eastAsia" w:ascii="仿宋" w:hAnsi="仿宋" w:eastAsia="仿宋" w:cs="仿宋"/>
          <w:b/>
          <w:sz w:val="72"/>
          <w:szCs w:val="72"/>
        </w:rPr>
        <w:t>开</w:t>
      </w:r>
    </w:p>
    <w:p>
      <w:pPr>
        <w:jc w:val="center"/>
        <w:outlineLvl w:val="0"/>
        <w:rPr>
          <w:rFonts w:ascii="仿宋" w:hAnsi="仿宋" w:eastAsia="仿宋" w:cs="仿宋"/>
          <w:b/>
          <w:sz w:val="72"/>
          <w:szCs w:val="72"/>
        </w:rPr>
      </w:pPr>
      <w:r>
        <w:rPr>
          <w:rFonts w:hint="eastAsia" w:ascii="仿宋" w:hAnsi="仿宋" w:eastAsia="仿宋" w:cs="仿宋"/>
          <w:b/>
          <w:sz w:val="72"/>
          <w:szCs w:val="72"/>
        </w:rPr>
        <w:t>招</w:t>
      </w:r>
    </w:p>
    <w:p>
      <w:pPr>
        <w:jc w:val="center"/>
        <w:outlineLvl w:val="0"/>
        <w:rPr>
          <w:rFonts w:ascii="仿宋" w:hAnsi="仿宋" w:eastAsia="仿宋" w:cs="仿宋"/>
          <w:b/>
          <w:sz w:val="72"/>
          <w:szCs w:val="72"/>
        </w:rPr>
      </w:pPr>
      <w:r>
        <w:rPr>
          <w:rFonts w:hint="eastAsia" w:ascii="仿宋" w:hAnsi="仿宋" w:eastAsia="仿宋" w:cs="仿宋"/>
          <w:b/>
          <w:sz w:val="72"/>
          <w:szCs w:val="72"/>
        </w:rPr>
        <w:t>标</w:t>
      </w:r>
    </w:p>
    <w:p>
      <w:pPr>
        <w:jc w:val="center"/>
        <w:outlineLvl w:val="0"/>
        <w:rPr>
          <w:rFonts w:ascii="仿宋" w:hAnsi="仿宋" w:eastAsia="仿宋" w:cs="仿宋"/>
          <w:b/>
          <w:sz w:val="72"/>
          <w:szCs w:val="72"/>
        </w:rPr>
      </w:pPr>
      <w:r>
        <w:rPr>
          <w:rFonts w:hint="eastAsia" w:ascii="仿宋" w:hAnsi="仿宋" w:eastAsia="仿宋" w:cs="仿宋"/>
          <w:b/>
          <w:sz w:val="72"/>
          <w:szCs w:val="72"/>
        </w:rPr>
        <w:t>文</w:t>
      </w:r>
    </w:p>
    <w:p>
      <w:pPr>
        <w:jc w:val="center"/>
        <w:outlineLvl w:val="0"/>
        <w:rPr>
          <w:rFonts w:ascii="仿宋" w:hAnsi="仿宋" w:eastAsia="仿宋" w:cs="仿宋"/>
          <w:b/>
          <w:sz w:val="72"/>
          <w:szCs w:val="72"/>
        </w:rPr>
      </w:pPr>
      <w:r>
        <w:rPr>
          <w:rFonts w:hint="eastAsia" w:ascii="仿宋" w:hAnsi="仿宋" w:eastAsia="仿宋" w:cs="仿宋"/>
          <w:b/>
          <w:sz w:val="72"/>
          <w:szCs w:val="72"/>
        </w:rPr>
        <w:t>件</w:t>
      </w:r>
    </w:p>
    <w:p>
      <w:pPr>
        <w:jc w:val="center"/>
        <w:outlineLvl w:val="0"/>
        <w:rPr>
          <w:rFonts w:ascii="仿宋" w:hAnsi="仿宋" w:eastAsia="仿宋" w:cs="仿宋"/>
          <w:b/>
          <w:sz w:val="36"/>
          <w:szCs w:val="36"/>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招标编号:HCZB-022-009</w:t>
      </w:r>
    </w:p>
    <w:p>
      <w:pPr>
        <w:pStyle w:val="2"/>
        <w:numPr>
          <w:ilvl w:val="0"/>
          <w:numId w:val="0"/>
        </w:numPr>
        <w:rPr>
          <w:rFonts w:ascii="仿宋" w:hAnsi="仿宋" w:eastAsia="仿宋" w:cs="仿宋"/>
          <w:sz w:val="20"/>
          <w:szCs w:val="6"/>
        </w:rPr>
      </w:pPr>
    </w:p>
    <w:tbl>
      <w:tblPr>
        <w:tblStyle w:val="41"/>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3490"/>
        <w:gridCol w:w="4301"/>
      </w:tblGrid>
      <w:tr>
        <w:tblPrEx>
          <w:tblCellMar>
            <w:top w:w="0" w:type="dxa"/>
            <w:left w:w="108" w:type="dxa"/>
            <w:bottom w:w="0" w:type="dxa"/>
            <w:right w:w="108" w:type="dxa"/>
          </w:tblCellMar>
        </w:tblPrEx>
        <w:trPr>
          <w:trHeight w:val="60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93"/>
                <w:kern w:val="0"/>
                <w:sz w:val="28"/>
                <w:szCs w:val="28"/>
                <w:fitText w:val="1680" w:id="1834900085"/>
              </w:rPr>
              <w:t>采购单</w:t>
            </w:r>
            <w:r>
              <w:rPr>
                <w:rFonts w:hint="eastAsia" w:ascii="仿宋" w:hAnsi="仿宋" w:eastAsia="仿宋" w:cs="仿宋"/>
                <w:spacing w:val="1"/>
                <w:kern w:val="0"/>
                <w:sz w:val="28"/>
                <w:szCs w:val="28"/>
                <w:fitText w:val="1680" w:id="1834900085"/>
              </w:rPr>
              <w:t>位</w:t>
            </w:r>
            <w:r>
              <w:rPr>
                <w:rFonts w:hint="eastAsia" w:ascii="仿宋" w:hAnsi="仿宋" w:eastAsia="仿宋" w:cs="仿宋"/>
                <w:sz w:val="28"/>
                <w:szCs w:val="28"/>
              </w:rPr>
              <w:t>：</w:t>
            </w:r>
          </w:p>
        </w:tc>
        <w:tc>
          <w:tcPr>
            <w:tcW w:w="4301" w:type="dxa"/>
            <w:vAlign w:val="center"/>
          </w:tcPr>
          <w:p>
            <w:pPr>
              <w:jc w:val="left"/>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56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kern w:val="0"/>
                <w:sz w:val="28"/>
                <w:szCs w:val="28"/>
              </w:rPr>
              <w:t xml:space="preserve">    采购代理机构</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华诚工程咨询集团有限公司</w:t>
            </w:r>
          </w:p>
        </w:tc>
      </w:tr>
      <w:tr>
        <w:tblPrEx>
          <w:tblCellMar>
            <w:top w:w="0" w:type="dxa"/>
            <w:left w:w="108" w:type="dxa"/>
            <w:bottom w:w="0" w:type="dxa"/>
            <w:right w:w="108" w:type="dxa"/>
          </w:tblCellMar>
        </w:tblPrEx>
        <w:trPr>
          <w:trHeight w:val="580" w:hRule="atLeast"/>
          <w:jc w:val="center"/>
        </w:trPr>
        <w:tc>
          <w:tcPr>
            <w:tcW w:w="3490" w:type="dxa"/>
            <w:vAlign w:val="center"/>
          </w:tcPr>
          <w:p>
            <w:pPr>
              <w:spacing w:after="100" w:afterAutospacing="1" w:line="440" w:lineRule="exact"/>
              <w:ind w:firstLine="932" w:firstLineChars="200"/>
              <w:rPr>
                <w:rFonts w:ascii="仿宋" w:hAnsi="仿宋" w:eastAsia="仿宋" w:cs="仿宋"/>
                <w:sz w:val="28"/>
                <w:szCs w:val="28"/>
              </w:rPr>
            </w:pPr>
            <w:r>
              <w:rPr>
                <w:rFonts w:hint="eastAsia" w:ascii="仿宋" w:hAnsi="仿宋" w:eastAsia="仿宋" w:cs="仿宋"/>
                <w:spacing w:val="93"/>
                <w:kern w:val="0"/>
                <w:sz w:val="28"/>
                <w:szCs w:val="28"/>
                <w:fitText w:val="1680" w:id="621040175"/>
              </w:rPr>
              <w:t>监督单</w:t>
            </w:r>
            <w:r>
              <w:rPr>
                <w:rFonts w:hint="eastAsia" w:ascii="仿宋" w:hAnsi="仿宋" w:eastAsia="仿宋" w:cs="仿宋"/>
                <w:spacing w:val="1"/>
                <w:kern w:val="0"/>
                <w:sz w:val="28"/>
                <w:szCs w:val="28"/>
                <w:fitText w:val="1680" w:id="621040175"/>
              </w:rPr>
              <w:t>位</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绍兴市卫生健康委员会</w:t>
            </w:r>
          </w:p>
        </w:tc>
      </w:tr>
    </w:tbl>
    <w:p>
      <w:pPr>
        <w:jc w:val="center"/>
        <w:rPr>
          <w:rFonts w:ascii="仿宋" w:hAnsi="仿宋" w:eastAsia="仿宋" w:cs="仿宋"/>
          <w:b/>
          <w:sz w:val="44"/>
          <w:szCs w:val="44"/>
        </w:rPr>
      </w:pPr>
    </w:p>
    <w:p>
      <w:pPr>
        <w:rPr>
          <w:rFonts w:ascii="仿宋" w:hAnsi="仿宋" w:eastAsia="仿宋" w:cs="仿宋"/>
          <w:b/>
          <w:sz w:val="44"/>
          <w:szCs w:val="44"/>
        </w:rPr>
      </w:pPr>
      <w:r>
        <w:rPr>
          <w:rFonts w:hint="eastAsia" w:ascii="仿宋" w:hAnsi="仿宋" w:eastAsia="仿宋" w:cs="仿宋"/>
          <w:b/>
          <w:sz w:val="44"/>
          <w:szCs w:val="44"/>
        </w:rPr>
        <w:br w:type="page"/>
      </w: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 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pageBreakBefore/>
        <w:widowControl/>
        <w:numPr>
          <w:ilvl w:val="0"/>
          <w:numId w:val="6"/>
        </w:numPr>
        <w:jc w:val="center"/>
        <w:rPr>
          <w:rFonts w:ascii="仿宋" w:hAnsi="仿宋" w:eastAsia="仿宋" w:cs="仿宋"/>
          <w:b/>
          <w:sz w:val="36"/>
          <w:szCs w:val="36"/>
        </w:rPr>
      </w:pPr>
      <w:r>
        <w:rPr>
          <w:rFonts w:hint="eastAsia" w:ascii="仿宋" w:hAnsi="仿宋" w:eastAsia="仿宋" w:cs="仿宋"/>
          <w:b/>
          <w:sz w:val="36"/>
          <w:szCs w:val="36"/>
        </w:rPr>
        <w:t>招标公告</w:t>
      </w:r>
    </w:p>
    <w:p>
      <w:pPr>
        <w:spacing w:line="360" w:lineRule="auto"/>
        <w:ind w:firstLine="480" w:firstLineChars="200"/>
        <w:rPr>
          <w:rFonts w:ascii="仿宋" w:hAnsi="仿宋" w:eastAsia="仿宋" w:cs="仿宋"/>
        </w:rPr>
      </w:pPr>
      <w:r>
        <w:rPr>
          <w:rFonts w:hint="eastAsia" w:ascii="仿宋" w:hAnsi="仿宋" w:eastAsia="仿宋" w:cs="仿宋"/>
          <w:bCs/>
          <w:sz w:val="24"/>
          <w:u w:val="single"/>
        </w:rPr>
        <w:t>华诚工程咨询集团有限公司</w:t>
      </w:r>
      <w:r>
        <w:rPr>
          <w:rFonts w:hint="eastAsia" w:ascii="仿宋" w:hAnsi="仿宋" w:eastAsia="仿宋" w:cs="仿宋"/>
          <w:bCs/>
          <w:sz w:val="24"/>
        </w:rPr>
        <w:t>受</w:t>
      </w:r>
      <w:r>
        <w:rPr>
          <w:rFonts w:hint="eastAsia" w:ascii="仿宋" w:hAnsi="仿宋" w:eastAsia="仿宋" w:cs="仿宋"/>
          <w:bCs/>
          <w:sz w:val="24"/>
          <w:u w:val="single"/>
        </w:rPr>
        <w:t>绍兴市人民医院</w:t>
      </w:r>
      <w:r>
        <w:rPr>
          <w:rFonts w:hint="eastAsia" w:ascii="仿宋" w:hAnsi="仿宋" w:eastAsia="仿宋" w:cs="仿宋"/>
          <w:bCs/>
          <w:sz w:val="24"/>
        </w:rPr>
        <w:t>委托，就下列项目进行公开招标，现将有关事项公告如下：</w:t>
      </w:r>
    </w:p>
    <w:tbl>
      <w:tblPr>
        <w:tblStyle w:val="41"/>
        <w:tblW w:w="8279" w:type="dxa"/>
        <w:tblInd w:w="0" w:type="dxa"/>
        <w:tblLayout w:type="fixed"/>
        <w:tblCellMar>
          <w:top w:w="0" w:type="dxa"/>
          <w:left w:w="0" w:type="dxa"/>
          <w:bottom w:w="0" w:type="dxa"/>
          <w:right w:w="0" w:type="dxa"/>
        </w:tblCellMar>
      </w:tblPr>
      <w:tblGrid>
        <w:gridCol w:w="8279"/>
      </w:tblGrid>
      <w:tr>
        <w:tblPrEx>
          <w:tblCellMar>
            <w:top w:w="0" w:type="dxa"/>
            <w:left w:w="0" w:type="dxa"/>
            <w:bottom w:w="0" w:type="dxa"/>
            <w:right w:w="0" w:type="dxa"/>
          </w:tblCellMar>
        </w:tblPrEx>
        <w:tc>
          <w:tcPr>
            <w:tcW w:w="8279" w:type="dxa"/>
            <w:vAlign w:val="center"/>
          </w:tcPr>
          <w:p>
            <w:pPr>
              <w:pStyle w:val="69"/>
              <w:spacing w:afterLines="0" w:line="440" w:lineRule="exact"/>
              <w:ind w:firstLine="480"/>
              <w:jc w:val="left"/>
              <w:rPr>
                <w:rFonts w:ascii="仿宋" w:hAnsi="仿宋" w:eastAsia="仿宋" w:cs="仿宋"/>
                <w:szCs w:val="24"/>
              </w:rPr>
            </w:pPr>
            <w:r>
              <w:rPr>
                <w:rFonts w:hint="eastAsia" w:ascii="仿宋" w:hAnsi="仿宋" w:eastAsia="仿宋" w:cs="仿宋"/>
                <w:szCs w:val="24"/>
              </w:rPr>
              <w:t>一、项目基本情况</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项目编号：HCZB-2022-009</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项目名称：绍兴市人民医院患者疾病诊后精细化管理外包服务项目</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采购方式：公开招标</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预算金额（元）：/</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最高限价（元）：/</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采购需求：</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标项一:</w:t>
            </w:r>
            <w:r>
              <w:rPr>
                <w:rFonts w:hint="eastAsia" w:ascii="仿宋" w:hAnsi="仿宋" w:eastAsia="仿宋" w:cs="仿宋"/>
                <w:szCs w:val="24"/>
              </w:rPr>
              <w:br w:type="textWrapping"/>
            </w:r>
            <w:r>
              <w:rPr>
                <w:rFonts w:hint="eastAsia" w:ascii="仿宋" w:hAnsi="仿宋" w:eastAsia="仿宋" w:cs="仿宋"/>
                <w:szCs w:val="24"/>
              </w:rPr>
              <w:t>  标项名称:绍兴市人民医院患者疾病诊后精细化管理外包服务项目</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数量:1项</w:t>
            </w:r>
            <w:r>
              <w:rPr>
                <w:rFonts w:hint="eastAsia" w:ascii="仿宋" w:hAnsi="仿宋" w:eastAsia="仿宋" w:cs="仿宋"/>
                <w:szCs w:val="24"/>
              </w:rPr>
              <w:br w:type="textWrapping"/>
            </w:r>
            <w:r>
              <w:rPr>
                <w:rFonts w:hint="eastAsia" w:ascii="仿宋" w:hAnsi="仿宋" w:eastAsia="仿宋" w:cs="仿宋"/>
                <w:szCs w:val="24"/>
              </w:rPr>
              <w:t>  预算金额（元）:/</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简要规格描述或项目基本概况介绍、用途：详见采购文件 </w:t>
            </w:r>
            <w:r>
              <w:rPr>
                <w:rFonts w:hint="eastAsia" w:ascii="仿宋" w:hAnsi="仿宋" w:eastAsia="仿宋" w:cs="仿宋"/>
                <w:szCs w:val="24"/>
              </w:rPr>
              <w:br w:type="textWrapping"/>
            </w:r>
            <w:r>
              <w:rPr>
                <w:rFonts w:hint="eastAsia" w:ascii="仿宋" w:hAnsi="仿宋" w:eastAsia="仿宋" w:cs="仿宋"/>
                <w:szCs w:val="24"/>
              </w:rPr>
              <w:t>  备注：无</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合同履约期限：按双方合同约定条款执行。</w:t>
            </w:r>
          </w:p>
          <w:p>
            <w:pPr>
              <w:pStyle w:val="69"/>
              <w:spacing w:afterLines="0" w:line="440" w:lineRule="exact"/>
              <w:ind w:firstLine="482"/>
              <w:rPr>
                <w:rFonts w:ascii="仿宋" w:hAnsi="仿宋" w:eastAsia="仿宋" w:cs="仿宋"/>
                <w:b/>
                <w:bCs/>
                <w:szCs w:val="24"/>
              </w:rPr>
            </w:pPr>
            <w:r>
              <w:rPr>
                <w:rFonts w:hint="eastAsia" w:ascii="仿宋" w:hAnsi="仿宋" w:eastAsia="仿宋" w:cs="仿宋"/>
                <w:b/>
                <w:bCs/>
                <w:szCs w:val="24"/>
              </w:rPr>
              <w:t>本项目（否）接受联合体投标。</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二、申请人的资格要求：</w:t>
            </w:r>
          </w:p>
          <w:p>
            <w:pPr>
              <w:pStyle w:val="69"/>
              <w:spacing w:after="120"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9"/>
              <w:spacing w:after="120"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69"/>
              <w:tabs>
                <w:tab w:val="left" w:pos="312"/>
              </w:tabs>
              <w:spacing w:afterLines="0" w:line="440" w:lineRule="exact"/>
              <w:ind w:left="480" w:firstLine="0" w:firstLineChars="0"/>
              <w:rPr>
                <w:rFonts w:ascii="仿宋" w:hAnsi="仿宋" w:eastAsia="仿宋" w:cs="仿宋"/>
                <w:szCs w:val="24"/>
              </w:rPr>
            </w:pPr>
            <w:r>
              <w:rPr>
                <w:rFonts w:hint="eastAsia" w:ascii="仿宋" w:hAnsi="仿宋" w:eastAsia="仿宋" w:cs="仿宋"/>
                <w:szCs w:val="24"/>
              </w:rPr>
              <w:t>3.本项目的特定资格要求：无</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480" w:lineRule="exact"/>
              <w:ind w:firstLine="540" w:firstLineChars="225"/>
              <w:rPr>
                <w:rFonts w:ascii="仿宋" w:hAnsi="仿宋" w:eastAsia="仿宋" w:cs="仿宋"/>
                <w:kern w:val="0"/>
                <w:sz w:val="24"/>
              </w:rPr>
            </w:pPr>
            <w:r>
              <w:rPr>
                <w:rFonts w:hint="eastAsia" w:ascii="仿宋" w:hAnsi="仿宋" w:eastAsia="仿宋" w:cs="仿宋"/>
                <w:sz w:val="24"/>
              </w:rPr>
              <w:t>三、资格审查方式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1.资格后审。</w:t>
            </w:r>
          </w:p>
          <w:p>
            <w:pPr>
              <w:spacing w:line="480" w:lineRule="exact"/>
              <w:ind w:firstLine="540" w:firstLineChars="225"/>
              <w:rPr>
                <w:rFonts w:ascii="仿宋" w:hAnsi="仿宋" w:eastAsia="仿宋" w:cs="仿宋"/>
                <w:sz w:val="24"/>
              </w:rPr>
            </w:pPr>
            <w:r>
              <w:rPr>
                <w:rFonts w:hint="eastAsia" w:ascii="仿宋" w:hAnsi="仿宋" w:eastAsia="仿宋" w:cs="仿宋"/>
                <w:sz w:val="24"/>
              </w:rPr>
              <w:t>四、获取招标文件时间、地点及方式：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1.获取时间及地点：招标公告发出之时至</w:t>
            </w:r>
            <w:r>
              <w:rPr>
                <w:rFonts w:hint="eastAsia" w:ascii="仿宋" w:hAnsi="仿宋" w:eastAsia="仿宋" w:cs="仿宋"/>
                <w:sz w:val="24"/>
                <w:u w:val="single"/>
              </w:rPr>
              <w:t xml:space="preserve"> 2022</w:t>
            </w:r>
            <w:r>
              <w:rPr>
                <w:rFonts w:hint="eastAsia" w:ascii="仿宋" w:hAnsi="仿宋" w:eastAsia="仿宋" w:cs="仿宋"/>
                <w:sz w:val="24"/>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1</w:t>
            </w:r>
            <w:r>
              <w:rPr>
                <w:rFonts w:hint="eastAsia" w:ascii="仿宋" w:hAnsi="仿宋" w:eastAsia="仿宋" w:cs="仿宋"/>
                <w:sz w:val="24"/>
              </w:rPr>
              <w:t>日上午8:30—11:30；下午 14:00～17:00 (双休日及法定节假日除外）地址：</w:t>
            </w:r>
            <w:r>
              <w:rPr>
                <w:rFonts w:hint="eastAsia" w:ascii="仿宋" w:hAnsi="仿宋" w:eastAsia="仿宋" w:cs="仿宋"/>
                <w:kern w:val="0"/>
                <w:sz w:val="24"/>
              </w:rPr>
              <w:t>绍兴市越城区越西路800号金德隆商业中心8幢二楼华诚工程咨询集团有限公司</w:t>
            </w:r>
          </w:p>
          <w:p>
            <w:pPr>
              <w:spacing w:line="480" w:lineRule="exact"/>
              <w:ind w:firstLine="540" w:firstLineChars="225"/>
              <w:rPr>
                <w:rFonts w:ascii="仿宋" w:hAnsi="仿宋" w:eastAsia="仿宋" w:cs="仿宋"/>
                <w:sz w:val="24"/>
              </w:rPr>
            </w:pPr>
            <w:r>
              <w:rPr>
                <w:rFonts w:hint="eastAsia" w:ascii="仿宋" w:hAnsi="仿宋" w:eastAsia="仿宋" w:cs="仿宋"/>
                <w:sz w:val="24"/>
              </w:rPr>
              <w:t>2.获取招标文件时需提供以下资料（复印件加盖单位公章）：投标人营业执照、报名人身份证、法定代表人授权委托书</w:t>
            </w:r>
            <w:r>
              <w:rPr>
                <w:rFonts w:hint="eastAsia" w:ascii="仿宋" w:hAnsi="仿宋" w:eastAsia="仿宋" w:cs="仿宋"/>
                <w:b/>
                <w:bCs/>
                <w:sz w:val="24"/>
              </w:rPr>
              <w:t>（格式见第六部分附件）</w:t>
            </w:r>
            <w:r>
              <w:rPr>
                <w:rFonts w:hint="eastAsia" w:ascii="仿宋" w:hAnsi="仿宋" w:eastAsia="仿宋" w:cs="仿宋"/>
                <w:sz w:val="24"/>
              </w:rPr>
              <w:t>及联系方式（手机号码和邮箱）。(因疫情期间，接受邮寄，邮寄方式同投标文件邮寄方式。）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3.采购文件售价：免费。</w:t>
            </w:r>
          </w:p>
          <w:p>
            <w:pPr>
              <w:spacing w:line="440" w:lineRule="exact"/>
              <w:ind w:firstLine="480" w:firstLineChars="200"/>
              <w:rPr>
                <w:rFonts w:ascii="仿宋" w:hAnsi="仿宋" w:eastAsia="仿宋" w:cs="仿宋"/>
                <w:sz w:val="24"/>
              </w:rPr>
            </w:pPr>
            <w:r>
              <w:rPr>
                <w:rFonts w:hint="eastAsia" w:ascii="仿宋" w:hAnsi="仿宋" w:eastAsia="仿宋" w:cs="仿宋"/>
                <w:sz w:val="24"/>
              </w:rPr>
              <w:t>五、供应商应于</w:t>
            </w:r>
            <w:r>
              <w:rPr>
                <w:rFonts w:hint="eastAsia" w:ascii="仿宋" w:hAnsi="仿宋" w:eastAsia="仿宋" w:cs="仿宋"/>
                <w:sz w:val="24"/>
                <w:u w:val="single"/>
              </w:rPr>
              <w:t>2022</w:t>
            </w:r>
            <w:r>
              <w:rPr>
                <w:rFonts w:hint="eastAsia" w:ascii="仿宋" w:hAnsi="仿宋" w:eastAsia="仿宋" w:cs="仿宋"/>
                <w:sz w:val="24"/>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1</w:t>
            </w:r>
            <w:r>
              <w:rPr>
                <w:rFonts w:hint="eastAsia" w:ascii="仿宋" w:hAnsi="仿宋" w:eastAsia="仿宋" w:cs="仿宋"/>
                <w:sz w:val="24"/>
              </w:rPr>
              <w:t>日</w:t>
            </w:r>
            <w:r>
              <w:rPr>
                <w:rFonts w:hint="eastAsia" w:ascii="仿宋" w:hAnsi="仿宋" w:eastAsia="仿宋" w:cs="仿宋"/>
                <w:sz w:val="24"/>
                <w:u w:val="single"/>
              </w:rPr>
              <w:t>14:30</w:t>
            </w:r>
            <w:r>
              <w:rPr>
                <w:rFonts w:hint="eastAsia" w:ascii="仿宋" w:hAnsi="仿宋" w:eastAsia="仿宋" w:cs="仿宋"/>
                <w:sz w:val="24"/>
              </w:rPr>
              <w:t xml:space="preserve">（北京时间）以前将投标文件密封送交到 </w:t>
            </w:r>
            <w:r>
              <w:rPr>
                <w:rFonts w:hint="eastAsia" w:ascii="仿宋" w:hAnsi="仿宋" w:eastAsia="仿宋" w:cs="仿宋"/>
                <w:kern w:val="0"/>
                <w:sz w:val="24"/>
              </w:rPr>
              <w:t>绍兴市越城区越西路800号金德隆商业中心8幢二楼华诚工程咨询集团有限公司二楼开标室</w:t>
            </w:r>
            <w:r>
              <w:rPr>
                <w:rFonts w:hint="eastAsia" w:ascii="仿宋" w:hAnsi="仿宋" w:eastAsia="仿宋" w:cs="仿宋"/>
                <w:sz w:val="24"/>
              </w:rPr>
              <w:t>，</w:t>
            </w:r>
            <w:r>
              <w:rPr>
                <w:rFonts w:hint="eastAsia" w:ascii="仿宋" w:hAnsi="仿宋" w:eastAsia="仿宋" w:cs="仿宋"/>
                <w:b/>
                <w:bCs/>
                <w:sz w:val="24"/>
              </w:rPr>
              <w:t>未获取招标文件送达</w:t>
            </w:r>
            <w:r>
              <w:rPr>
                <w:rFonts w:hint="eastAsia" w:ascii="仿宋" w:hAnsi="仿宋" w:eastAsia="仿宋" w:cs="仿宋"/>
                <w:sz w:val="24"/>
              </w:rPr>
              <w:t>或逾期送达不予接收。</w:t>
            </w:r>
          </w:p>
          <w:p>
            <w:pPr>
              <w:spacing w:line="440" w:lineRule="exact"/>
              <w:ind w:firstLine="480" w:firstLineChars="200"/>
              <w:rPr>
                <w:rFonts w:ascii="仿宋" w:hAnsi="仿宋" w:eastAsia="仿宋" w:cs="仿宋"/>
                <w:sz w:val="24"/>
              </w:rPr>
            </w:pPr>
            <w:r>
              <w:rPr>
                <w:rFonts w:hint="eastAsia" w:ascii="仿宋" w:hAnsi="仿宋" w:eastAsia="仿宋" w:cs="仿宋"/>
                <w:sz w:val="24"/>
              </w:rPr>
              <w:t>投标文件递交方式（以下两种方式可任选一种）：</w:t>
            </w:r>
          </w:p>
          <w:p>
            <w:pPr>
              <w:spacing w:line="440" w:lineRule="exact"/>
              <w:ind w:firstLine="480" w:firstLineChars="200"/>
              <w:rPr>
                <w:rFonts w:ascii="仿宋" w:hAnsi="仿宋" w:eastAsia="仿宋" w:cs="仿宋"/>
                <w:sz w:val="24"/>
              </w:rPr>
            </w:pPr>
            <w:r>
              <w:rPr>
                <w:rFonts w:hint="eastAsia" w:ascii="仿宋" w:hAnsi="仿宋" w:eastAsia="仿宋" w:cs="仿宋"/>
                <w:sz w:val="24"/>
              </w:rPr>
              <w:t>（1）采用邮寄方式，邮寄公司建议采用EMS或顺丰（包裹外包装上请注明投标单位名称、项目名称、联系人、联系电话等信息，以便工作人员接收登记工作），接收时间以签收时间为准，如在</w:t>
            </w:r>
            <w:r>
              <w:rPr>
                <w:rFonts w:hint="eastAsia" w:ascii="仿宋" w:hAnsi="仿宋" w:eastAsia="仿宋" w:cs="仿宋"/>
                <w:sz w:val="24"/>
                <w:u w:val="single"/>
              </w:rPr>
              <w:t>投标截止时间</w:t>
            </w:r>
            <w:r>
              <w:rPr>
                <w:rFonts w:hint="eastAsia" w:ascii="仿宋" w:hAnsi="仿宋" w:eastAsia="仿宋" w:cs="仿宋"/>
                <w:sz w:val="24"/>
              </w:rPr>
              <w:t>前未收到投标文件，则作自动放弃投标处理，由投标供应商自行承担责任，邮寄地址：</w:t>
            </w:r>
            <w:r>
              <w:rPr>
                <w:rFonts w:hint="eastAsia" w:ascii="仿宋" w:hAnsi="仿宋" w:eastAsia="仿宋" w:cs="仿宋"/>
                <w:kern w:val="0"/>
                <w:sz w:val="24"/>
              </w:rPr>
              <w:t xml:space="preserve">绍兴市越城区越西路800号金德隆商业中心8幢二楼华诚工程咨询集团有限公司二楼开标室 </w:t>
            </w:r>
            <w:r>
              <w:rPr>
                <w:rFonts w:hint="eastAsia" w:ascii="仿宋" w:hAnsi="仿宋" w:eastAsia="仿宋" w:cs="仿宋"/>
                <w:sz w:val="24"/>
              </w:rPr>
              <w:t>联系人：毕龙梅   电话：15068545458</w:t>
            </w:r>
          </w:p>
          <w:p>
            <w:pPr>
              <w:spacing w:line="440" w:lineRule="exact"/>
              <w:ind w:firstLine="480" w:firstLineChars="200"/>
              <w:rPr>
                <w:rFonts w:ascii="仿宋" w:hAnsi="仿宋" w:eastAsia="仿宋" w:cs="仿宋"/>
                <w:sz w:val="24"/>
              </w:rPr>
            </w:pPr>
            <w:r>
              <w:rPr>
                <w:rFonts w:hint="eastAsia" w:ascii="仿宋" w:hAnsi="仿宋" w:eastAsia="仿宋" w:cs="仿宋"/>
                <w:sz w:val="24"/>
              </w:rPr>
              <w:t>（2）现场递交，供应商应于</w:t>
            </w:r>
            <w:r>
              <w:rPr>
                <w:rFonts w:hint="eastAsia" w:ascii="仿宋" w:hAnsi="仿宋" w:eastAsia="仿宋" w:cs="仿宋"/>
                <w:sz w:val="24"/>
                <w:u w:val="single"/>
              </w:rPr>
              <w:t>投标截止时间</w:t>
            </w:r>
            <w:r>
              <w:rPr>
                <w:rFonts w:hint="eastAsia" w:ascii="仿宋" w:hAnsi="仿宋" w:eastAsia="仿宋" w:cs="仿宋"/>
                <w:sz w:val="24"/>
              </w:rPr>
              <w:t>前将投标文件密封送交，</w:t>
            </w:r>
            <w:r>
              <w:rPr>
                <w:rFonts w:hint="eastAsia" w:ascii="仿宋" w:hAnsi="仿宋" w:eastAsia="仿宋" w:cs="仿宋"/>
                <w:b/>
                <w:bCs/>
                <w:sz w:val="24"/>
              </w:rPr>
              <w:t>未获取招标文件送达或</w:t>
            </w:r>
            <w:r>
              <w:rPr>
                <w:rFonts w:hint="eastAsia" w:ascii="仿宋" w:hAnsi="仿宋" w:eastAsia="仿宋" w:cs="仿宋"/>
                <w:sz w:val="24"/>
              </w:rPr>
              <w:t xml:space="preserve">逾期送达不予接收，应即交即走，不参加后续开标会。现场递交地址： </w:t>
            </w:r>
            <w:r>
              <w:rPr>
                <w:rFonts w:hint="eastAsia" w:ascii="仿宋" w:hAnsi="仿宋" w:eastAsia="仿宋" w:cs="仿宋"/>
                <w:kern w:val="0"/>
                <w:sz w:val="24"/>
              </w:rPr>
              <w:t>绍兴市越城区越西路800号金德隆商业中心8幢二楼华诚工程咨询集团有限公司二楼开标室</w:t>
            </w:r>
          </w:p>
          <w:p>
            <w:pPr>
              <w:spacing w:line="440" w:lineRule="exact"/>
              <w:ind w:firstLine="480" w:firstLineChars="200"/>
              <w:rPr>
                <w:rFonts w:ascii="仿宋" w:hAnsi="仿宋" w:eastAsia="仿宋" w:cs="仿宋"/>
                <w:sz w:val="24"/>
              </w:rPr>
            </w:pPr>
            <w:r>
              <w:rPr>
                <w:rFonts w:hint="eastAsia" w:ascii="仿宋" w:hAnsi="仿宋" w:eastAsia="仿宋" w:cs="仿宋"/>
                <w:sz w:val="24"/>
              </w:rPr>
              <w:t>六、开标时间及地点：</w:t>
            </w:r>
            <w:r>
              <w:rPr>
                <w:rFonts w:hint="eastAsia" w:ascii="仿宋" w:hAnsi="仿宋" w:eastAsia="仿宋" w:cs="仿宋"/>
                <w:color w:val="000000"/>
                <w:sz w:val="24"/>
              </w:rPr>
              <w:t>同投标截止时间及地点。</w:t>
            </w:r>
            <w:r>
              <w:rPr>
                <w:rFonts w:hint="eastAsia" w:ascii="仿宋" w:hAnsi="仿宋" w:eastAsia="仿宋" w:cs="仿宋"/>
                <w:sz w:val="24"/>
              </w:rPr>
              <w:t>由于疫情影响采用不见面开标，法定代表人或其授权代表不用出席开标会议。</w:t>
            </w:r>
          </w:p>
          <w:p>
            <w:pPr>
              <w:spacing w:line="440" w:lineRule="exact"/>
              <w:ind w:firstLine="464" w:firstLineChars="200"/>
              <w:jc w:val="left"/>
              <w:rPr>
                <w:rFonts w:ascii="仿宋" w:hAnsi="仿宋" w:eastAsia="仿宋" w:cs="仿宋"/>
                <w:spacing w:val="-4"/>
                <w:sz w:val="24"/>
              </w:rPr>
            </w:pPr>
            <w:r>
              <w:rPr>
                <w:rFonts w:hint="eastAsia" w:ascii="仿宋" w:hAnsi="仿宋" w:eastAsia="仿宋" w:cs="仿宋"/>
                <w:spacing w:val="-4"/>
                <w:sz w:val="24"/>
              </w:rPr>
              <w:t>七、采购公告及更正公告发布网址：</w:t>
            </w:r>
            <w:bookmarkStart w:id="0" w:name="_Hlt10553106"/>
            <w:bookmarkEnd w:id="0"/>
            <w:bookmarkStart w:id="1" w:name="_Hlt10553107"/>
            <w:bookmarkEnd w:id="1"/>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sz w:val="24"/>
              </w:rPr>
              <w:t>，绍兴市卫健委官网：http://sxws.sx.gov.cn/</w:t>
            </w:r>
          </w:p>
          <w:p>
            <w:pPr>
              <w:spacing w:line="440" w:lineRule="exact"/>
              <w:ind w:firstLine="464" w:firstLineChars="200"/>
              <w:rPr>
                <w:rFonts w:ascii="仿宋" w:hAnsi="仿宋" w:eastAsia="仿宋" w:cs="仿宋"/>
              </w:rPr>
            </w:pPr>
            <w:r>
              <w:rPr>
                <w:rFonts w:hint="eastAsia" w:ascii="仿宋" w:hAnsi="仿宋" w:eastAsia="仿宋" w:cs="仿宋"/>
                <w:spacing w:val="-4"/>
                <w:sz w:val="24"/>
              </w:rPr>
              <w:t>八、采购公告期限：本公告发布之日起五个工作日。</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九、其他事宜</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十、对本次采购提出询问、质疑、投诉，请按以下方式联系</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rPr>
              <w:t>绍兴市人民医院</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传真： /</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项目联系人（询问）：朱美丽</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项目联系方式（询问）：13429550782</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 陈志良</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w:t>
            </w:r>
            <w:r>
              <w:rPr>
                <w:rFonts w:hint="eastAsia" w:ascii="仿宋" w:hAnsi="仿宋" w:eastAsia="仿宋" w:cs="仿宋"/>
                <w:color w:val="000000" w:themeColor="text1"/>
                <w:szCs w:val="24"/>
              </w:rPr>
              <w:t>0575-88558821</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2.采购代理机构信息       </w:t>
            </w:r>
          </w:p>
          <w:p>
            <w:pPr>
              <w:pStyle w:val="69"/>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名称：</w:t>
            </w:r>
            <w:r>
              <w:rPr>
                <w:rFonts w:hint="eastAsia" w:ascii="仿宋" w:hAnsi="仿宋" w:eastAsia="仿宋" w:cs="仿宋"/>
                <w:color w:val="000000"/>
              </w:rPr>
              <w:t>华诚工程咨询集团有限公司</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地址：绍兴市越城区越西路800号金德隆商业中心8幢二楼</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69"/>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项目联系人（询问）：毕龙梅</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项目联系方式（询问）：15068545458</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 詹栋炯</w:t>
            </w:r>
          </w:p>
          <w:p>
            <w:pPr>
              <w:pStyle w:val="69"/>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w:t>
            </w:r>
          </w:p>
          <w:p>
            <w:pPr>
              <w:pStyle w:val="69"/>
              <w:spacing w:after="120" w:line="440" w:lineRule="exact"/>
              <w:ind w:firstLine="480"/>
              <w:rPr>
                <w:rFonts w:ascii="仿宋" w:hAnsi="仿宋" w:eastAsia="仿宋" w:cs="仿宋"/>
                <w:szCs w:val="24"/>
              </w:rPr>
            </w:pPr>
            <w:r>
              <w:rPr>
                <w:rFonts w:hint="eastAsia" w:ascii="仿宋" w:hAnsi="仿宋" w:eastAsia="仿宋" w:cs="仿宋"/>
                <w:szCs w:val="24"/>
              </w:rPr>
              <w:t>3.同级采购监督管理部门       </w:t>
            </w:r>
          </w:p>
          <w:p>
            <w:pPr>
              <w:pStyle w:val="69"/>
              <w:spacing w:after="120" w:line="440" w:lineRule="exact"/>
              <w:ind w:firstLine="480"/>
              <w:rPr>
                <w:rFonts w:ascii="仿宋" w:hAnsi="仿宋" w:eastAsia="仿宋" w:cs="仿宋"/>
                <w:szCs w:val="24"/>
              </w:rPr>
            </w:pPr>
            <w:r>
              <w:rPr>
                <w:rFonts w:hint="eastAsia" w:ascii="仿宋" w:hAnsi="仿宋" w:eastAsia="仿宋" w:cs="仿宋"/>
                <w:szCs w:val="24"/>
              </w:rPr>
              <w:t>名称：绍兴市卫生健康委员会       </w:t>
            </w:r>
          </w:p>
          <w:p>
            <w:pPr>
              <w:pStyle w:val="69"/>
              <w:spacing w:after="120" w:line="440" w:lineRule="exact"/>
              <w:ind w:firstLine="480"/>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rPr>
              <w:t>绍兴市洋江西路589号</w:t>
            </w:r>
            <w:r>
              <w:rPr>
                <w:rFonts w:hint="eastAsia" w:ascii="仿宋" w:hAnsi="仿宋" w:eastAsia="仿宋" w:cs="仿宋"/>
                <w:szCs w:val="24"/>
              </w:rPr>
              <w:t>      </w:t>
            </w:r>
          </w:p>
          <w:p>
            <w:pPr>
              <w:pStyle w:val="69"/>
              <w:spacing w:after="120" w:line="440" w:lineRule="exact"/>
              <w:ind w:firstLine="480"/>
              <w:rPr>
                <w:rFonts w:ascii="仿宋" w:hAnsi="仿宋" w:eastAsia="仿宋" w:cs="仿宋"/>
                <w:szCs w:val="24"/>
              </w:rPr>
            </w:pPr>
            <w:r>
              <w:rPr>
                <w:rFonts w:hint="eastAsia" w:ascii="仿宋" w:hAnsi="仿宋" w:eastAsia="仿宋" w:cs="仿宋"/>
                <w:szCs w:val="24"/>
              </w:rPr>
              <w:t>传真：/       </w:t>
            </w:r>
          </w:p>
          <w:p>
            <w:pPr>
              <w:pStyle w:val="69"/>
              <w:spacing w:after="120" w:line="440" w:lineRule="exact"/>
              <w:ind w:firstLine="480"/>
              <w:rPr>
                <w:rFonts w:ascii="仿宋" w:hAnsi="仿宋" w:eastAsia="仿宋" w:cs="仿宋"/>
                <w:szCs w:val="24"/>
              </w:rPr>
            </w:pPr>
            <w:r>
              <w:rPr>
                <w:rFonts w:hint="eastAsia" w:ascii="仿宋" w:hAnsi="仿宋" w:eastAsia="仿宋" w:cs="仿宋"/>
                <w:szCs w:val="24"/>
              </w:rPr>
              <w:t>联系人 ：茅艳萍     </w:t>
            </w:r>
          </w:p>
          <w:p>
            <w:pPr>
              <w:pStyle w:val="69"/>
              <w:spacing w:after="120" w:line="440" w:lineRule="exact"/>
              <w:ind w:firstLine="480"/>
              <w:jc w:val="left"/>
              <w:rPr>
                <w:rFonts w:ascii="仿宋" w:hAnsi="仿宋" w:eastAsia="仿宋" w:cs="仿宋"/>
                <w:szCs w:val="24"/>
              </w:rPr>
            </w:pPr>
            <w:r>
              <w:rPr>
                <w:rFonts w:hint="eastAsia" w:ascii="仿宋" w:hAnsi="仿宋" w:eastAsia="仿宋" w:cs="仿宋"/>
                <w:szCs w:val="24"/>
              </w:rPr>
              <w:t>监督投诉电话：0575-85228949  </w:t>
            </w:r>
          </w:p>
          <w:p>
            <w:pPr>
              <w:pStyle w:val="69"/>
              <w:widowControl w:val="0"/>
              <w:spacing w:afterLines="0" w:line="312" w:lineRule="auto"/>
              <w:ind w:firstLine="480"/>
              <w:rPr>
                <w:rFonts w:ascii="仿宋" w:hAnsi="仿宋" w:eastAsia="仿宋" w:cs="仿宋"/>
                <w:szCs w:val="24"/>
              </w:rPr>
            </w:pPr>
          </w:p>
          <w:p>
            <w:pPr>
              <w:pStyle w:val="69"/>
              <w:spacing w:afterLines="0" w:line="440" w:lineRule="exact"/>
              <w:ind w:firstLine="480"/>
              <w:rPr>
                <w:rFonts w:ascii="仿宋" w:hAnsi="仿宋" w:eastAsia="仿宋" w:cs="仿宋"/>
                <w:szCs w:val="24"/>
              </w:rPr>
            </w:pPr>
          </w:p>
        </w:tc>
      </w:tr>
      <w:tr>
        <w:tblPrEx>
          <w:tblCellMar>
            <w:top w:w="0" w:type="dxa"/>
            <w:left w:w="0" w:type="dxa"/>
            <w:bottom w:w="0" w:type="dxa"/>
            <w:right w:w="0" w:type="dxa"/>
          </w:tblCellMar>
        </w:tblPrEx>
        <w:tc>
          <w:tcPr>
            <w:tcW w:w="8279" w:type="dxa"/>
            <w:vAlign w:val="center"/>
          </w:tcPr>
          <w:p>
            <w:pPr>
              <w:rPr>
                <w:rFonts w:ascii="仿宋" w:hAnsi="仿宋" w:eastAsia="仿宋" w:cs="仿宋"/>
              </w:rPr>
            </w:pPr>
          </w:p>
        </w:tc>
      </w:tr>
    </w:tbl>
    <w:p>
      <w:pPr>
        <w:widowControl/>
        <w:jc w:val="center"/>
        <w:rPr>
          <w:rFonts w:ascii="仿宋" w:hAnsi="仿宋" w:eastAsia="仿宋" w:cs="仿宋"/>
          <w:kern w:val="0"/>
          <w:sz w:val="24"/>
        </w:rPr>
      </w:pPr>
      <w:r>
        <w:rPr>
          <w:rFonts w:hint="eastAsia" w:ascii="仿宋" w:hAnsi="仿宋" w:eastAsia="仿宋" w:cs="仿宋"/>
          <w:kern w:val="0"/>
          <w:sz w:val="24"/>
        </w:rPr>
        <w:t xml:space="preserve">                            公告时间：2022年</w:t>
      </w:r>
      <w:r>
        <w:rPr>
          <w:rFonts w:hint="eastAsia" w:ascii="仿宋" w:hAnsi="仿宋" w:eastAsia="仿宋" w:cs="仿宋"/>
          <w:kern w:val="0"/>
          <w:sz w:val="24"/>
          <w:lang w:val="en-US" w:eastAsia="zh-CN"/>
        </w:rPr>
        <w:t>11</w:t>
      </w:r>
      <w:r>
        <w:rPr>
          <w:rFonts w:hint="eastAsia" w:ascii="仿宋" w:hAnsi="仿宋" w:eastAsia="仿宋" w:cs="仿宋"/>
          <w:kern w:val="0"/>
          <w:sz w:val="24"/>
        </w:rPr>
        <w:t xml:space="preserve"> 月</w:t>
      </w:r>
      <w:r>
        <w:rPr>
          <w:rFonts w:hint="eastAsia" w:ascii="仿宋" w:hAnsi="仿宋" w:eastAsia="仿宋" w:cs="仿宋"/>
          <w:kern w:val="0"/>
          <w:sz w:val="24"/>
          <w:lang w:val="en-US" w:eastAsia="zh-CN"/>
        </w:rPr>
        <w:t>10</w:t>
      </w:r>
      <w:r>
        <w:rPr>
          <w:rFonts w:hint="eastAsia" w:ascii="仿宋" w:hAnsi="仿宋" w:eastAsia="仿宋" w:cs="仿宋"/>
          <w:kern w:val="0"/>
          <w:sz w:val="24"/>
        </w:rPr>
        <w:t xml:space="preserve"> 日</w:t>
      </w:r>
    </w:p>
    <w:p>
      <w:pPr>
        <w:pageBreakBefore/>
        <w:ind w:left="238"/>
        <w:jc w:val="center"/>
        <w:rPr>
          <w:rFonts w:ascii="仿宋" w:hAnsi="仿宋" w:eastAsia="仿宋" w:cs="仿宋"/>
          <w:b/>
          <w:sz w:val="36"/>
          <w:szCs w:val="36"/>
        </w:rPr>
      </w:pPr>
      <w:r>
        <w:rPr>
          <w:rFonts w:hint="eastAsia" w:ascii="仿宋" w:hAnsi="仿宋" w:eastAsia="仿宋" w:cs="仿宋"/>
          <w:b/>
          <w:sz w:val="36"/>
          <w:szCs w:val="36"/>
        </w:rPr>
        <w:t>第二部分 投标须知</w:t>
      </w:r>
    </w:p>
    <w:p>
      <w:pPr>
        <w:ind w:left="238"/>
        <w:jc w:val="center"/>
        <w:rPr>
          <w:rFonts w:ascii="仿宋" w:hAnsi="仿宋" w:eastAsia="仿宋" w:cs="仿宋"/>
          <w:b/>
          <w:sz w:val="30"/>
          <w:szCs w:val="36"/>
        </w:rPr>
      </w:pPr>
      <w:bookmarkStart w:id="2" w:name="_Hlk47616320"/>
      <w:r>
        <w:rPr>
          <w:rFonts w:hint="eastAsia" w:ascii="仿宋" w:hAnsi="仿宋" w:eastAsia="仿宋" w:cs="仿宋"/>
          <w:b/>
          <w:sz w:val="30"/>
          <w:szCs w:val="36"/>
        </w:rPr>
        <w:t>前附表</w:t>
      </w:r>
    </w:p>
    <w:tbl>
      <w:tblPr>
        <w:tblStyle w:val="4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pPr>
              <w:spacing w:line="44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投标人按照项目要求特许资格、资信证明文件（如果有）：</w:t>
            </w:r>
          </w:p>
          <w:p>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资格审查方式：</w:t>
            </w:r>
          </w:p>
          <w:p>
            <w:pPr>
              <w:snapToGrid w:val="0"/>
              <w:spacing w:line="440" w:lineRule="exact"/>
              <w:rPr>
                <w:rFonts w:ascii="仿宋" w:hAnsi="仿宋" w:eastAsia="仿宋" w:cs="仿宋"/>
                <w:b/>
                <w:sz w:val="24"/>
              </w:rPr>
            </w:pPr>
            <w:r>
              <w:rPr>
                <w:rFonts w:hint="eastAsia" w:ascii="仿宋" w:hAnsi="仿宋" w:eastAsia="仿宋" w:cs="仿宋"/>
                <w:b/>
                <w:sz w:val="24"/>
              </w:rPr>
              <w:t>1.资格后审。</w:t>
            </w:r>
          </w:p>
          <w:p>
            <w:pPr>
              <w:snapToGrid w:val="0"/>
              <w:spacing w:line="440" w:lineRule="exact"/>
              <w:rPr>
                <w:rFonts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pPr>
              <w:autoSpaceDE w:val="0"/>
              <w:autoSpaceDN w:val="0"/>
              <w:spacing w:line="4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同意将非主体、非关键性的工作分包。</w:t>
            </w:r>
          </w:p>
          <w:p>
            <w:pPr>
              <w:spacing w:line="440" w:lineRule="exact"/>
              <w:ind w:firstLine="720" w:firstLineChars="300"/>
              <w:rPr>
                <w:rFonts w:ascii="仿宋" w:hAnsi="仿宋" w:eastAsia="仿宋" w:cs="仿宋"/>
                <w:b/>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pPr>
              <w:autoSpaceDE w:val="0"/>
              <w:autoSpaceDN w:val="0"/>
              <w:spacing w:line="440" w:lineRule="exact"/>
              <w:textAlignment w:val="bottom"/>
              <w:rPr>
                <w:rFonts w:ascii="仿宋" w:hAnsi="仿宋" w:eastAsia="仿宋" w:cs="仿宋"/>
                <w:b/>
                <w:sz w:val="24"/>
              </w:rPr>
            </w:pPr>
            <w:r>
              <w:rPr>
                <w:rFonts w:hint="eastAsia" w:ascii="仿宋" w:hAnsi="仿宋" w:eastAsia="仿宋" w:cs="仿宋"/>
                <w:b/>
                <w:sz w:val="24"/>
              </w:rPr>
              <w:t>开标前答疑会或现场考察：</w:t>
            </w:r>
          </w:p>
          <w:p>
            <w:pPr>
              <w:spacing w:line="360" w:lineRule="auto"/>
              <w:rPr>
                <w:rFonts w:ascii="仿宋" w:hAnsi="仿宋" w:eastAsia="仿宋" w:cs="仿宋"/>
                <w:sz w:val="24"/>
              </w:rPr>
            </w:pPr>
            <w:sdt>
              <w:sdtPr>
                <w:rPr>
                  <w:rFonts w:hint="eastAsia" w:ascii="仿宋" w:hAnsi="仿宋" w:eastAsia="仿宋" w:cs="仿宋"/>
                  <w:kern w:val="0"/>
                  <w:sz w:val="24"/>
                </w:rPr>
                <w:id w:val="-1263220618"/>
              </w:sdtPr>
              <w:sdtEndPr>
                <w:rPr>
                  <w:rFonts w:hint="eastAsia" w:ascii="仿宋" w:hAnsi="仿宋" w:eastAsia="仿宋" w:cs="仿宋"/>
                  <w:kern w:val="0"/>
                  <w:sz w:val="24"/>
                </w:rPr>
              </w:sdtEndPr>
              <w:sdtContent>
                <w:bookmarkStart w:id="174" w:name="_GoBack"/>
                <w:bookmarkEnd w:id="174"/>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不组织。</w:t>
            </w:r>
          </w:p>
          <w:p>
            <w:pPr>
              <w:autoSpaceDE w:val="0"/>
              <w:autoSpaceDN w:val="0"/>
              <w:spacing w:line="440" w:lineRule="exact"/>
              <w:textAlignment w:val="bottom"/>
              <w:rPr>
                <w:rFonts w:ascii="仿宋" w:hAnsi="仿宋" w:eastAsia="仿宋" w:cs="仿宋"/>
                <w:b/>
                <w:sz w:val="24"/>
              </w:rPr>
            </w:pPr>
            <w:sdt>
              <w:sdtPr>
                <w:rPr>
                  <w:rFonts w:hint="eastAsia" w:ascii="仿宋" w:hAnsi="仿宋" w:eastAsia="仿宋" w:cs="仿宋"/>
                  <w:kern w:val="0"/>
                  <w:sz w:val="24"/>
                </w:rPr>
                <w:id w:val="-94006690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8</w:t>
            </w:r>
          </w:p>
        </w:tc>
        <w:tc>
          <w:tcPr>
            <w:tcW w:w="8370" w:type="dxa"/>
            <w:gridSpan w:val="2"/>
            <w:vAlign w:val="center"/>
          </w:tcPr>
          <w:p>
            <w:pPr>
              <w:spacing w:line="440" w:lineRule="exact"/>
              <w:rPr>
                <w:rFonts w:ascii="仿宋" w:hAnsi="仿宋" w:eastAsia="仿宋" w:cs="仿宋"/>
                <w:b/>
                <w:sz w:val="24"/>
              </w:rPr>
            </w:pPr>
            <w:r>
              <w:rPr>
                <w:rFonts w:hint="eastAsia" w:ascii="仿宋" w:hAnsi="仿宋" w:eastAsia="仿宋" w:cs="仿宋"/>
                <w:b/>
                <w:sz w:val="24"/>
              </w:rPr>
              <w:t>样品提供：</w:t>
            </w:r>
          </w:p>
          <w:p>
            <w:pPr>
              <w:spacing w:line="360" w:lineRule="auto"/>
              <w:rPr>
                <w:rFonts w:ascii="仿宋" w:hAnsi="仿宋" w:eastAsia="仿宋" w:cs="仿宋"/>
                <w:sz w:val="24"/>
              </w:rPr>
            </w:pPr>
            <w:sdt>
              <w:sdtPr>
                <w:rPr>
                  <w:rFonts w:hint="eastAsia" w:ascii="仿宋" w:hAnsi="仿宋" w:eastAsia="仿宋" w:cs="仿宋"/>
                  <w:kern w:val="0"/>
                  <w:sz w:val="24"/>
                </w:rPr>
                <w:id w:val="-740788832"/>
              </w:sdtPr>
              <w:sdtEndPr>
                <w:rPr>
                  <w:rFonts w:hint="eastAsia" w:ascii="仿宋" w:hAnsi="仿宋" w:eastAsia="仿宋" w:cs="仿宋"/>
                  <w:kern w:val="0"/>
                  <w:sz w:val="24"/>
                </w:rPr>
              </w:sdtEndPr>
              <w:sdtContent>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87485638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sdt>
                  <w:sdtPr>
                    <w:rPr>
                      <w:rFonts w:hint="eastAsia" w:ascii="仿宋" w:hAnsi="仿宋" w:eastAsia="仿宋" w:cs="仿宋"/>
                      <w:kern w:val="0"/>
                      <w:sz w:val="24"/>
                    </w:rPr>
                    <w:id w:val="141474232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adjustRightInd w:val="0"/>
              <w:spacing w:line="440" w:lineRule="exact"/>
              <w:jc w:val="lef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9</w:t>
            </w:r>
          </w:p>
        </w:tc>
        <w:tc>
          <w:tcPr>
            <w:tcW w:w="8370" w:type="dxa"/>
            <w:gridSpan w:val="2"/>
            <w:vAlign w:val="center"/>
          </w:tcPr>
          <w:p>
            <w:pPr>
              <w:spacing w:line="440" w:lineRule="exact"/>
              <w:rPr>
                <w:rFonts w:ascii="仿宋" w:hAnsi="仿宋" w:eastAsia="仿宋" w:cs="仿宋"/>
              </w:rPr>
            </w:pPr>
            <w:r>
              <w:rPr>
                <w:rFonts w:hint="eastAsia" w:ascii="仿宋" w:hAnsi="仿宋" w:eastAsia="仿宋" w:cs="仿宋"/>
              </w:rPr>
              <w:t>方案讲解演示：</w:t>
            </w:r>
          </w:p>
          <w:p>
            <w:pPr>
              <w:spacing w:line="440" w:lineRule="exact"/>
              <w:rPr>
                <w:rFonts w:ascii="仿宋" w:hAnsi="仿宋" w:eastAsia="仿宋" w:cs="仿宋"/>
                <w:sz w:val="24"/>
              </w:rPr>
            </w:pPr>
            <w:sdt>
              <w:sdtPr>
                <w:rPr>
                  <w:rFonts w:hint="eastAsia" w:ascii="仿宋" w:hAnsi="仿宋" w:eastAsia="仿宋" w:cs="仿宋"/>
                </w:rPr>
                <w:id w:val="801731539"/>
              </w:sdtPr>
              <w:sdtEndPr>
                <w:rPr>
                  <w:rFonts w:hint="eastAsia" w:ascii="仿宋" w:hAnsi="仿宋" w:eastAsia="仿宋" w:cs="仿宋"/>
                </w:rPr>
              </w:sdtEndPr>
              <w:sdtContent>
                <w:sdt>
                  <w:sdtPr>
                    <w:rPr>
                      <w:rFonts w:hint="eastAsia" w:ascii="仿宋" w:hAnsi="仿宋" w:eastAsia="仿宋" w:cs="仿宋"/>
                    </w:rPr>
                    <w:id w:val="-1281644016"/>
                  </w:sdtPr>
                  <w:sdtEndPr>
                    <w:rPr>
                      <w:rFonts w:hint="eastAsia" w:ascii="仿宋" w:hAnsi="仿宋" w:eastAsia="仿宋" w:cs="仿宋"/>
                    </w:rPr>
                  </w:sdtEndPr>
                  <w:sdtContent>
                    <w:r>
                      <w:rPr>
                        <w:rFonts w:hint="eastAsia" w:ascii="仿宋" w:hAnsi="仿宋" w:eastAsia="仿宋" w:cs="仿宋"/>
                      </w:rPr>
                      <w:sym w:font="Wingdings" w:char="00A8"/>
                    </w:r>
                  </w:sdtContent>
                </w:sdt>
              </w:sdtContent>
            </w:sdt>
            <w:r>
              <w:rPr>
                <w:rFonts w:hint="eastAsia" w:ascii="仿宋" w:hAnsi="仿宋" w:eastAsia="仿宋" w:cs="仿宋"/>
              </w:rPr>
              <w:t>A</w:t>
            </w:r>
            <w:r>
              <w:rPr>
                <w:rFonts w:hint="eastAsia" w:ascii="仿宋" w:hAnsi="仿宋" w:eastAsia="仿宋" w:cs="仿宋"/>
                <w:sz w:val="24"/>
              </w:rPr>
              <w:t>无方案讲解演示。</w:t>
            </w:r>
          </w:p>
          <w:p>
            <w:pPr>
              <w:spacing w:line="440" w:lineRule="exact"/>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B有方案讲解演示：</w:t>
            </w:r>
          </w:p>
          <w:p>
            <w:pPr>
              <w:spacing w:line="440" w:lineRule="exact"/>
              <w:ind w:firstLine="480" w:firstLineChars="200"/>
              <w:rPr>
                <w:rFonts w:ascii="仿宋" w:hAnsi="仿宋" w:eastAsia="仿宋" w:cs="仿宋"/>
                <w:sz w:val="24"/>
              </w:rPr>
            </w:pPr>
            <w:r>
              <w:rPr>
                <w:rFonts w:hint="eastAsia" w:ascii="仿宋" w:hAnsi="仿宋" w:eastAsia="仿宋" w:cs="仿宋"/>
                <w:sz w:val="24"/>
              </w:rPr>
              <w:t>在评标时安排每个投标人进行方案讲解演示，讲解演示结束后按要求解答评标委员会的提问。</w:t>
            </w:r>
          </w:p>
          <w:p>
            <w:pPr>
              <w:spacing w:line="440" w:lineRule="exact"/>
              <w:rPr>
                <w:rFonts w:ascii="仿宋" w:hAnsi="仿宋" w:eastAsia="仿宋" w:cs="仿宋"/>
                <w:sz w:val="24"/>
              </w:rPr>
            </w:pPr>
            <w:r>
              <w:rPr>
                <w:rFonts w:hint="eastAsia" w:ascii="仿宋" w:hAnsi="仿宋" w:eastAsia="仿宋" w:cs="仿宋"/>
                <w:sz w:val="24"/>
              </w:rPr>
              <w:t>讲解演示设备：讲解演示所需设备由投标人自行准备。</w:t>
            </w:r>
          </w:p>
          <w:p>
            <w:pPr>
              <w:spacing w:line="440" w:lineRule="exact"/>
              <w:rPr>
                <w:rFonts w:ascii="仿宋" w:hAnsi="仿宋" w:eastAsia="仿宋" w:cs="仿宋"/>
                <w:sz w:val="24"/>
              </w:rPr>
            </w:pPr>
            <w:r>
              <w:rPr>
                <w:rFonts w:hint="eastAsia" w:ascii="仿宋" w:hAnsi="仿宋" w:eastAsia="仿宋" w:cs="仿宋"/>
                <w:sz w:val="24"/>
              </w:rPr>
              <w:t>讲解演示时间：每个投标人讲解演示前的调试准备时间不超过15分钟，讲解演示时间不超过15分钟，不包含评标委员会提问解答时间。</w:t>
            </w:r>
          </w:p>
          <w:p>
            <w:pPr>
              <w:spacing w:line="440" w:lineRule="exact"/>
              <w:rPr>
                <w:rFonts w:ascii="仿宋" w:hAnsi="仿宋" w:eastAsia="仿宋" w:cs="仿宋"/>
                <w:sz w:val="24"/>
              </w:rPr>
            </w:pPr>
            <w:r>
              <w:rPr>
                <w:rFonts w:hint="eastAsia" w:ascii="仿宋" w:hAnsi="仿宋" w:eastAsia="仿宋" w:cs="仿宋"/>
                <w:sz w:val="24"/>
              </w:rPr>
              <w:t>讲解演示次序：以投标人报名的先后顺序为准。</w:t>
            </w:r>
          </w:p>
          <w:p>
            <w:pPr>
              <w:spacing w:line="440" w:lineRule="exact"/>
              <w:rPr>
                <w:rFonts w:ascii="仿宋" w:hAnsi="仿宋" w:eastAsia="仿宋" w:cs="仿宋"/>
                <w:sz w:val="24"/>
              </w:rPr>
            </w:pPr>
            <w:r>
              <w:rPr>
                <w:rFonts w:hint="eastAsia" w:ascii="仿宋" w:hAnsi="仿宋" w:eastAsia="仿宋" w:cs="仿宋"/>
                <w:sz w:val="24"/>
              </w:rPr>
              <w:t>注:（1）参加演示的投标人人数不超过2人。不得派遣有中高风险地区旅居史的代表参加本次演示；</w:t>
            </w:r>
          </w:p>
          <w:p>
            <w:pPr>
              <w:spacing w:line="440" w:lineRule="exact"/>
              <w:rPr>
                <w:rFonts w:ascii="仿宋" w:hAnsi="仿宋" w:eastAsia="仿宋" w:cs="仿宋"/>
                <w:sz w:val="24"/>
              </w:rPr>
            </w:pPr>
            <w:r>
              <w:rPr>
                <w:rFonts w:hint="eastAsia" w:ascii="仿宋" w:hAnsi="仿宋" w:eastAsia="仿宋" w:cs="仿宋"/>
                <w:sz w:val="24"/>
              </w:rPr>
              <w:t xml:space="preserve">   （2）投标人拟派省外演示代表的需提供当地48H核酸阴性证明，同时到绍后于绍兴本地核酸检测机构进行检测；</w:t>
            </w:r>
          </w:p>
          <w:p>
            <w:pPr>
              <w:spacing w:line="440" w:lineRule="exact"/>
              <w:rPr>
                <w:rFonts w:ascii="仿宋" w:hAnsi="仿宋" w:eastAsia="仿宋" w:cs="仿宋"/>
                <w:sz w:val="24"/>
              </w:rPr>
            </w:pPr>
            <w:r>
              <w:rPr>
                <w:rFonts w:hint="eastAsia" w:ascii="仿宋" w:hAnsi="仿宋" w:eastAsia="仿宋" w:cs="仿宋"/>
                <w:sz w:val="24"/>
              </w:rPr>
              <w:t xml:space="preserve">   （3）投标人拟派省内演示代表的需提供3日内核酸阴性证明。</w:t>
            </w:r>
          </w:p>
          <w:p>
            <w:pPr>
              <w:spacing w:line="440" w:lineRule="exact"/>
              <w:rPr>
                <w:rFonts w:ascii="仿宋" w:hAnsi="仿宋" w:eastAsia="仿宋" w:cs="仿宋"/>
              </w:rPr>
            </w:pPr>
            <w:r>
              <w:rPr>
                <w:rFonts w:hint="eastAsia" w:ascii="仿宋" w:hAnsi="仿宋" w:eastAsia="仿宋" w:cs="仿宋"/>
                <w:sz w:val="24"/>
              </w:rPr>
              <w:t xml:space="preserve">   （4）具体要求按照绍兴市政务服务办公室发布的《关于做好疫情防控期间公共资源交易相关工作的通知》文件执行。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10</w:t>
            </w:r>
          </w:p>
        </w:tc>
        <w:tc>
          <w:tcPr>
            <w:tcW w:w="85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进口产品</w:t>
            </w:r>
          </w:p>
        </w:tc>
        <w:tc>
          <w:tcPr>
            <w:tcW w:w="7515" w:type="dxa"/>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75181343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本项目不允许采购进口产品。</w:t>
            </w:r>
          </w:p>
          <w:p>
            <w:pPr>
              <w:snapToGrid w:val="0"/>
              <w:spacing w:line="440" w:lineRule="exact"/>
              <w:rPr>
                <w:rFonts w:ascii="仿宋" w:hAnsi="仿宋" w:eastAsia="仿宋" w:cs="仿宋"/>
                <w:b/>
                <w:sz w:val="24"/>
              </w:rPr>
            </w:pPr>
            <w:sdt>
              <w:sdtPr>
                <w:rPr>
                  <w:rFonts w:hint="eastAsia" w:ascii="仿宋" w:hAnsi="仿宋" w:eastAsia="仿宋" w:cs="仿宋"/>
                  <w:kern w:val="0"/>
                  <w:sz w:val="24"/>
                </w:rPr>
                <w:id w:val="-83321284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11</w:t>
            </w:r>
          </w:p>
        </w:tc>
        <w:tc>
          <w:tcPr>
            <w:tcW w:w="855" w:type="dxa"/>
            <w:vAlign w:val="center"/>
          </w:tcPr>
          <w:p>
            <w:pPr>
              <w:snapToGrid w:val="0"/>
              <w:ind w:left="-3" w:leftChars="-8" w:right="-50" w:rightChars="-2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A货物类，单一产品或核心产品为：。</w:t>
            </w:r>
          </w:p>
          <w:p>
            <w:pPr>
              <w:snapToGrid w:val="0"/>
              <w:spacing w:line="440" w:lineRule="exact"/>
              <w:rPr>
                <w:rFonts w:ascii="仿宋" w:hAnsi="仿宋" w:eastAsia="仿宋" w:cs="仿宋"/>
                <w:sz w:val="24"/>
              </w:rPr>
            </w:pPr>
            <w:sdt>
              <w:sdtPr>
                <w:rPr>
                  <w:rFonts w:hint="eastAsia" w:ascii="仿宋" w:hAnsi="仿宋" w:eastAsia="仿宋" w:cs="仿宋"/>
                  <w:sz w:val="24"/>
                </w:rPr>
                <w:id w:val="118727868"/>
              </w:sdtPr>
              <w:sdtEndPr>
                <w:rPr>
                  <w:rFonts w:hint="eastAsia" w:ascii="仿宋" w:hAnsi="仿宋" w:eastAsia="仿宋" w:cs="仿宋"/>
                  <w:sz w:val="24"/>
                </w:rPr>
              </w:sdtEndPr>
              <w:sdtContent>
                <w:r>
                  <w:rPr>
                    <w:rFonts w:hint="eastAsia" w:ascii="仿宋" w:hAnsi="仿宋" w:eastAsia="仿宋" w:cs="仿宋"/>
                    <w:sz w:val="24"/>
                  </w:rPr>
                  <w:sym w:font="Wingdings" w:char="00FE"/>
                </w:r>
              </w:sdtContent>
            </w:sdt>
            <w:sdt>
              <w:sdtPr>
                <w:rPr>
                  <w:rFonts w:hint="eastAsia" w:ascii="仿宋" w:hAnsi="仿宋" w:eastAsia="仿宋" w:cs="仿宋"/>
                  <w:sz w:val="24"/>
                </w:rPr>
                <w:id w:val="474885559"/>
              </w:sdtPr>
              <w:sdtEndPr>
                <w:rPr>
                  <w:rFonts w:hint="eastAsia" w:ascii="仿宋" w:hAnsi="仿宋" w:eastAsia="仿宋" w:cs="仿宋"/>
                  <w:sz w:val="24"/>
                </w:rPr>
              </w:sdtEndPr>
              <w:sdtContent/>
            </w:sdt>
            <w:r>
              <w:rPr>
                <w:rFonts w:hint="eastAsia" w:ascii="仿宋" w:hAnsi="仿宋" w:eastAsia="仿宋" w:cs="仿宋"/>
                <w:sz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12</w:t>
            </w:r>
          </w:p>
        </w:tc>
        <w:tc>
          <w:tcPr>
            <w:tcW w:w="855" w:type="dxa"/>
            <w:vAlign w:val="center"/>
          </w:tcPr>
          <w:p>
            <w:pPr>
              <w:snapToGrid w:val="0"/>
              <w:ind w:left="-18" w:leftChars="-9" w:right="-50" w:rightChars="-24"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  </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13</w:t>
            </w:r>
          </w:p>
        </w:tc>
        <w:tc>
          <w:tcPr>
            <w:tcW w:w="855" w:type="dxa"/>
            <w:vMerge w:val="restart"/>
            <w:vAlign w:val="center"/>
          </w:tcPr>
          <w:p>
            <w:pPr>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pPr>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14</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40" w:lineRule="exact"/>
              <w:rPr>
                <w:rFonts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15</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rPr>
              <w:t>，</w:t>
            </w:r>
            <w:r>
              <w:rPr>
                <w:rFonts w:hint="eastAsia" w:ascii="仿宋" w:hAnsi="仿宋" w:eastAsia="仿宋" w:cs="仿宋"/>
                <w:sz w:val="24"/>
              </w:rPr>
              <w:t>绍兴市卫健委官网http://sxws.sx.gov.cn/查看下载。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16</w:t>
            </w:r>
          </w:p>
        </w:tc>
        <w:tc>
          <w:tcPr>
            <w:tcW w:w="8370" w:type="dxa"/>
            <w:gridSpan w:val="2"/>
            <w:vAlign w:val="center"/>
          </w:tcPr>
          <w:p>
            <w:pPr>
              <w:spacing w:line="440" w:lineRule="exact"/>
              <w:rPr>
                <w:rFonts w:ascii="仿宋" w:hAnsi="仿宋" w:eastAsia="仿宋" w:cs="仿宋"/>
                <w:b/>
                <w:bCs/>
                <w:sz w:val="24"/>
              </w:rPr>
            </w:pPr>
            <w:r>
              <w:rPr>
                <w:rFonts w:hint="eastAsia" w:ascii="仿宋" w:hAnsi="仿宋" w:eastAsia="仿宋" w:cs="仿宋"/>
                <w:b/>
                <w:bCs/>
                <w:sz w:val="24"/>
              </w:rPr>
              <w:t>采购代理服务费：</w:t>
            </w:r>
          </w:p>
          <w:p>
            <w:pPr>
              <w:ind w:firstLine="480" w:firstLineChars="200"/>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ind w:firstLine="480" w:firstLineChars="200"/>
              <w:rPr>
                <w:rFonts w:ascii="仿宋" w:hAnsi="仿宋" w:eastAsia="仿宋" w:cs="仿宋"/>
                <w:sz w:val="24"/>
              </w:rPr>
            </w:pPr>
            <w:r>
              <w:rPr>
                <w:rFonts w:hint="eastAsia" w:ascii="仿宋" w:hAnsi="仿宋" w:eastAsia="仿宋" w:cs="仿宋"/>
                <w:sz w:val="24"/>
              </w:rPr>
              <w:t>（1）招标代理服务费：2000元整；</w:t>
            </w:r>
          </w:p>
          <w:p>
            <w:pPr>
              <w:ind w:firstLine="480" w:firstLineChars="200"/>
              <w:rPr>
                <w:rFonts w:ascii="仿宋" w:hAnsi="仿宋" w:eastAsia="仿宋" w:cs="仿宋"/>
                <w:sz w:val="24"/>
              </w:rPr>
            </w:pPr>
            <w:r>
              <w:rPr>
                <w:rFonts w:hint="eastAsia" w:ascii="仿宋" w:hAnsi="仿宋" w:eastAsia="仿宋" w:cs="仿宋"/>
                <w:sz w:val="24"/>
              </w:rPr>
              <w:t>（2）招标代理服务费的交纳方式：</w:t>
            </w:r>
          </w:p>
          <w:p>
            <w:pPr>
              <w:ind w:firstLine="480" w:firstLineChars="200"/>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ind w:firstLine="480" w:firstLineChars="200"/>
              <w:rPr>
                <w:rFonts w:ascii="仿宋" w:hAnsi="仿宋" w:eastAsia="仿宋" w:cs="仿宋"/>
                <w:sz w:val="24"/>
              </w:rPr>
            </w:pPr>
            <w:r>
              <w:rPr>
                <w:rFonts w:hint="eastAsia" w:ascii="仿宋" w:hAnsi="仿宋" w:eastAsia="仿宋" w:cs="仿宋"/>
                <w:sz w:val="24"/>
              </w:rPr>
              <w:t>公司名称：</w:t>
            </w:r>
          </w:p>
          <w:p>
            <w:pPr>
              <w:ind w:firstLine="480" w:firstLineChars="200"/>
              <w:rPr>
                <w:rFonts w:ascii="仿宋" w:hAnsi="仿宋" w:eastAsia="仿宋" w:cs="仿宋"/>
                <w:kern w:val="0"/>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sz w:val="24"/>
              </w:rPr>
            </w:pPr>
            <w:r>
              <w:rPr>
                <w:rFonts w:hint="eastAsia" w:ascii="仿宋" w:hAnsi="仿宋" w:eastAsia="仿宋" w:cs="仿宋"/>
                <w:sz w:val="24"/>
              </w:rPr>
              <w:t>解释：凡涉及本招标文件的解释权属于采购人和本代理机构。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bookmarkEnd w:id="2"/>
    </w:tbl>
    <w:p>
      <w:pPr>
        <w:pageBreakBefore/>
        <w:snapToGrid w:val="0"/>
        <w:spacing w:line="300" w:lineRule="auto"/>
        <w:jc w:val="center"/>
        <w:rPr>
          <w:rFonts w:ascii="仿宋" w:hAnsi="仿宋" w:eastAsia="仿宋" w:cs="仿宋"/>
          <w:b/>
          <w:sz w:val="36"/>
          <w:szCs w:val="36"/>
        </w:rPr>
      </w:pPr>
      <w:r>
        <w:rPr>
          <w:rFonts w:hint="eastAsia" w:ascii="仿宋" w:hAnsi="仿宋" w:eastAsia="仿宋" w:cs="仿宋"/>
          <w:b/>
          <w:sz w:val="36"/>
          <w:szCs w:val="36"/>
        </w:rPr>
        <w:t>一、总则</w:t>
      </w:r>
    </w:p>
    <w:p>
      <w:pPr>
        <w:snapToGrid w:val="0"/>
        <w:spacing w:line="440" w:lineRule="exact"/>
        <w:jc w:val="left"/>
        <w:rPr>
          <w:rFonts w:ascii="仿宋" w:hAnsi="仿宋" w:eastAsia="仿宋" w:cs="仿宋"/>
          <w:b/>
          <w:sz w:val="24"/>
        </w:rPr>
      </w:pPr>
      <w:r>
        <w:rPr>
          <w:rFonts w:hint="eastAsia" w:ascii="仿宋" w:hAnsi="仿宋" w:eastAsia="仿宋" w:cs="仿宋"/>
          <w:b/>
          <w:sz w:val="24"/>
        </w:rPr>
        <w:t>1. 项目说明</w:t>
      </w:r>
    </w:p>
    <w:p>
      <w:pPr>
        <w:snapToGrid w:val="0"/>
        <w:spacing w:line="440" w:lineRule="exact"/>
        <w:jc w:val="left"/>
        <w:rPr>
          <w:rFonts w:ascii="仿宋" w:hAnsi="仿宋" w:eastAsia="仿宋" w:cs="仿宋"/>
          <w:sz w:val="24"/>
        </w:rPr>
      </w:pPr>
      <w:r>
        <w:rPr>
          <w:rFonts w:hint="eastAsia" w:ascii="仿宋" w:hAnsi="仿宋" w:eastAsia="仿宋" w:cs="仿宋"/>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s="仿宋"/>
          <w:sz w:val="24"/>
        </w:rPr>
      </w:pPr>
      <w:r>
        <w:rPr>
          <w:rFonts w:hint="eastAsia" w:ascii="仿宋" w:hAnsi="仿宋" w:eastAsia="仿宋" w:cs="仿宋"/>
          <w:sz w:val="24"/>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s="仿宋"/>
          <w:sz w:val="24"/>
        </w:rPr>
      </w:pPr>
      <w:r>
        <w:rPr>
          <w:rFonts w:hint="eastAsia" w:ascii="仿宋" w:hAnsi="仿宋" w:eastAsia="仿宋" w:cs="仿宋"/>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s="仿宋"/>
          <w:sz w:val="24"/>
        </w:rPr>
      </w:pPr>
      <w:r>
        <w:rPr>
          <w:rFonts w:hint="eastAsia" w:ascii="仿宋" w:hAnsi="仿宋" w:eastAsia="仿宋" w:cs="仿宋"/>
          <w:sz w:val="24"/>
        </w:rPr>
        <w:t>1.4本招标文件所称公章是指单位法定名称章或者冠以法定名称的投标业务专用章。</w:t>
      </w:r>
    </w:p>
    <w:p>
      <w:pPr>
        <w:snapToGrid w:val="0"/>
        <w:spacing w:line="440" w:lineRule="exact"/>
        <w:jc w:val="left"/>
        <w:rPr>
          <w:rFonts w:ascii="仿宋" w:hAnsi="仿宋" w:eastAsia="仿宋" w:cs="仿宋"/>
          <w:b/>
          <w:sz w:val="24"/>
        </w:rPr>
      </w:pPr>
      <w:r>
        <w:rPr>
          <w:rFonts w:hint="eastAsia" w:ascii="仿宋" w:hAnsi="仿宋" w:eastAsia="仿宋" w:cs="仿宋"/>
          <w:b/>
          <w:sz w:val="24"/>
        </w:rPr>
        <w:t>2. 定义</w:t>
      </w:r>
    </w:p>
    <w:p>
      <w:pPr>
        <w:snapToGrid w:val="0"/>
        <w:spacing w:line="440" w:lineRule="exact"/>
        <w:ind w:left="120" w:hanging="120" w:hangingChars="50"/>
        <w:jc w:val="left"/>
        <w:rPr>
          <w:rFonts w:ascii="仿宋" w:hAnsi="仿宋" w:eastAsia="仿宋" w:cs="仿宋"/>
          <w:sz w:val="24"/>
        </w:rPr>
      </w:pPr>
      <w:r>
        <w:rPr>
          <w:rFonts w:hint="eastAsia" w:ascii="仿宋" w:hAnsi="仿宋" w:eastAsia="仿宋" w:cs="仿宋"/>
          <w:sz w:val="24"/>
        </w:rPr>
        <w:t>2.1采购当事人及监管部门：绍兴市人民医院为本项目的采购人（合同中的甲方），华诚工程咨询集团有限公司为采购代理机构，响应招标、参加投标竞争的法人、其他组织或者自然人为投标人，经评审产生并经批准的投标人为中标候选人，经公告无异议，并签订合同后的中标人为供应商（合同中的乙方），绍兴市卫生健康委员会为采购监督管理部门。</w:t>
      </w:r>
    </w:p>
    <w:p>
      <w:pPr>
        <w:snapToGrid w:val="0"/>
        <w:spacing w:line="440" w:lineRule="exact"/>
        <w:jc w:val="left"/>
        <w:rPr>
          <w:rFonts w:ascii="仿宋" w:hAnsi="仿宋" w:eastAsia="仿宋" w:cs="仿宋"/>
          <w:sz w:val="24"/>
        </w:rPr>
      </w:pPr>
      <w:r>
        <w:rPr>
          <w:rFonts w:hint="eastAsia" w:ascii="仿宋" w:hAnsi="仿宋" w:eastAsia="仿宋" w:cs="仿宋"/>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2.3“服务”系指招标文件规定投标人须承担的安装、调试、技术协助、校准、培训、技术指导以及其他类似的义务。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2.4“项目”系指投标人按招标文件规定向采购人提供的产品和服务。</w:t>
      </w:r>
    </w:p>
    <w:p>
      <w:pPr>
        <w:snapToGrid w:val="0"/>
        <w:spacing w:line="440" w:lineRule="exact"/>
        <w:jc w:val="left"/>
        <w:rPr>
          <w:rFonts w:ascii="仿宋" w:hAnsi="仿宋" w:eastAsia="仿宋" w:cs="仿宋"/>
          <w:sz w:val="24"/>
        </w:rPr>
      </w:pPr>
      <w:r>
        <w:rPr>
          <w:rFonts w:hint="eastAsia" w:ascii="仿宋" w:hAnsi="仿宋" w:eastAsia="仿宋" w:cs="仿宋"/>
          <w:sz w:val="24"/>
        </w:rPr>
        <w:t>2.5“授权代表”系指法定代表人的被授权委托人。</w:t>
      </w:r>
    </w:p>
    <w:p>
      <w:pPr>
        <w:snapToGrid w:val="0"/>
        <w:spacing w:line="440" w:lineRule="exact"/>
        <w:jc w:val="left"/>
        <w:rPr>
          <w:rFonts w:ascii="仿宋" w:hAnsi="仿宋" w:eastAsia="仿宋" w:cs="仿宋"/>
          <w:sz w:val="24"/>
        </w:rPr>
      </w:pPr>
      <w:r>
        <w:rPr>
          <w:rFonts w:hint="eastAsia" w:ascii="仿宋" w:hAnsi="仿宋" w:eastAsia="仿宋" w:cs="仿宋"/>
          <w:sz w:val="24"/>
        </w:rPr>
        <w:t>2.6“★”系指实质性指标要求条款，“▲” 系指主要性能指标要求条款。如任意一条打“★”的指标出现负偏离视为实质性不响应招标文件要求，作无效投标处理；如任意一条打“▲”的指标出现负偏离按评分标准作扣分处理。“</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napToGrid w:val="0"/>
        <w:spacing w:line="440" w:lineRule="exact"/>
        <w:jc w:val="left"/>
        <w:rPr>
          <w:rFonts w:ascii="仿宋" w:hAnsi="仿宋" w:eastAsia="仿宋" w:cs="仿宋"/>
          <w:sz w:val="24"/>
        </w:rPr>
      </w:pPr>
      <w:r>
        <w:rPr>
          <w:rFonts w:hint="eastAsia" w:ascii="仿宋" w:hAnsi="仿宋" w:eastAsia="仿宋" w:cs="仿宋"/>
          <w:sz w:val="24"/>
        </w:rPr>
        <w:t>2.7因特殊原因需要使用冠以法定名称的业务专用章的，投标时须提供《业务专用章使用说明函》(详见附件)。</w:t>
      </w:r>
    </w:p>
    <w:p>
      <w:pPr>
        <w:spacing w:line="440" w:lineRule="exact"/>
        <w:rPr>
          <w:rFonts w:ascii="仿宋" w:hAnsi="仿宋" w:eastAsia="仿宋" w:cs="仿宋"/>
          <w:sz w:val="24"/>
        </w:rPr>
      </w:pPr>
      <w:r>
        <w:rPr>
          <w:rFonts w:hint="eastAsia" w:ascii="仿宋" w:hAnsi="仿宋" w:eastAsia="仿宋" w:cs="仿宋"/>
          <w:sz w:val="24"/>
        </w:rPr>
        <w:t>★3.特别说明：</w:t>
      </w:r>
    </w:p>
    <w:p>
      <w:pPr>
        <w:spacing w:line="440" w:lineRule="exact"/>
        <w:rPr>
          <w:rFonts w:ascii="仿宋" w:hAnsi="仿宋" w:eastAsia="仿宋" w:cs="仿宋"/>
          <w:sz w:val="24"/>
        </w:rPr>
      </w:pPr>
      <w:r>
        <w:rPr>
          <w:rFonts w:hint="eastAsia" w:ascii="仿宋" w:hAnsi="仿宋" w:eastAsia="仿宋" w:cs="仿宋"/>
          <w:sz w:val="24"/>
        </w:rPr>
        <w:t>3.1供应商投标所使用的资格、信誉、荣誉、业绩与企业认证必须为投标单位所拥有。供应商投标所使用的采购项目实施人员必须为投标单位正式员工。</w:t>
      </w:r>
    </w:p>
    <w:p>
      <w:pPr>
        <w:spacing w:line="440" w:lineRule="exact"/>
        <w:rPr>
          <w:rFonts w:ascii="仿宋" w:hAnsi="仿宋" w:eastAsia="仿宋" w:cs="仿宋"/>
          <w:sz w:val="24"/>
        </w:rPr>
      </w:pPr>
      <w:r>
        <w:rPr>
          <w:rFonts w:hint="eastAsia" w:ascii="仿宋" w:hAnsi="仿宋" w:eastAsia="仿宋" w:cs="仿宋"/>
          <w:sz w:val="24"/>
        </w:rPr>
        <w:t>3.2供应商应仔细阅读招标文件的所有内容，按照招标文件的要求提交投标文件，并对所提供的全部资料的真实性承担法律责任。</w:t>
      </w:r>
    </w:p>
    <w:p>
      <w:pPr>
        <w:spacing w:line="440" w:lineRule="exact"/>
        <w:rPr>
          <w:rFonts w:ascii="仿宋" w:hAnsi="仿宋" w:eastAsia="仿宋" w:cs="仿宋"/>
          <w:sz w:val="24"/>
        </w:rPr>
      </w:pPr>
      <w:r>
        <w:rPr>
          <w:rFonts w:hint="eastAsia" w:ascii="仿宋" w:hAnsi="仿宋" w:eastAsia="仿宋" w:cs="仿宋"/>
          <w:sz w:val="24"/>
        </w:rPr>
        <w:t>3.3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Lines="50" w:afterLines="50"/>
        <w:jc w:val="center"/>
        <w:rPr>
          <w:rFonts w:ascii="仿宋" w:hAnsi="仿宋" w:eastAsia="仿宋" w:cs="仿宋"/>
          <w:sz w:val="24"/>
        </w:rPr>
      </w:pPr>
      <w:r>
        <w:rPr>
          <w:rFonts w:hint="eastAsia" w:ascii="仿宋" w:hAnsi="仿宋" w:eastAsia="仿宋" w:cs="仿宋"/>
          <w:b/>
          <w:sz w:val="36"/>
          <w:szCs w:val="36"/>
        </w:rPr>
        <w:t>二、招标文件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pPr>
        <w:snapToGrid w:val="0"/>
        <w:spacing w:line="440" w:lineRule="exact"/>
        <w:jc w:val="left"/>
        <w:rPr>
          <w:rFonts w:ascii="仿宋" w:hAnsi="仿宋" w:eastAsia="仿宋" w:cs="仿宋"/>
          <w:sz w:val="24"/>
        </w:rPr>
      </w:pPr>
      <w:r>
        <w:rPr>
          <w:rFonts w:hint="eastAsia" w:ascii="仿宋" w:hAnsi="仿宋" w:eastAsia="仿宋" w:cs="仿宋"/>
          <w:sz w:val="24"/>
        </w:rPr>
        <w:t>1.1 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440" w:lineRule="exact"/>
        <w:jc w:val="left"/>
        <w:rPr>
          <w:rFonts w:ascii="仿宋" w:hAnsi="仿宋" w:eastAsia="仿宋" w:cs="仿宋"/>
          <w:b/>
          <w:sz w:val="24"/>
        </w:rPr>
      </w:pPr>
      <w:r>
        <w:rPr>
          <w:rFonts w:hint="eastAsia" w:ascii="仿宋" w:hAnsi="仿宋" w:eastAsia="仿宋" w:cs="仿宋"/>
          <w:sz w:val="24"/>
        </w:rPr>
        <w:t>1.2 如某一标项投标人或实质性响应招标文件的投标人不足三家时，由采购人重新组织招标或按有关规定实施。</w:t>
      </w:r>
    </w:p>
    <w:p>
      <w:pPr>
        <w:pStyle w:val="19"/>
        <w:snapToGrid w:val="0"/>
        <w:spacing w:after="0" w:line="440" w:lineRule="exact"/>
        <w:ind w:left="0" w:leftChars="0"/>
        <w:jc w:val="left"/>
        <w:rPr>
          <w:rFonts w:ascii="仿宋" w:hAnsi="仿宋" w:eastAsia="仿宋" w:cs="仿宋"/>
          <w:b/>
          <w:sz w:val="24"/>
        </w:rPr>
      </w:pPr>
      <w:r>
        <w:rPr>
          <w:rFonts w:hint="eastAsia" w:ascii="仿宋" w:hAnsi="仿宋" w:eastAsia="仿宋" w:cs="仿宋"/>
          <w:b/>
          <w:sz w:val="24"/>
        </w:rPr>
        <w:t>2.投标委托</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本项目为邮寄（建议使用EMS邮寄或顺丰）或现场送达（即交即走）的方式递交投标文件，投标人的法定代表人或其授权代表或个体工商户不需要参加现场投标和开标。</w:t>
      </w:r>
    </w:p>
    <w:p>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pPr>
        <w:pStyle w:val="13"/>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中标人须向采购代理机构交纳采购代理服务费。</w:t>
      </w:r>
    </w:p>
    <w:p>
      <w:pPr>
        <w:snapToGrid w:val="0"/>
        <w:spacing w:line="440" w:lineRule="exact"/>
        <w:jc w:val="left"/>
        <w:rPr>
          <w:rFonts w:ascii="仿宋" w:hAnsi="仿宋" w:eastAsia="仿宋" w:cs="仿宋"/>
          <w:b/>
          <w:sz w:val="24"/>
        </w:rPr>
      </w:pPr>
      <w:r>
        <w:rPr>
          <w:rFonts w:hint="eastAsia" w:ascii="仿宋" w:hAnsi="仿宋" w:eastAsia="仿宋" w:cs="仿宋"/>
          <w:b/>
          <w:sz w:val="24"/>
        </w:rPr>
        <w:t>4. 招标文件的修改</w:t>
      </w:r>
    </w:p>
    <w:p>
      <w:pPr>
        <w:spacing w:line="440" w:lineRule="exact"/>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招标文件包括本招标文件及所有的招标答疑记录（澄清、修改）和发出的补充通知</w:t>
      </w:r>
      <w:r>
        <w:rPr>
          <w:rFonts w:hint="eastAsia" w:ascii="仿宋" w:hAnsi="仿宋" w:eastAsia="仿宋" w:cs="仿宋"/>
          <w:sz w:val="24"/>
        </w:rPr>
        <w:t>。</w:t>
      </w:r>
    </w:p>
    <w:p>
      <w:pPr>
        <w:pStyle w:val="13"/>
        <w:widowControl w:val="0"/>
        <w:tabs>
          <w:tab w:val="clear" w:pos="454"/>
        </w:tabs>
        <w:spacing w:afterLines="0" w:line="440" w:lineRule="exact"/>
        <w:ind w:left="0" w:firstLine="0"/>
        <w:rPr>
          <w:rFonts w:ascii="仿宋" w:hAnsi="仿宋" w:eastAsia="仿宋" w:cs="仿宋"/>
        </w:rPr>
      </w:pPr>
      <w:r>
        <w:rPr>
          <w:rFonts w:hint="eastAsia" w:ascii="仿宋" w:hAnsi="仿宋" w:eastAsia="仿宋" w:cs="仿宋"/>
        </w:rPr>
        <w:t xml:space="preserve">4.2招标文件的澄清 </w:t>
      </w:r>
    </w:p>
    <w:p>
      <w:pPr>
        <w:pStyle w:val="13"/>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 w:hAnsi="仿宋" w:eastAsia="仿宋" w:cs="仿宋"/>
        </w:rPr>
      </w:pPr>
      <w:r>
        <w:rPr>
          <w:rFonts w:hint="eastAsia" w:ascii="仿宋" w:hAnsi="仿宋" w:eastAsia="仿宋" w:cs="仿宋"/>
        </w:rPr>
        <w:t>4.3招标文件的修改</w:t>
      </w:r>
    </w:p>
    <w:p>
      <w:pPr>
        <w:pStyle w:val="13"/>
        <w:tabs>
          <w:tab w:val="clear" w:pos="454"/>
        </w:tabs>
        <w:spacing w:afterLines="0" w:line="440" w:lineRule="exact"/>
        <w:ind w:left="0" w:firstLine="0"/>
        <w:rPr>
          <w:rFonts w:ascii="仿宋" w:hAnsi="仿宋" w:eastAsia="仿宋" w:cs="仿宋"/>
        </w:rPr>
      </w:pPr>
      <w:r>
        <w:rPr>
          <w:rFonts w:hint="eastAsia" w:ascii="仿宋" w:hAnsi="仿宋" w:eastAsia="仿宋" w:cs="仿宋"/>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cs="仿宋"/>
          <w:b/>
          <w:sz w:val="24"/>
        </w:rPr>
      </w:pPr>
      <w:r>
        <w:rPr>
          <w:rFonts w:hint="eastAsia" w:ascii="仿宋" w:hAnsi="仿宋" w:eastAsia="仿宋" w:cs="仿宋"/>
          <w:b/>
          <w:sz w:val="24"/>
        </w:rPr>
        <w:t>5.参考品牌</w:t>
      </w:r>
    </w:p>
    <w:p>
      <w:pPr>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三、投标文件</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投标文件由“报价文件资料”、“商务技术（资信）文件资料”两部分组成：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2.1“报价文件资料”包括以下内容：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2.1.1投标响应函（格式见第六部分附件）； </w:t>
      </w:r>
    </w:p>
    <w:p>
      <w:pPr>
        <w:snapToGrid w:val="0"/>
        <w:spacing w:line="440" w:lineRule="exact"/>
        <w:jc w:val="left"/>
        <w:rPr>
          <w:rFonts w:ascii="仿宋" w:hAnsi="仿宋" w:eastAsia="仿宋" w:cs="仿宋"/>
          <w:sz w:val="24"/>
        </w:rPr>
      </w:pPr>
      <w:r>
        <w:rPr>
          <w:rFonts w:hint="eastAsia" w:ascii="仿宋" w:hAnsi="仿宋" w:eastAsia="仿宋" w:cs="仿宋"/>
          <w:sz w:val="24"/>
        </w:rPr>
        <w:t>2.1.2开标一览表（格式见第六部分附件）；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以上文件组成“报价文件资料”。投标人在“报价文件资料”中应对招标文件作实质性响应，该项内容将作为评标重要指标。</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2.2“商务技术(资信)文件资料”包括以下内容（正本用原件）：</w:t>
      </w:r>
    </w:p>
    <w:p>
      <w:pPr>
        <w:snapToGrid w:val="0"/>
        <w:spacing w:line="440" w:lineRule="exact"/>
        <w:jc w:val="left"/>
        <w:rPr>
          <w:rFonts w:ascii="仿宋" w:hAnsi="仿宋" w:eastAsia="仿宋" w:cs="仿宋"/>
          <w:sz w:val="24"/>
        </w:rPr>
      </w:pPr>
      <w:r>
        <w:rPr>
          <w:rFonts w:hint="eastAsia" w:ascii="仿宋" w:hAnsi="仿宋" w:eastAsia="仿宋" w:cs="仿宋"/>
          <w:sz w:val="24"/>
        </w:rPr>
        <w:t>2.2.1法定代表人授权委托书(格式见第六部分附件)；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2.2.2授权代表社保证明（格式见第六部分附件）；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2.2.3法定代表人身份证明书（格式见第六部分附件）；</w:t>
      </w:r>
    </w:p>
    <w:p>
      <w:pPr>
        <w:snapToGrid w:val="0"/>
        <w:spacing w:line="440" w:lineRule="exact"/>
        <w:rPr>
          <w:rFonts w:ascii="仿宋" w:hAnsi="仿宋" w:eastAsia="仿宋" w:cs="仿宋"/>
          <w:kern w:val="0"/>
          <w:sz w:val="24"/>
        </w:rPr>
      </w:pPr>
      <w:r>
        <w:rPr>
          <w:rFonts w:hint="eastAsia" w:ascii="仿宋" w:hAnsi="仿宋" w:eastAsia="仿宋" w:cs="仿宋"/>
          <w:sz w:val="24"/>
        </w:rPr>
        <w:t>2.2.4</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2.2.5供应商</w:t>
      </w:r>
      <w:r>
        <w:rPr>
          <w:rFonts w:hint="eastAsia" w:ascii="仿宋" w:hAnsi="仿宋" w:eastAsia="仿宋" w:cs="仿宋"/>
          <w:sz w:val="24"/>
        </w:rPr>
        <w:t>特定资格条件（如项目要求）的有关证明材料（复印件）；</w:t>
      </w:r>
    </w:p>
    <w:p>
      <w:pPr>
        <w:pStyle w:val="23"/>
        <w:snapToGrid w:val="0"/>
        <w:spacing w:line="440" w:lineRule="exact"/>
        <w:rPr>
          <w:rFonts w:ascii="仿宋" w:hAnsi="仿宋" w:eastAsia="仿宋" w:cs="仿宋"/>
          <w:sz w:val="24"/>
          <w:lang w:val="zh-CN"/>
        </w:rPr>
      </w:pPr>
      <w:bookmarkStart w:id="3" w:name="_Hlt68072998"/>
      <w:bookmarkEnd w:id="3"/>
      <w:bookmarkStart w:id="4" w:name="_Hlt68403820"/>
      <w:bookmarkEnd w:id="4"/>
      <w:bookmarkStart w:id="5" w:name="_Hlt68073093"/>
      <w:bookmarkEnd w:id="5"/>
      <w:r>
        <w:rPr>
          <w:rFonts w:hint="eastAsia" w:ascii="仿宋" w:hAnsi="仿宋" w:eastAsia="仿宋" w:cs="仿宋"/>
          <w:sz w:val="24"/>
        </w:rPr>
        <w:t>2.2.6</w:t>
      </w:r>
      <w:r>
        <w:rPr>
          <w:rFonts w:hint="eastAsia" w:ascii="仿宋" w:hAnsi="仿宋" w:eastAsia="仿宋" w:cs="仿宋"/>
          <w:sz w:val="24"/>
          <w:lang w:val="zh-CN"/>
        </w:rPr>
        <w:t>投标人应提供针对项目的完整技术解决方案：</w:t>
      </w:r>
    </w:p>
    <w:p>
      <w:pPr>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 w:hAnsi="仿宋" w:eastAsia="仿宋" w:cs="仿宋"/>
          <w:sz w:val="24"/>
        </w:rPr>
      </w:pPr>
      <w:r>
        <w:rPr>
          <w:rFonts w:hint="eastAsia" w:ascii="仿宋" w:hAnsi="仿宋" w:eastAsia="仿宋" w:cs="仿宋"/>
          <w:b/>
          <w:sz w:val="24"/>
        </w:rPr>
        <w:t>如果本项目涉及硬件设备采购，还需提供相关设备完整配置方案（设备名称、品牌、规格型号、数量、主要技术参数等）</w:t>
      </w:r>
      <w:r>
        <w:rPr>
          <w:rFonts w:hint="eastAsia" w:ascii="仿宋" w:hAnsi="仿宋" w:eastAsia="仿宋" w:cs="仿宋"/>
          <w:sz w:val="24"/>
        </w:rPr>
        <w:t>，</w:t>
      </w:r>
      <w:r>
        <w:rPr>
          <w:rFonts w:hint="eastAsia" w:ascii="仿宋" w:hAnsi="仿宋" w:eastAsia="仿宋" w:cs="仿宋"/>
          <w:b/>
          <w:sz w:val="24"/>
        </w:rPr>
        <w:t>提供主要投标产品的技术参数证明材料（如原厂技术说明、官网截图、产品彩页等），</w:t>
      </w:r>
      <w:r>
        <w:rPr>
          <w:rFonts w:hint="eastAsia" w:ascii="仿宋" w:hAnsi="仿宋" w:eastAsia="仿宋" w:cs="仿宋"/>
          <w:sz w:val="24"/>
        </w:rPr>
        <w:t>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（所有技术指标表述均应采用中文，如当前公布的技术指标只有英文表述的，必须由投标人作出中文注释，否则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评标委员会技术扣分直至认定为投标无效都将是投标人的责任）</w:t>
      </w:r>
      <w:r>
        <w:rPr>
          <w:rFonts w:hint="eastAsia" w:ascii="仿宋" w:hAnsi="仿宋" w:eastAsia="仿宋" w:cs="仿宋"/>
          <w:sz w:val="24"/>
        </w:rPr>
        <w:t>。</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2.2.9</w:t>
      </w:r>
      <w:r>
        <w:rPr>
          <w:rFonts w:hint="eastAsia" w:ascii="仿宋" w:hAnsi="仿宋" w:eastAsia="仿宋" w:cs="仿宋"/>
          <w:sz w:val="24"/>
        </w:rPr>
        <w:t>投标人在投标文件技术偏离说明表中，</w:t>
      </w:r>
      <w:r>
        <w:rPr>
          <w:rFonts w:hint="eastAsia" w:ascii="仿宋" w:hAnsi="仿宋" w:eastAsia="仿宋" w:cs="仿宋"/>
          <w:kern w:val="0"/>
          <w:sz w:val="24"/>
          <w:lang w:val="zh-CN"/>
        </w:rPr>
        <w:t>应对</w:t>
      </w:r>
      <w:r>
        <w:rPr>
          <w:rFonts w:hint="eastAsia" w:ascii="仿宋" w:hAnsi="仿宋" w:eastAsia="仿宋" w:cs="仿宋"/>
          <w:sz w:val="24"/>
        </w:rPr>
        <w:t>项目技术规范和服务要求</w:t>
      </w:r>
      <w:r>
        <w:rPr>
          <w:rFonts w:hint="eastAsia" w:ascii="仿宋" w:hAnsi="仿宋" w:eastAsia="仿宋" w:cs="仿宋"/>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w:t>
      </w:r>
      <w:r>
        <w:rPr>
          <w:rFonts w:hint="eastAsia" w:ascii="仿宋" w:hAnsi="仿宋" w:eastAsia="仿宋" w:cs="仿宋"/>
          <w:kern w:val="0"/>
          <w:sz w:val="24"/>
        </w:rPr>
        <w:t>10</w:t>
      </w:r>
      <w:r>
        <w:rPr>
          <w:rFonts w:hint="eastAsia" w:ascii="仿宋" w:hAnsi="仿宋" w:eastAsia="仿宋" w:cs="仿宋"/>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1</w:t>
      </w:r>
      <w:r>
        <w:rPr>
          <w:rFonts w:hint="eastAsia" w:ascii="仿宋" w:hAnsi="仿宋" w:eastAsia="仿宋" w:cs="仿宋"/>
          <w:kern w:val="0"/>
          <w:sz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2</w:t>
      </w:r>
      <w:r>
        <w:rPr>
          <w:rFonts w:hint="eastAsia" w:ascii="仿宋" w:hAnsi="仿宋" w:eastAsia="仿宋" w:cs="仿宋"/>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440" w:lineRule="exact"/>
        <w:rPr>
          <w:rFonts w:ascii="仿宋" w:hAnsi="仿宋" w:eastAsia="仿宋" w:cs="仿宋"/>
          <w:kern w:val="0"/>
          <w:sz w:val="24"/>
          <w:lang w:val="zh-CN"/>
        </w:rPr>
      </w:pPr>
      <w:r>
        <w:rPr>
          <w:rFonts w:hint="eastAsia" w:ascii="仿宋" w:hAnsi="仿宋" w:eastAsia="仿宋" w:cs="仿宋"/>
          <w:sz w:val="24"/>
        </w:rPr>
        <w:t>2.2.13</w:t>
      </w:r>
      <w:r>
        <w:rPr>
          <w:rFonts w:hint="eastAsia" w:ascii="仿宋" w:hAnsi="仿宋" w:eastAsia="仿宋" w:cs="仿宋"/>
          <w:kern w:val="0"/>
          <w:sz w:val="24"/>
          <w:lang w:val="zh-CN"/>
        </w:rPr>
        <w:t>培训计划（如有）；</w:t>
      </w:r>
    </w:p>
    <w:p>
      <w:pPr>
        <w:tabs>
          <w:tab w:val="left" w:pos="0"/>
          <w:tab w:val="left" w:pos="840"/>
        </w:tabs>
        <w:autoSpaceDE w:val="0"/>
        <w:autoSpaceDN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 xml:space="preserve">4 </w:t>
      </w:r>
      <w:r>
        <w:rPr>
          <w:rFonts w:hint="eastAsia" w:ascii="仿宋" w:hAnsi="仿宋" w:eastAsia="仿宋" w:cs="仿宋"/>
          <w:kern w:val="0"/>
          <w:sz w:val="24"/>
          <w:lang w:val="zh-CN"/>
        </w:rPr>
        <w:t>验收方案；</w:t>
      </w:r>
    </w:p>
    <w:p>
      <w:pPr>
        <w:snapToGrid w:val="0"/>
        <w:spacing w:line="440" w:lineRule="exact"/>
        <w:rPr>
          <w:rFonts w:ascii="仿宋" w:hAnsi="仿宋" w:eastAsia="仿宋" w:cs="仿宋"/>
          <w:sz w:val="24"/>
          <w:lang w:val="zh-CN"/>
        </w:rPr>
      </w:pPr>
      <w:r>
        <w:rPr>
          <w:rFonts w:hint="eastAsia" w:ascii="仿宋" w:hAnsi="仿宋" w:eastAsia="仿宋" w:cs="仿宋"/>
          <w:kern w:val="0"/>
          <w:sz w:val="24"/>
        </w:rPr>
        <w:t>2.2.15</w:t>
      </w:r>
      <w:r>
        <w:rPr>
          <w:rFonts w:hint="eastAsia" w:ascii="仿宋" w:hAnsi="仿宋" w:eastAsia="仿宋" w:cs="仿宋"/>
          <w:snapToGrid w:val="0"/>
          <w:sz w:val="24"/>
        </w:rPr>
        <w:t>投标人售后服务证明材料：合作单位营业执照或投标人在本地（绍兴市行政区域范围内）设立的项目部、办公室、办事处等机构的证明材料或投标人作出的中标后提供本地化服务的承诺</w:t>
      </w:r>
      <w:r>
        <w:rPr>
          <w:rFonts w:hint="eastAsia" w:ascii="仿宋" w:hAnsi="仿宋" w:eastAsia="仿宋" w:cs="仿宋"/>
          <w:sz w:val="24"/>
          <w:lang w:val="zh-CN"/>
        </w:rPr>
        <w:t>；</w:t>
      </w:r>
    </w:p>
    <w:p>
      <w:pPr>
        <w:snapToGrid w:val="0"/>
        <w:spacing w:line="440" w:lineRule="exact"/>
        <w:rPr>
          <w:rFonts w:ascii="仿宋" w:hAnsi="仿宋" w:eastAsia="仿宋" w:cs="仿宋"/>
          <w:kern w:val="0"/>
          <w:sz w:val="24"/>
        </w:rPr>
      </w:pPr>
      <w:r>
        <w:rPr>
          <w:rFonts w:hint="eastAsia" w:ascii="仿宋" w:hAnsi="仿宋" w:eastAsia="仿宋" w:cs="仿宋"/>
          <w:sz w:val="24"/>
          <w:lang w:val="zh-CN"/>
        </w:rPr>
        <w:t>2.2.1</w:t>
      </w:r>
      <w:r>
        <w:rPr>
          <w:rFonts w:hint="eastAsia" w:ascii="仿宋" w:hAnsi="仿宋" w:eastAsia="仿宋" w:cs="仿宋"/>
          <w:sz w:val="24"/>
        </w:rPr>
        <w:t>6</w:t>
      </w:r>
      <w:r>
        <w:rPr>
          <w:rFonts w:hint="eastAsia" w:ascii="仿宋" w:hAnsi="仿宋" w:eastAsia="仿宋" w:cs="仿宋"/>
          <w:sz w:val="24"/>
          <w:lang w:val="zh-CN"/>
        </w:rPr>
        <w:t>廉政承诺书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2.2.17</w:t>
      </w:r>
      <w:r>
        <w:rPr>
          <w:rFonts w:hint="eastAsia" w:ascii="仿宋" w:hAnsi="仿宋" w:eastAsia="仿宋" w:cs="仿宋"/>
          <w:sz w:val="24"/>
          <w:u w:val="wave"/>
        </w:rPr>
        <w:t>未尽事宜请各投标单位按评分标准和相对应标项相关要求制作</w:t>
      </w:r>
      <w:r>
        <w:rPr>
          <w:rFonts w:hint="eastAsia" w:ascii="仿宋" w:hAnsi="仿宋" w:eastAsia="仿宋" w:cs="仿宋"/>
          <w:sz w:val="24"/>
        </w:rPr>
        <w:t>；</w:t>
      </w:r>
    </w:p>
    <w:p>
      <w:pPr>
        <w:pStyle w:val="20"/>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2.2.18投标人需要说明的其他文件和说明（格式自拟）。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以上文件组成“商务技术（资信）文件资料”。投标人在“商务技术（资信）文件资料”中应对招标文件作实质性响应，该项内容将作为评标重要指标。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仿宋" w:hAnsi="仿宋" w:eastAsia="仿宋" w:cs="仿宋"/>
        </w:rPr>
      </w:pPr>
      <w:r>
        <w:rPr>
          <w:rFonts w:hint="eastAsia" w:ascii="仿宋" w:hAnsi="仿宋" w:eastAsia="仿宋" w:cs="仿宋"/>
        </w:rPr>
        <w:t>投标人不按招标文件的要求提供的投标文件，可能会被评标委员会视为未实质性响应，其风险应由投标人自行承担。</w:t>
      </w:r>
    </w:p>
    <w:p>
      <w:pPr>
        <w:pStyle w:val="20"/>
        <w:tabs>
          <w:tab w:val="left" w:pos="1854"/>
          <w:tab w:val="clear" w:pos="482"/>
        </w:tabs>
        <w:spacing w:afterLines="0" w:line="440" w:lineRule="exact"/>
        <w:ind w:left="338" w:right="-78" w:rightChars="-37" w:hanging="338" w:hangingChars="141"/>
        <w:rPr>
          <w:rFonts w:ascii="仿宋" w:hAnsi="仿宋" w:eastAsia="仿宋" w:cs="仿宋"/>
          <w:b/>
        </w:rPr>
      </w:pPr>
      <w:r>
        <w:rPr>
          <w:rFonts w:hint="eastAsia" w:ascii="仿宋" w:hAnsi="仿宋" w:eastAsia="仿宋" w:cs="仿宋"/>
        </w:rPr>
        <w:t>2.2.19代理服务费支付承诺书。</w:t>
      </w:r>
    </w:p>
    <w:p>
      <w:pPr>
        <w:spacing w:line="440" w:lineRule="exact"/>
        <w:jc w:val="left"/>
        <w:rPr>
          <w:rFonts w:ascii="仿宋" w:hAnsi="仿宋" w:eastAsia="仿宋" w:cs="仿宋"/>
          <w:b/>
          <w:sz w:val="24"/>
        </w:rPr>
      </w:pPr>
      <w:r>
        <w:rPr>
          <w:rFonts w:hint="eastAsia" w:ascii="仿宋" w:hAnsi="仿宋" w:eastAsia="仿宋" w:cs="仿宋"/>
          <w:b/>
          <w:sz w:val="24"/>
        </w:rPr>
        <w:t>3. 投标报价</w:t>
      </w:r>
    </w:p>
    <w:p>
      <w:pPr>
        <w:pStyle w:val="23"/>
        <w:spacing w:line="440" w:lineRule="exact"/>
        <w:jc w:val="left"/>
        <w:rPr>
          <w:rFonts w:ascii="仿宋" w:hAnsi="仿宋" w:eastAsia="仿宋" w:cs="仿宋"/>
          <w:sz w:val="24"/>
        </w:rPr>
      </w:pPr>
      <w:r>
        <w:rPr>
          <w:rFonts w:hint="eastAsia" w:ascii="仿宋" w:hAnsi="仿宋" w:eastAsia="仿宋" w:cs="仿宋"/>
          <w:sz w:val="24"/>
        </w:rPr>
        <w:t>3.1投标人应按招标文件中《开标一览表》等附表要求填写。</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3.3招标文件未列明，而投标人认为必需的费用也需列入报价。</w:t>
      </w:r>
    </w:p>
    <w:p>
      <w:pPr>
        <w:tabs>
          <w:tab w:val="left" w:pos="525"/>
        </w:tabs>
        <w:spacing w:line="440" w:lineRule="exact"/>
        <w:jc w:val="lef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
          <w:sz w:val="24"/>
        </w:rPr>
        <w:t>投标报价只允许有一个报价，有选择的报价将不予接受（除指定外）。</w:t>
      </w:r>
    </w:p>
    <w:p>
      <w:pPr>
        <w:pStyle w:val="13"/>
        <w:widowControl w:val="0"/>
        <w:tabs>
          <w:tab w:val="clear" w:pos="454"/>
        </w:tabs>
        <w:spacing w:afterLines="0" w:line="440" w:lineRule="atLeast"/>
        <w:ind w:left="0" w:firstLine="0"/>
        <w:rPr>
          <w:rFonts w:ascii="仿宋" w:hAnsi="仿宋" w:eastAsia="仿宋" w:cs="仿宋"/>
          <w:b/>
          <w:szCs w:val="24"/>
        </w:rPr>
      </w:pPr>
      <w:r>
        <w:rPr>
          <w:rFonts w:hint="eastAsia" w:ascii="仿宋" w:hAnsi="仿宋" w:eastAsia="仿宋" w:cs="仿宋"/>
          <w:b/>
          <w:szCs w:val="24"/>
        </w:rPr>
        <w:t>4.投标文件的有效期</w:t>
      </w:r>
    </w:p>
    <w:p>
      <w:pPr>
        <w:pStyle w:val="13"/>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4.1</w:t>
      </w:r>
      <w:r>
        <w:rPr>
          <w:rFonts w:hint="eastAsia" w:ascii="仿宋" w:hAnsi="仿宋" w:eastAsia="仿宋" w:cs="仿宋"/>
        </w:rPr>
        <w:t>投标有效期为从提交投标文件的截止之日起90天。</w:t>
      </w:r>
      <w:r>
        <w:rPr>
          <w:rFonts w:hint="eastAsia" w:ascii="仿宋" w:hAnsi="仿宋" w:eastAsia="仿宋" w:cs="仿宋"/>
          <w:b/>
        </w:rPr>
        <w:t>投标人的投标文件中承</w:t>
      </w:r>
      <w:r>
        <w:rPr>
          <w:rFonts w:hint="eastAsia" w:ascii="仿宋" w:hAnsi="仿宋" w:eastAsia="仿宋" w:cs="仿宋"/>
          <w:b/>
          <w:szCs w:val="21"/>
        </w:rPr>
        <w:t>诺的投标有效期少于招标文件中载明的投标有效期的，投标无效。</w:t>
      </w:r>
    </w:p>
    <w:p>
      <w:pPr>
        <w:pStyle w:val="13"/>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ascii="仿宋" w:hAnsi="仿宋" w:eastAsia="仿宋" w:cs="仿宋"/>
          <w:b/>
        </w:rPr>
      </w:pPr>
      <w:r>
        <w:rPr>
          <w:rFonts w:hint="eastAsia" w:ascii="仿宋" w:hAnsi="仿宋" w:eastAsia="仿宋" w:cs="仿宋"/>
          <w:szCs w:val="24"/>
        </w:rPr>
        <w:t>4.3投标人可拒绝接受延期要求。同意延长有效期的投标人不能修改投标文件。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5.投标文件的制作要求</w:t>
      </w:r>
    </w:p>
    <w:p>
      <w:pPr>
        <w:snapToGrid w:val="0"/>
        <w:spacing w:line="440" w:lineRule="exact"/>
        <w:jc w:val="left"/>
        <w:rPr>
          <w:rFonts w:ascii="仿宋" w:hAnsi="仿宋" w:eastAsia="仿宋" w:cs="仿宋"/>
          <w:sz w:val="24"/>
        </w:rPr>
      </w:pPr>
      <w:r>
        <w:rPr>
          <w:rFonts w:hint="eastAsia" w:ascii="仿宋" w:hAnsi="仿宋" w:eastAsia="仿宋" w:cs="仿宋"/>
          <w:sz w:val="24"/>
        </w:rPr>
        <w:t>5.1封包要求：“商务技术（资信）文件”和“报价文件”需装订成册，分两部分分别密封封装。正本一份，副本四份，封装表面至少标注项目名称、项目编号、投标人名称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5.2签署要求：按采购文件第六章“投标文件格式附件”各表单要求签署。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5.3制作要求：建议采用A4幅面，编制页码，制作目录，提倡双面打印。</w:t>
      </w:r>
    </w:p>
    <w:p>
      <w:pPr>
        <w:snapToGrid w:val="0"/>
        <w:spacing w:line="440" w:lineRule="exact"/>
        <w:jc w:val="left"/>
        <w:rPr>
          <w:rFonts w:ascii="仿宋" w:hAnsi="仿宋" w:eastAsia="仿宋" w:cs="仿宋"/>
          <w:b/>
          <w:sz w:val="24"/>
        </w:rPr>
      </w:pPr>
      <w:r>
        <w:rPr>
          <w:rFonts w:hint="eastAsia" w:ascii="仿宋" w:hAnsi="仿宋" w:eastAsia="仿宋" w:cs="仿宋"/>
          <w:b/>
          <w:sz w:val="24"/>
        </w:rPr>
        <w:t>6.投标文件的提交</w:t>
      </w:r>
    </w:p>
    <w:p>
      <w:pPr>
        <w:widowControl/>
        <w:snapToGrid w:val="0"/>
        <w:spacing w:line="440" w:lineRule="exact"/>
        <w:ind w:firstLine="480" w:firstLineChars="200"/>
        <w:rPr>
          <w:rFonts w:ascii="仿宋" w:hAnsi="仿宋" w:eastAsia="仿宋" w:cs="仿宋"/>
          <w:b/>
          <w:sz w:val="24"/>
        </w:rPr>
      </w:pPr>
      <w:r>
        <w:rPr>
          <w:rFonts w:hint="eastAsia" w:ascii="仿宋" w:hAnsi="仿宋" w:eastAsia="仿宋" w:cs="仿宋"/>
          <w:sz w:val="24"/>
        </w:rPr>
        <w:t>投标人应按“招标公告”规定的时间、方式将投标文件提交给采购机构，</w:t>
      </w:r>
      <w:r>
        <w:rPr>
          <w:rFonts w:hint="eastAsia" w:ascii="仿宋" w:hAnsi="仿宋" w:eastAsia="仿宋" w:cs="仿宋"/>
          <w:b/>
          <w:sz w:val="24"/>
        </w:rPr>
        <w:t>采购机构将拒绝接受逾期提交的投标文件。</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7．</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w:t>
      </w:r>
      <w:r>
        <w:rPr>
          <w:rFonts w:hint="eastAsia" w:ascii="仿宋" w:hAnsi="仿宋" w:eastAsia="仿宋" w:cs="仿宋"/>
          <w:kern w:val="0"/>
          <w:sz w:val="24"/>
        </w:rPr>
        <w:t>商务技术（资信）文件（或报价文件）修改（或补充）材料、项目名称或项目编号、供应商名称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spacing w:line="440" w:lineRule="exact"/>
        <w:jc w:val="center"/>
        <w:rPr>
          <w:rFonts w:ascii="仿宋" w:hAnsi="仿宋" w:eastAsia="仿宋" w:cs="仿宋"/>
          <w:b/>
          <w:sz w:val="32"/>
          <w:szCs w:val="32"/>
        </w:rPr>
      </w:pPr>
      <w:r>
        <w:rPr>
          <w:rFonts w:hint="eastAsia" w:ascii="仿宋" w:hAnsi="仿宋" w:eastAsia="仿宋" w:cs="仿宋"/>
          <w:b/>
          <w:sz w:val="32"/>
          <w:szCs w:val="32"/>
        </w:rPr>
        <w:t>四、开标和评标</w:t>
      </w:r>
    </w:p>
    <w:p>
      <w:pPr>
        <w:snapToGrid w:val="0"/>
        <w:spacing w:line="440" w:lineRule="exact"/>
        <w:jc w:val="left"/>
        <w:rPr>
          <w:rFonts w:ascii="仿宋" w:hAnsi="仿宋" w:eastAsia="仿宋" w:cs="仿宋"/>
          <w:b/>
          <w:color w:val="000000"/>
          <w:sz w:val="24"/>
        </w:rPr>
      </w:pPr>
      <w:bookmarkStart w:id="6" w:name="_Toc81372953"/>
      <w:bookmarkStart w:id="7" w:name="_Toc81372776"/>
      <w:bookmarkStart w:id="8" w:name="_Toc84325929"/>
      <w:r>
        <w:rPr>
          <w:rFonts w:hint="eastAsia" w:ascii="仿宋" w:hAnsi="仿宋" w:eastAsia="仿宋" w:cs="仿宋"/>
          <w:b/>
          <w:color w:val="000000"/>
          <w:sz w:val="24"/>
        </w:rPr>
        <w:t>1．开标出席</w:t>
      </w:r>
    </w:p>
    <w:p>
      <w:pPr>
        <w:snapToGrid w:val="0"/>
        <w:spacing w:line="480" w:lineRule="exact"/>
        <w:ind w:firstLine="482" w:firstLineChars="200"/>
        <w:jc w:val="left"/>
        <w:rPr>
          <w:rFonts w:ascii="仿宋" w:hAnsi="仿宋" w:eastAsia="仿宋" w:cs="仿宋"/>
          <w:b/>
          <w:bCs/>
          <w:sz w:val="24"/>
        </w:rPr>
      </w:pPr>
      <w:r>
        <w:rPr>
          <w:rFonts w:hint="eastAsia" w:ascii="仿宋" w:hAnsi="仿宋" w:eastAsia="仿宋" w:cs="仿宋"/>
          <w:b/>
          <w:bCs/>
          <w:sz w:val="24"/>
        </w:rPr>
        <w:t>因疫情防控，投标供应商法定代表人或其授权代表或个体工商户经营者无需出席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3.2检查投标文件密封情况。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3.3启封投标文件商务技术（资信）资料。</w:t>
      </w:r>
    </w:p>
    <w:p>
      <w:pPr>
        <w:snapToGrid w:val="0"/>
        <w:spacing w:line="480" w:lineRule="exact"/>
        <w:jc w:val="left"/>
        <w:rPr>
          <w:rFonts w:ascii="仿宋" w:hAnsi="仿宋" w:eastAsia="仿宋" w:cs="仿宋"/>
          <w:sz w:val="24"/>
        </w:rPr>
      </w:pPr>
      <w:r>
        <w:rPr>
          <w:rFonts w:hint="eastAsia" w:ascii="仿宋" w:hAnsi="仿宋" w:eastAsia="仿宋" w:cs="仿宋"/>
          <w:sz w:val="24"/>
        </w:rPr>
        <w:t>3.4评标委员会对商务技术（资信）文件进行评审。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3.5主持人宣布商务技术得分及无效（废）投标情形（如有），宣读经商务技术（资信）评审符合招标文件要求的投标人名单及其商务技术得分。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3.6启封报价文件资料，由唱读人当众宣读投标人名称、投标价格和投标文件的其他内容。未宣读的投标报价和招标文件未允许提供的备选投标方案等实质性内容，评标时不予承认。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3.7评标委员会对投标文件报价文件资料进行评审，核准投标报价及计算价格分，汇总商务技术分、价格分，根据得分排序确定中标候选人并出具评审报告。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3.8主持人向投标单位公布评审结果。</w:t>
      </w:r>
    </w:p>
    <w:p>
      <w:pPr>
        <w:snapToGrid w:val="0"/>
        <w:spacing w:line="440" w:lineRule="exact"/>
        <w:jc w:val="left"/>
        <w:rPr>
          <w:rFonts w:ascii="仿宋" w:hAnsi="仿宋" w:eastAsia="仿宋" w:cs="仿宋"/>
          <w:b/>
          <w:sz w:val="24"/>
        </w:rPr>
      </w:pPr>
      <w:r>
        <w:rPr>
          <w:rFonts w:hint="eastAsia" w:ascii="仿宋" w:hAnsi="仿宋" w:eastAsia="仿宋" w:cs="仿宋"/>
          <w:b/>
          <w:sz w:val="24"/>
        </w:rPr>
        <w:t>4．评标</w:t>
      </w:r>
    </w:p>
    <w:p>
      <w:pPr>
        <w:spacing w:line="480" w:lineRule="exact"/>
        <w:jc w:val="left"/>
        <w:rPr>
          <w:rFonts w:ascii="仿宋" w:hAnsi="仿宋" w:eastAsia="仿宋" w:cs="仿宋"/>
          <w:sz w:val="24"/>
        </w:rPr>
      </w:pPr>
      <w:r>
        <w:rPr>
          <w:rFonts w:hint="eastAsia" w:ascii="仿宋" w:hAnsi="仿宋" w:eastAsia="仿宋" w:cs="仿宋"/>
          <w:sz w:val="24"/>
        </w:rPr>
        <w:t>4.1评标委员会由招标采购单位依法组建，负责评标活动。评标委员会遵循公开、公平、公正、科学合理、竞争择优的原则。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4.2评标委员会由采购人代表和有关方面的专家组成，成员人数为五人以上单数。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4.3评标委员会负责对投标人资格的最终审定。</w:t>
      </w:r>
    </w:p>
    <w:p>
      <w:pPr>
        <w:spacing w:line="440" w:lineRule="exact"/>
        <w:jc w:val="left"/>
        <w:rPr>
          <w:rFonts w:ascii="仿宋" w:hAnsi="仿宋" w:eastAsia="仿宋" w:cs="仿宋"/>
          <w:sz w:val="24"/>
        </w:rPr>
      </w:pPr>
      <w:r>
        <w:rPr>
          <w:rFonts w:hint="eastAsia" w:ascii="仿宋" w:hAnsi="仿宋" w:eastAsia="仿宋" w:cs="仿宋"/>
          <w:sz w:val="24"/>
        </w:rPr>
        <w:t>4.4评标委员会可以要求投标人对其投标文件中含义不明确的内容作必要的澄清或者说明，但澄清或者说明不得超过投标文件的范围或者改变投标文件的实质性内容。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4.5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4.6评标委员会不向落标方解释落标的原因，不退还投标文件。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5．投标文件的初审鉴定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5.1资格性审查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5.1.1依据法律、法规和招标文件规定，评标委员会对投标人进行资格审查，以确定投标人是否具备投标资格。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5.2符合性审查</w:t>
      </w:r>
    </w:p>
    <w:p>
      <w:pPr>
        <w:spacing w:line="480" w:lineRule="exact"/>
        <w:jc w:val="left"/>
        <w:rPr>
          <w:rFonts w:ascii="仿宋" w:hAnsi="仿宋" w:eastAsia="仿宋" w:cs="仿宋"/>
          <w:sz w:val="24"/>
        </w:rPr>
      </w:pPr>
      <w:r>
        <w:rPr>
          <w:rFonts w:hint="eastAsia" w:ascii="仿宋" w:hAnsi="仿宋" w:eastAsia="仿宋" w:cs="仿宋"/>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5.3如果投标文件实质不响应招标文件的各项要求，评标委员会将予以拒绝，并且不允许投标人通过修改或撤销其不符合要求的差异或保留，使之成为具有实质性响应的投标。</w:t>
      </w:r>
    </w:p>
    <w:bookmarkEnd w:id="6"/>
    <w:bookmarkEnd w:id="7"/>
    <w:bookmarkEnd w:id="8"/>
    <w:p>
      <w:pPr>
        <w:spacing w:line="440" w:lineRule="exact"/>
        <w:jc w:val="left"/>
        <w:rPr>
          <w:rFonts w:ascii="仿宋" w:hAnsi="仿宋" w:eastAsia="仿宋" w:cs="仿宋"/>
          <w:b/>
          <w:sz w:val="24"/>
        </w:rPr>
      </w:pPr>
      <w:r>
        <w:rPr>
          <w:rFonts w:hint="eastAsia" w:ascii="仿宋" w:hAnsi="仿宋" w:eastAsia="仿宋" w:cs="仿宋"/>
          <w:b/>
          <w:kern w:val="0"/>
          <w:sz w:val="24"/>
        </w:rPr>
        <w:t xml:space="preserve">6. </w:t>
      </w:r>
      <w:r>
        <w:rPr>
          <w:rFonts w:hint="eastAsia" w:ascii="仿宋" w:hAnsi="仿宋" w:eastAsia="仿宋" w:cs="仿宋"/>
          <w:b/>
          <w:sz w:val="24"/>
        </w:rPr>
        <w:t>投标文件报价出现前后不一致的，按照下列规定修正：</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7.投标文件的评审、比较和否决</w:t>
      </w:r>
    </w:p>
    <w:p>
      <w:pPr>
        <w:spacing w:line="440" w:lineRule="exact"/>
        <w:jc w:val="left"/>
        <w:rPr>
          <w:rFonts w:ascii="仿宋" w:hAnsi="仿宋" w:eastAsia="仿宋" w:cs="仿宋"/>
          <w:sz w:val="24"/>
        </w:rPr>
      </w:pPr>
      <w:r>
        <w:rPr>
          <w:rFonts w:hint="eastAsia" w:ascii="仿宋" w:hAnsi="仿宋" w:eastAsia="仿宋" w:cs="仿宋"/>
          <w:sz w:val="24"/>
        </w:rPr>
        <w:t>7.1评标委员会将对在实质上响应招标文件要求的投标文件进行评估和比较。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7.2在评审过程中，评标委员会可以书面形式要求投标人就投标文件含义不明确的内容进行书面说明并提供相关材料，但不得超过投标文件的范围或者改变投标文件的实质性内容。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sz w:val="24"/>
        </w:rPr>
        <w:t>7.3在评标过程中，如发现与招标文件要求相偏离的，评标委员会可对其偏离情形进行必要的核实。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7.4在评审过程中，如属于实质性偏离或符合无效响应条件的，应当询问相关投标人，并可对其进行书面确认，但不允许对偏离条款进行补充、修正或撤回。</w:t>
      </w:r>
    </w:p>
    <w:p>
      <w:pPr>
        <w:spacing w:line="440" w:lineRule="exact"/>
        <w:jc w:val="left"/>
        <w:rPr>
          <w:rFonts w:ascii="仿宋" w:hAnsi="仿宋" w:eastAsia="仿宋" w:cs="仿宋"/>
          <w:sz w:val="24"/>
        </w:rPr>
      </w:pPr>
      <w:r>
        <w:rPr>
          <w:rFonts w:hint="eastAsia" w:ascii="仿宋" w:hAnsi="仿宋" w:eastAsia="仿宋" w:cs="仿宋"/>
          <w:sz w:val="24"/>
        </w:rPr>
        <w:t>7.5比较与评价。评标委员会应当按照评标标准，对符合性审查合格的投标文件进行商务和技术评估，综合比较与评价。</w:t>
      </w:r>
    </w:p>
    <w:p>
      <w:pPr>
        <w:spacing w:line="440" w:lineRule="exact"/>
        <w:jc w:val="left"/>
        <w:rPr>
          <w:rFonts w:ascii="仿宋" w:hAnsi="仿宋" w:eastAsia="仿宋" w:cs="仿宋"/>
          <w:sz w:val="24"/>
        </w:rPr>
      </w:pPr>
      <w:r>
        <w:rPr>
          <w:rFonts w:hint="eastAsia" w:ascii="仿宋" w:hAnsi="仿宋" w:eastAsia="仿宋" w:cs="仿宋"/>
          <w:sz w:val="24"/>
        </w:rPr>
        <w:t>7.6汇总（商务技术得分情况）。评标委员会各成员应当独立对每个投标人的商务技术（资信）文件进行评价，并汇总商务技术得分情况。</w:t>
      </w:r>
    </w:p>
    <w:p>
      <w:pPr>
        <w:spacing w:line="440" w:lineRule="exact"/>
        <w:jc w:val="left"/>
        <w:rPr>
          <w:rFonts w:ascii="仿宋" w:hAnsi="仿宋" w:eastAsia="仿宋" w:cs="仿宋"/>
          <w:sz w:val="24"/>
        </w:rPr>
      </w:pPr>
      <w:r>
        <w:rPr>
          <w:rFonts w:hint="eastAsia" w:ascii="仿宋" w:hAnsi="仿宋" w:eastAsia="仿宋" w:cs="仿宋"/>
          <w:sz w:val="24"/>
        </w:rPr>
        <w:t>7.7 报价审核。对符合采购需求且通过商务技术（资信）评审的投标人的报价的合理性、准确性等进行审查核实。</w:t>
      </w:r>
    </w:p>
    <w:p>
      <w:pPr>
        <w:spacing w:line="440" w:lineRule="exact"/>
        <w:jc w:val="left"/>
        <w:rPr>
          <w:rFonts w:ascii="仿宋" w:hAnsi="仿宋" w:eastAsia="仿宋" w:cs="仿宋"/>
          <w:sz w:val="24"/>
        </w:rPr>
      </w:pPr>
      <w:r>
        <w:rPr>
          <w:rFonts w:hint="eastAsia" w:ascii="仿宋" w:hAnsi="仿宋" w:eastAsia="仿宋" w:cs="仿宋"/>
          <w:sz w:val="24"/>
        </w:rPr>
        <w:t>7.7.1评标委员会认为投标人的报价明显低于其他通过符合性审查投标人的报价，有可能影响产品质量或者不能诚信履约的，应当要求其在评标现场合理的时间内提供书面说明，必要时提交相关证明材料。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40" w:lineRule="exact"/>
        <w:jc w:val="left"/>
        <w:rPr>
          <w:rFonts w:ascii="仿宋" w:hAnsi="仿宋" w:eastAsia="仿宋" w:cs="仿宋"/>
          <w:sz w:val="24"/>
        </w:rPr>
      </w:pPr>
      <w:r>
        <w:rPr>
          <w:rFonts w:hint="eastAsia" w:ascii="仿宋" w:hAnsi="仿宋" w:eastAsia="仿宋" w:cs="仿宋"/>
          <w:sz w:val="24"/>
        </w:rPr>
        <w:t>7.7.2如需投标价格修正，按财政部87号令第五十九条的规定对投标价格进行修正。</w:t>
      </w:r>
    </w:p>
    <w:p>
      <w:pPr>
        <w:spacing w:line="440" w:lineRule="exact"/>
        <w:jc w:val="left"/>
        <w:rPr>
          <w:rFonts w:ascii="仿宋" w:hAnsi="仿宋" w:eastAsia="仿宋" w:cs="仿宋"/>
          <w:sz w:val="24"/>
        </w:rPr>
      </w:pPr>
      <w:r>
        <w:rPr>
          <w:rFonts w:hint="eastAsia" w:ascii="仿宋" w:hAnsi="仿宋" w:eastAsia="仿宋" w:cs="仿宋"/>
          <w:sz w:val="24"/>
        </w:rPr>
        <w:t>7.8评标委员会依据招标文件规定的评标标准和方法，对投标文件进行评审和比较后，提供书面评标报告，并按得分高低排序推荐中标候选供应商。</w:t>
      </w:r>
    </w:p>
    <w:p>
      <w:pPr>
        <w:pStyle w:val="13"/>
        <w:widowControl w:val="0"/>
        <w:tabs>
          <w:tab w:val="clear" w:pos="454"/>
        </w:tabs>
        <w:spacing w:afterLines="0" w:line="440" w:lineRule="exact"/>
        <w:ind w:left="0" w:firstLine="0"/>
        <w:rPr>
          <w:rFonts w:ascii="仿宋" w:hAnsi="仿宋" w:eastAsia="仿宋" w:cs="仿宋"/>
          <w:b/>
        </w:rPr>
      </w:pPr>
      <w:r>
        <w:rPr>
          <w:rFonts w:hint="eastAsia" w:ascii="仿宋" w:hAnsi="仿宋" w:eastAsia="仿宋" w:cs="仿宋"/>
          <w:b/>
        </w:rPr>
        <w:t>8.投标文件的澄清</w:t>
      </w:r>
    </w:p>
    <w:p>
      <w:pPr>
        <w:pStyle w:val="13"/>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9.1未按照招标文件规定要求密封封装、签署、盖章的；</w:t>
      </w:r>
    </w:p>
    <w:p>
      <w:pPr>
        <w:snapToGrid w:val="0"/>
        <w:spacing w:line="440" w:lineRule="exact"/>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9.2单位负责人为同一人或者存在直接控股、管理关系的不同供应商参加同一合同项下的采购活动的（均无效）；</w:t>
      </w:r>
    </w:p>
    <w:p>
      <w:pPr>
        <w:snapToGrid w:val="0"/>
        <w:spacing w:line="440" w:lineRule="exact"/>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cs="仿宋"/>
          <w:b/>
          <w:sz w:val="24"/>
        </w:rPr>
      </w:pPr>
      <w:r>
        <w:rPr>
          <w:rFonts w:hint="eastAsia" w:ascii="仿宋" w:hAnsi="仿宋" w:eastAsia="仿宋" w:cs="仿宋"/>
          <w:b/>
          <w:sz w:val="24"/>
        </w:rPr>
        <w:t>9.4投标人未提供招标文件中规定的基本资格条件书面承诺函的，或投标人未提供有效的特定资格证明文件的，视为投标人不具备招标文件中规定的资格要求；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 w:hAnsi="仿宋" w:eastAsia="仿宋" w:cs="仿宋"/>
          <w:b/>
          <w:sz w:val="24"/>
        </w:rPr>
      </w:pPr>
      <w:r>
        <w:rPr>
          <w:rFonts w:hint="eastAsia" w:ascii="仿宋" w:hAnsi="仿宋" w:eastAsia="仿宋" w:cs="仿宋"/>
          <w:b/>
          <w:kern w:val="0"/>
          <w:sz w:val="24"/>
        </w:rPr>
        <w:t>9.5《法定代表人身份证明书》与提供的身份证复印件信息不符的；《法定代表人授权委托书》与提供的身份证复印件信息不符的；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9.6《法定代表人授权委托书》或《法定代表人身份证明书》填写不全、错误、未加盖公章(《法定代表人授权委托书》要求“公章”和“签字或盖章”缺一不可）的；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9.7授权代表非投标单位正式职工的（以社保证明为准，如授权代表为离退休返聘人员的，需提供退休证明及单位聘用证明），法定代表人及个体工商户除外；</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9.8投标文件中的投标函</w:t>
      </w:r>
      <w:r>
        <w:rPr>
          <w:rFonts w:hint="eastAsia" w:ascii="仿宋" w:hAnsi="仿宋" w:eastAsia="仿宋" w:cs="仿宋"/>
          <w:b/>
          <w:kern w:val="0"/>
          <w:sz w:val="24"/>
        </w:rPr>
        <w:t>未加盖公章</w:t>
      </w:r>
      <w:r>
        <w:rPr>
          <w:rFonts w:hint="eastAsia" w:ascii="仿宋" w:hAnsi="仿宋" w:eastAsia="仿宋" w:cs="仿宋"/>
          <w:b/>
          <w:sz w:val="24"/>
        </w:rPr>
        <w:t>或填写不全的；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9.9报</w:t>
      </w:r>
      <w:r>
        <w:rPr>
          <w:rFonts w:hint="eastAsia" w:ascii="仿宋" w:hAnsi="仿宋" w:eastAsia="仿宋" w:cs="仿宋"/>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kern w:val="0"/>
          <w:sz w:val="24"/>
        </w:rPr>
        <w:t>9.10</w:t>
      </w:r>
      <w:r>
        <w:rPr>
          <w:rFonts w:hint="eastAsia" w:ascii="仿宋" w:hAnsi="仿宋" w:eastAsia="仿宋" w:cs="仿宋"/>
          <w:b/>
          <w:sz w:val="24"/>
        </w:rPr>
        <w:t>未按招标文件规定的格式填写，或</w:t>
      </w:r>
      <w:r>
        <w:rPr>
          <w:rFonts w:hint="eastAsia" w:ascii="仿宋" w:hAnsi="仿宋" w:eastAsia="仿宋" w:cs="仿宋"/>
          <w:b/>
          <w:sz w:val="24"/>
          <w:szCs w:val="20"/>
        </w:rPr>
        <w:t>对招标</w:t>
      </w:r>
      <w:r>
        <w:rPr>
          <w:rFonts w:hint="eastAsia" w:ascii="仿宋" w:hAnsi="仿宋" w:eastAsia="仿宋" w:cs="仿宋"/>
          <w:b/>
          <w:sz w:val="24"/>
        </w:rPr>
        <w:t>服务或技术或产品等要求</w:t>
      </w:r>
      <w:r>
        <w:rPr>
          <w:rFonts w:hint="eastAsia" w:ascii="仿宋" w:hAnsi="仿宋" w:eastAsia="仿宋" w:cs="仿宋"/>
          <w:b/>
          <w:sz w:val="24"/>
          <w:szCs w:val="20"/>
        </w:rPr>
        <w:t>未详细应答或应答</w:t>
      </w:r>
      <w:r>
        <w:rPr>
          <w:rFonts w:hint="eastAsia" w:ascii="仿宋" w:hAnsi="仿宋" w:eastAsia="仿宋" w:cs="仿宋"/>
          <w:b/>
          <w:sz w:val="24"/>
        </w:rPr>
        <w:t>内容不全、有缺失的,经评标委员会认定为无法评审的；</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9.11出现同一标的物或本次招标产品(服务)内的主要产品(重要组成部分)出现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描述不一致或前后描述不一致，经评标委员会认定后为无法评审的；</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9.12《技</w:t>
      </w:r>
      <w:r>
        <w:rPr>
          <w:rFonts w:hint="eastAsia" w:ascii="仿宋" w:hAnsi="仿宋" w:eastAsia="仿宋" w:cs="仿宋"/>
          <w:b/>
          <w:sz w:val="24"/>
        </w:rPr>
        <w:t>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sz w:val="24"/>
        </w:rPr>
        <w:t>9.13投</w:t>
      </w:r>
      <w:r>
        <w:rPr>
          <w:rFonts w:hint="eastAsia" w:ascii="仿宋" w:hAnsi="仿宋" w:eastAsia="仿宋" w:cs="仿宋"/>
          <w:b/>
          <w:kern w:val="0"/>
          <w:sz w:val="24"/>
        </w:rPr>
        <w:t>标文件含有采购人不能接受的附加条件；</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9.14评</w:t>
      </w:r>
      <w:r>
        <w:rPr>
          <w:rFonts w:hint="eastAsia" w:ascii="仿宋" w:hAnsi="仿宋" w:eastAsia="仿宋" w:cs="仿宋"/>
          <w:b/>
          <w:sz w:val="24"/>
        </w:rPr>
        <w:t>标委员会认为投标人的报价明显低于其他通过符合性审查投标人的报价，有可能影响产品质量或者不能诚信履约的，未能按要求提供书面说明或者提交相关证明材料证明其报价合理性的;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9.15报价超过招标文件中规定的预算金额或最高限价的；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9.17《开标一览表》填写不完整或字迹不能辨认或有漏项的，经评标委员会认定属于重大偏差的；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9.18投标人对根据修正原则修正后的报价不确认的；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9.19投标人提供虚假材料投标的（包括但不限于以下情节）；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9.19.1使用伪造、变造的许可证件；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9.19.2提供虚假的财务状况或者业绩；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9.19.3提供虚假的项目负责人或者主要技术人员简历、劳动关系证明；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9.19.4提供虚假的信用状况；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9.19.5其他弄虚作假的行为。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9.20下列情形之一的，视为投标人串通投标，其投标无效：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9.20.5不同投标人的投标文件相互混装；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9.20.6有二份及二份以上投标文件的相互之间有特别相同或相似之处，且经询标澄清投标人无令人信服的理由和可靠证据证明其合理性的，经评标委员会半数以上成员确认有串通投标嫌疑的；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9.21有下列情形之一的，属于恶意串通，其投标无效：</w:t>
      </w:r>
    </w:p>
    <w:p>
      <w:pPr>
        <w:spacing w:line="440" w:lineRule="exact"/>
        <w:ind w:firstLine="480" w:firstLineChars="200"/>
        <w:rPr>
          <w:rFonts w:ascii="仿宋" w:hAnsi="仿宋" w:eastAsia="仿宋" w:cs="仿宋"/>
          <w:sz w:val="24"/>
        </w:rPr>
      </w:pPr>
      <w:r>
        <w:rPr>
          <w:rFonts w:hint="eastAsia" w:ascii="仿宋" w:hAnsi="仿宋" w:eastAsia="仿宋" w:cs="仿宋"/>
          <w:sz w:val="24"/>
        </w:rPr>
        <w:t>9.21.1供应商直接或者间接从采购人或者采购机构处获得其他供应商的相关情况并修改其投标文件或者响应文件；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9.21.2供应商按照采购人或者采购机构的授意撤换、修改投标文件或者响应文件；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9.21.3供应商之间协商报价、技术方案等投标文件或者响应文件的实质性内容；</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9.21.4属于同一集团、协会、商会等组织成员的供应商按照该组织要求协同参加采购活动；</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9.21.5供应商之间事先约定由某一特定供应商中标、成交；</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9.21.6供应商之间商定部分供应商放弃参加采购活动或者放弃中标、成交；</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9.21.7供应商与采购人或者采购机构之间、供应商相互之间，为谋求特定供应商中标、成交或者排斥其他供应商的其他串通行为。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szCs w:val="21"/>
        </w:rPr>
        <w:t>9.22</w:t>
      </w:r>
      <w:r>
        <w:rPr>
          <w:rFonts w:hint="eastAsia" w:ascii="仿宋" w:hAnsi="仿宋" w:eastAsia="仿宋" w:cs="仿宋"/>
          <w:b/>
          <w:sz w:val="24"/>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9.23投标文件出现不是唯一的、有选择性投标报价的；</w:t>
      </w:r>
    </w:p>
    <w:p>
      <w:pPr>
        <w:spacing w:line="440" w:lineRule="exact"/>
        <w:rPr>
          <w:rFonts w:ascii="仿宋" w:hAnsi="仿宋" w:eastAsia="仿宋" w:cs="仿宋"/>
        </w:rPr>
      </w:pPr>
      <w:r>
        <w:rPr>
          <w:rFonts w:hint="eastAsia" w:ascii="仿宋" w:hAnsi="仿宋" w:eastAsia="仿宋" w:cs="仿宋"/>
          <w:b/>
          <w:sz w:val="24"/>
        </w:rPr>
        <w:t>9.24其他违反法律、法规的情形。</w:t>
      </w:r>
    </w:p>
    <w:p>
      <w:pPr>
        <w:snapToGrid w:val="0"/>
        <w:spacing w:line="440" w:lineRule="exact"/>
        <w:rPr>
          <w:rFonts w:ascii="仿宋" w:hAnsi="仿宋" w:eastAsia="仿宋" w:cs="仿宋"/>
          <w:b/>
          <w:kern w:val="0"/>
          <w:sz w:val="24"/>
        </w:rPr>
      </w:pPr>
      <w:r>
        <w:rPr>
          <w:rFonts w:hint="eastAsia" w:ascii="仿宋" w:hAnsi="仿宋" w:eastAsia="仿宋" w:cs="仿宋"/>
          <w:b/>
          <w:kern w:val="0"/>
          <w:sz w:val="24"/>
        </w:rPr>
        <w:t>10. 评标过程保密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pStyle w:val="23"/>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五、授予合同</w:t>
      </w:r>
    </w:p>
    <w:p>
      <w:pPr>
        <w:pStyle w:val="13"/>
        <w:tabs>
          <w:tab w:val="clear" w:pos="454"/>
        </w:tabs>
        <w:spacing w:afterLines="0" w:line="440" w:lineRule="exact"/>
        <w:ind w:left="0" w:firstLine="0"/>
        <w:rPr>
          <w:rFonts w:ascii="仿宋" w:hAnsi="仿宋" w:eastAsia="仿宋" w:cs="仿宋"/>
          <w:b/>
          <w:szCs w:val="24"/>
        </w:rPr>
      </w:pPr>
      <w:r>
        <w:rPr>
          <w:rFonts w:hint="eastAsia" w:ascii="仿宋" w:hAnsi="仿宋" w:eastAsia="仿宋" w:cs="仿宋"/>
          <w:b/>
          <w:szCs w:val="24"/>
        </w:rPr>
        <w:t>1.中标条件</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1.1投标文件基本符合招标文件要求；</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1.2投标人有很好的执行合同的能力；</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1.3实施方案最合理并对招标人最为有利，最大限度满足招标文件的要求；</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1.4投标人能够提供质量技术、商务经济占综合优势的系统及服务。</w:t>
      </w:r>
    </w:p>
    <w:p>
      <w:pPr>
        <w:spacing w:line="440" w:lineRule="exact"/>
        <w:jc w:val="left"/>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spacing w:line="440" w:lineRule="exact"/>
        <w:jc w:val="left"/>
        <w:rPr>
          <w:rFonts w:ascii="仿宋" w:hAnsi="仿宋" w:eastAsia="仿宋" w:cs="仿宋"/>
          <w:b/>
          <w:sz w:val="24"/>
        </w:rPr>
      </w:pPr>
      <w:r>
        <w:rPr>
          <w:rFonts w:hint="eastAsia" w:ascii="仿宋" w:hAnsi="仿宋" w:eastAsia="仿宋" w:cs="仿宋"/>
          <w:b/>
          <w:sz w:val="24"/>
        </w:rPr>
        <w:t>2.中标确认</w:t>
      </w:r>
    </w:p>
    <w:p>
      <w:pPr>
        <w:spacing w:line="440" w:lineRule="exact"/>
        <w:jc w:val="left"/>
        <w:rPr>
          <w:rFonts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pPr>
        <w:spacing w:line="440" w:lineRule="exact"/>
        <w:jc w:val="left"/>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pPr>
        <w:spacing w:line="440" w:lineRule="exact"/>
        <w:jc w:val="left"/>
        <w:rPr>
          <w:rFonts w:ascii="仿宋" w:hAnsi="仿宋" w:eastAsia="仿宋" w:cs="仿宋"/>
          <w:b/>
          <w:sz w:val="24"/>
        </w:rPr>
      </w:pPr>
      <w:r>
        <w:rPr>
          <w:rFonts w:hint="eastAsia" w:ascii="仿宋" w:hAnsi="仿宋" w:eastAsia="仿宋" w:cs="仿宋"/>
          <w:b/>
          <w:sz w:val="24"/>
        </w:rPr>
        <w:t>3．中标通知</w:t>
      </w:r>
    </w:p>
    <w:p>
      <w:pPr>
        <w:pStyle w:val="153"/>
        <w:tabs>
          <w:tab w:val="left" w:pos="0"/>
        </w:tabs>
        <w:spacing w:before="0" w:line="440" w:lineRule="exact"/>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对中标结果在</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48"/>
          <w:rFonts w:hint="eastAsia" w:ascii="仿宋" w:hAnsi="仿宋" w:eastAsia="仿宋" w:cs="仿宋"/>
          <w:color w:val="auto"/>
          <w:kern w:val="0"/>
        </w:rPr>
        <w:t>http://zfcg.czt.zj.gov.cn/</w:t>
      </w:r>
      <w:r>
        <w:rPr>
          <w:rStyle w:val="48"/>
          <w:rFonts w:hint="eastAsia" w:ascii="仿宋" w:hAnsi="仿宋" w:eastAsia="仿宋" w:cs="仿宋"/>
          <w:color w:val="auto"/>
          <w:kern w:val="0"/>
        </w:rPr>
        <w:fldChar w:fldCharType="end"/>
      </w:r>
      <w:r>
        <w:rPr>
          <w:rFonts w:hint="eastAsia" w:ascii="仿宋" w:hAnsi="仿宋" w:eastAsia="仿宋" w:cs="仿宋"/>
        </w:rPr>
        <w:t>，绍兴市人民医院官网</w:t>
      </w:r>
      <w:r>
        <w:fldChar w:fldCharType="begin"/>
      </w:r>
      <w:r>
        <w:instrText xml:space="preserve"> HYPERLINK "http://www.312000.net/" </w:instrText>
      </w:r>
      <w:r>
        <w:fldChar w:fldCharType="separate"/>
      </w:r>
      <w:r>
        <w:rPr>
          <w:rFonts w:hint="eastAsia" w:ascii="仿宋" w:hAnsi="仿宋" w:eastAsia="仿宋" w:cs="仿宋"/>
        </w:rPr>
        <w:t>http://www.312000.net/</w:t>
      </w:r>
      <w:r>
        <w:rPr>
          <w:rFonts w:hint="eastAsia" w:ascii="仿宋" w:hAnsi="仿宋" w:eastAsia="仿宋" w:cs="仿宋"/>
        </w:rPr>
        <w:fldChar w:fldCharType="end"/>
      </w:r>
      <w:r>
        <w:rPr>
          <w:rFonts w:hint="eastAsia" w:ascii="仿宋" w:hAnsi="仿宋" w:eastAsia="仿宋" w:cs="仿宋"/>
        </w:rPr>
        <w:t>，绍兴市卫健委官网http://sxws.sx.gov.cn/</w:t>
      </w:r>
      <w:r>
        <w:rPr>
          <w:rFonts w:hint="eastAsia" w:ascii="仿宋" w:hAnsi="仿宋" w:eastAsia="仿宋" w:cs="仿宋"/>
          <w:kern w:val="0"/>
        </w:rPr>
        <w:t>发布中标公告，中标公告期限为1个工作日。</w:t>
      </w:r>
    </w:p>
    <w:p>
      <w:pPr>
        <w:tabs>
          <w:tab w:val="left" w:pos="0"/>
        </w:tabs>
        <w:spacing w:line="440" w:lineRule="exact"/>
        <w:rPr>
          <w:rFonts w:ascii="仿宋" w:hAnsi="仿宋" w:eastAsia="仿宋" w:cs="仿宋"/>
          <w:kern w:val="0"/>
          <w:sz w:val="24"/>
          <w:lang w:val="zh-CN"/>
        </w:rPr>
      </w:pPr>
      <w:r>
        <w:rPr>
          <w:rFonts w:hint="eastAsia" w:ascii="仿宋" w:hAnsi="仿宋" w:eastAsia="仿宋" w:cs="仿宋"/>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kern w:val="0"/>
          <w:sz w:val="24"/>
          <w:lang w:val="zh-CN"/>
        </w:rPr>
        <w:t>。</w:t>
      </w:r>
    </w:p>
    <w:p>
      <w:pPr>
        <w:spacing w:line="440" w:lineRule="exact"/>
        <w:jc w:val="left"/>
        <w:rPr>
          <w:rFonts w:ascii="仿宋" w:hAnsi="仿宋" w:eastAsia="仿宋" w:cs="仿宋"/>
          <w:sz w:val="24"/>
        </w:rPr>
      </w:pPr>
      <w:r>
        <w:rPr>
          <w:rFonts w:hint="eastAsia" w:ascii="仿宋" w:hAnsi="仿宋" w:eastAsia="仿宋" w:cs="仿宋"/>
          <w:sz w:val="24"/>
        </w:rPr>
        <w:t>3.3采购代理机构对中标结果不作任何说明和解释，也不回答任何提问。</w:t>
      </w:r>
    </w:p>
    <w:p>
      <w:pPr>
        <w:spacing w:line="440" w:lineRule="exact"/>
        <w:jc w:val="left"/>
        <w:rPr>
          <w:rFonts w:ascii="仿宋" w:hAnsi="仿宋" w:eastAsia="仿宋" w:cs="仿宋"/>
          <w:b/>
          <w:sz w:val="24"/>
        </w:rPr>
      </w:pPr>
      <w:r>
        <w:rPr>
          <w:rFonts w:hint="eastAsia" w:ascii="仿宋" w:hAnsi="仿宋" w:eastAsia="仿宋" w:cs="仿宋"/>
          <w:b/>
          <w:sz w:val="24"/>
        </w:rPr>
        <w:t>4．履约保证金</w:t>
      </w:r>
    </w:p>
    <w:p>
      <w:pPr>
        <w:spacing w:line="440" w:lineRule="exact"/>
        <w:jc w:val="left"/>
        <w:rPr>
          <w:rFonts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440" w:lineRule="exact"/>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5．合同签订及备案</w:t>
      </w:r>
    </w:p>
    <w:p>
      <w:pPr>
        <w:spacing w:line="440" w:lineRule="exact"/>
        <w:jc w:val="left"/>
        <w:rPr>
          <w:rFonts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向采购机构进行备案。</w:t>
      </w:r>
    </w:p>
    <w:p>
      <w:pPr>
        <w:spacing w:line="440" w:lineRule="exact"/>
        <w:jc w:val="left"/>
        <w:rPr>
          <w:rFonts w:ascii="仿宋" w:hAnsi="仿宋" w:eastAsia="仿宋" w:cs="仿宋"/>
          <w:sz w:val="24"/>
        </w:rPr>
      </w:pPr>
      <w:r>
        <w:rPr>
          <w:rFonts w:hint="eastAsia" w:ascii="仿宋" w:hAnsi="仿宋" w:eastAsia="仿宋" w:cs="仿宋"/>
          <w:sz w:val="24"/>
        </w:rPr>
        <w:t>5.2如中标人为联合体的，由联合体成员各方法定代表人或其授权代表与采购人代表签订合同。</w:t>
      </w:r>
    </w:p>
    <w:p>
      <w:pPr>
        <w:spacing w:line="440" w:lineRule="exact"/>
        <w:jc w:val="left"/>
        <w:rPr>
          <w:rFonts w:ascii="仿宋" w:hAnsi="仿宋" w:eastAsia="仿宋" w:cs="仿宋"/>
          <w:b/>
          <w:sz w:val="24"/>
        </w:rPr>
      </w:pPr>
      <w:r>
        <w:rPr>
          <w:rFonts w:hint="eastAsia" w:ascii="仿宋" w:hAnsi="仿宋" w:eastAsia="仿宋" w:cs="仿宋"/>
          <w:b/>
          <w:sz w:val="24"/>
        </w:rPr>
        <w:t>6.验收</w:t>
      </w:r>
    </w:p>
    <w:p>
      <w:pPr>
        <w:spacing w:line="440" w:lineRule="exact"/>
        <w:jc w:val="left"/>
        <w:rPr>
          <w:rFonts w:ascii="仿宋" w:hAnsi="仿宋" w:eastAsia="仿宋" w:cs="仿宋"/>
          <w:sz w:val="24"/>
        </w:rPr>
      </w:pPr>
      <w:r>
        <w:rPr>
          <w:rFonts w:hint="eastAsia" w:ascii="仿宋" w:hAnsi="仿宋" w:eastAsia="仿宋" w:cs="仿宋"/>
          <w:sz w:val="24"/>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cs="仿宋"/>
          <w:b/>
          <w:sz w:val="24"/>
        </w:rPr>
      </w:pPr>
      <w:r>
        <w:rPr>
          <w:rFonts w:hint="eastAsia" w:ascii="仿宋" w:hAnsi="仿宋" w:eastAsia="仿宋" w:cs="仿宋"/>
          <w:b/>
          <w:sz w:val="24"/>
        </w:rPr>
        <w:t>7. 售后服务考核</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pPr>
        <w:rPr>
          <w:rFonts w:ascii="仿宋" w:hAnsi="仿宋" w:eastAsia="仿宋" w:cs="仿宋"/>
        </w:rPr>
      </w:pPr>
      <w:r>
        <w:rPr>
          <w:rFonts w:hint="eastAsia" w:ascii="仿宋" w:hAnsi="仿宋" w:eastAsia="仿宋" w:cs="仿宋"/>
        </w:rPr>
        <w:br w:type="page"/>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供应商对采购活动事项有疑问的，可以向采购机构提出询问，采购机构将对供应商依法提出的询问作出答复，但答复的内容不得涉及商业秘密。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23"/>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5.采购机构应当在收到供应商的书面质疑后七个工作日内作出答复，并以书面形式通知质疑供应商和其他与质疑处理结果有利害关系的采购当事人，但答复的内容不得涉及商业秘密。</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23"/>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ageBreakBefore/>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40" w:lineRule="exact"/>
        <w:jc w:val="left"/>
        <w:rPr>
          <w:rFonts w:ascii="仿宋" w:hAnsi="仿宋" w:eastAsia="仿宋" w:cs="仿宋"/>
          <w:b/>
          <w:sz w:val="24"/>
        </w:rPr>
      </w:pPr>
      <w:bookmarkStart w:id="9" w:name="_Toc151354173"/>
      <w:bookmarkStart w:id="10" w:name="_Toc84325981"/>
      <w:bookmarkStart w:id="11" w:name="_Toc81372964"/>
      <w:bookmarkStart w:id="12" w:name="_Toc81372787"/>
      <w:bookmarkStart w:id="13" w:name="_Toc80157775"/>
      <w:r>
        <w:rPr>
          <w:rFonts w:hint="eastAsia" w:ascii="仿宋" w:hAnsi="仿宋" w:eastAsia="仿宋" w:cs="仿宋"/>
          <w:b/>
          <w:sz w:val="24"/>
        </w:rPr>
        <w:t>招标项目采购需求：</w:t>
      </w:r>
    </w:p>
    <w:p>
      <w:pPr>
        <w:spacing w:line="440" w:lineRule="exact"/>
        <w:ind w:left="708" w:right="420" w:hanging="708" w:hangingChars="294"/>
        <w:rPr>
          <w:rFonts w:ascii="仿宋" w:hAnsi="仿宋" w:eastAsia="仿宋" w:cs="仿宋"/>
          <w:b/>
          <w:bCs/>
          <w:sz w:val="24"/>
        </w:rPr>
      </w:pPr>
      <w:r>
        <w:rPr>
          <w:rFonts w:hint="eastAsia" w:ascii="仿宋" w:hAnsi="仿宋" w:eastAsia="仿宋" w:cs="仿宋"/>
          <w:b/>
          <w:bCs/>
          <w:sz w:val="24"/>
          <w:bdr w:val="single" w:color="auto" w:sz="4" w:space="0"/>
        </w:rPr>
        <w:t>01标</w:t>
      </w:r>
      <w:bookmarkStart w:id="14" w:name="_Toc32678"/>
      <w:bookmarkStart w:id="15" w:name="_Toc7206"/>
      <w:r>
        <w:rPr>
          <w:rFonts w:hint="eastAsia" w:ascii="仿宋" w:hAnsi="仿宋" w:eastAsia="仿宋" w:cs="仿宋"/>
          <w:b/>
          <w:bCs/>
          <w:sz w:val="24"/>
        </w:rPr>
        <w:t>绍兴市人民医院患者疾病诊后精细化管理外包服务项目           服务期限：2年</w:t>
      </w:r>
    </w:p>
    <w:bookmarkEnd w:id="14"/>
    <w:bookmarkEnd w:id="15"/>
    <w:p>
      <w:pPr>
        <w:snapToGrid w:val="0"/>
        <w:spacing w:line="440" w:lineRule="exact"/>
        <w:jc w:val="left"/>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sz w:val="24"/>
        </w:rPr>
        <w:t>项目背景</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采购人为响应国家健康中国号召，拟于2022年在全院实施新型的针对诊后、院后患者疾病精细化管理服务流程，建立以健康教练技术为核心、以提供患者线上线下+院内院外的疾病管理、复诊管理、用药指导、居家康复指导、病情症状异常干预等疾病精细化管理服务，极大提升医疗质量和患者满意度，在患者中赢得较好的口碑。</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我院围绕患者就医感受，对服务流程、技术项目、医疗设施等做了多项优化；通过融合先进的理念，引进和培育医学专家，着力发展核心技术，引入先进的医疗手段，改善基础设施和医疗设备，持续改进医疗质量，不断优化医疗服务流程，提升患者就医体验，把“以患者为中心”的核心价值观做实，目标是打造一所让员工满意、让患者舒心、颇具品质与安全的现代化国际型的医院。院内服务流程目前进行了多次整合和完善，已经达到了一个非常高的服务程度。</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2016年10月，中共中央、国务院印发了《“健康中国2030”规划纲要》，纲要提出了四项主要遵循的原则，首先是健康优先，要创新健康的发展模式，其次是改革创新，要坚持政府主导，促进全民健康的制度和体系，还有科学发展，就是要遵循健康领域发展规律，坚持防治结合、预防为主。公平公正就是要缩小服务之间的不平等，要缩小这样的差距。随着《“健康中国2030”规划纲要》的发布和医改政策纵深发展，实施健康中国战略，是新时代健康卫生工作的纲领。多项控费医改政策的逐步落地，中国医疗服务行业下一阶段的重点是多维度地均衡医疗资源，全面推行分级诊疗。同时，在保证全民基本医疗服务的前提下，推动发展多样化、个性化的医疗服务，鼓励医疗服务市场化创新。为此，2018年04月28日国务院办公厅发布了《关于促进“互联网+医疗健康”发展的意见（国办发〔2018〕26号）》，意见指出：在发展“互联网+”医疗服务方面，将允许依托医疗机构发展互联网医院。医疗机构可以使用互联网医院作为第二名称，在实体医院的基础上，允许在线开展部分常见病、慢性病复诊。支持医疗卫生机构、符合条件的第三方机构搭建互联网信息平台，开展远程医疗、健康咨询、健康管理服务。意见中还特别提出：要重塑大健康管理模式，实现“我的健康我能管”。在“互联网+”的助力下，健康管理正逐步迈向个性化、精确化。通过建立物联网数据采集平台，居民可通过智能手机、平板电脑、腕表等移动设备或相关应用，全面记录个人运动、生理数据。通过建立健康管理平台，依托网站、手机客户端等载体，家庭医生可随时与签约患者进行交流，为签约居民提供在线健康咨询、预约转诊、慢性病随访、延伸处方等服务，真正发挥家庭医生的健康“守门人”作用。借助云大物移等先进技术，居民在家中就可通过网络完成健康咨询、寻找合适的医生，并在医生的辅助下更好地进行自我健康管理和康复。</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2019年1月30日国务院办公厅关于加强三级公立医院绩效考核工作的意见（国办发〔2019〕4号），明确指出：要求推动三级公立医院在发展方式上由规模扩张型转向质量效益型，在管理模式上有粗放的行政化管理转向全方位的绩效管理，同时也明确指出了关于患者满意度、医务人员满意度等绩效指标，这对医院患者诊后管理的工作再次提出了新要求。</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2019年3月5日国家卫生健康委办公厅《关于印发医院智慧服务分级评估标准体系（试行）的通知》发布了《国家卫生健康委关于医院智慧服务分级评估标准体系》，在全国全面推广智慧医院服务分级评估工作，智慧医院的服务等级评审要求提出患者在一定区域内的医院、基层医疗机构以及居家产生的医疗健康信息能够互联互通，医院能够联合其他机构，为患者提供全生命周期、精准化的智慧医疗健康服务，同时明确了诊后患者反馈、诊后患者管理、家庭服务作为重要的考核指标。</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2019年7月15日，国务院办公厅发布《关于实施健康中国行动的意见》，并印发健康中国行动组织实施和考核方案，意见还据此提出了15个健康中国专项行动计划，其中10个专项行动的要求（健康知识普及行动、合理膳食行动、全民健身行动、心理健康促进 行动、妇幼健康促进行动、老年健康促进行动、心脑血管疾病防治行动、癌症防治行动、慢性呼吸系统疾病防治行动、糖尿病防治行动）与智慧医院的建设和患者诊后管理紧密相关。</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采购人为响应习近平总书记提出的“健康中国”号召，紧密适应医保控费的新医改的大背景，拟在全院实施新型的针对主要的慢性病种、恶性肿瘤、日间手术等具有诊后疾病管理价值的相关病种：如糖尿病、高血压、慢阻肺、脑梗死、冠心病等主要慢性病以及肺癌、乳腺癌、前列腺癌、宫颈癌、急性淋性白血病等恶性肿瘤，腹腔镜、宫腔镜、胆囊切除术等各种日间手术术后相关的患者提供诊后精细化疾病健康管理服务，切实解决患者诊后居家期间的康复管理问题，建立以可穿戴健康监测技术为核心、以提供全程远程健康监测服务和院内院外医疗及预防为一体的患者诊后疾病精细化健康管理服务模式，极大提升各类疾病的诊后健康管理质量，以期达到帮助患者尽快康复的同时，降低患者医疗费用支出，节省医保基金中占大头支出的慢性病的费用支出，最终提升患者对医院的满意度、达到多方共赢的目标。</w:t>
      </w:r>
    </w:p>
    <w:p>
      <w:pPr>
        <w:tabs>
          <w:tab w:val="left" w:pos="3870"/>
          <w:tab w:val="left" w:pos="4085"/>
        </w:tabs>
        <w:snapToGrid w:val="0"/>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二、项目建设目标</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对医院所有纳入精细化管理服务的门诊、住院患者及体检人群提供疾病精细化管理服务，包括组建一支疾病精细化管理的个案管理师团队和医学团队，对具有疾病精细化管理价值的病种进行全面梳理，编制疾病管理路径，并提供患者拓展、疾病管理、复诊管理、用药指导、居家康复指导、病情症状异常干预等疾病精细化管理服务。</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健康教练技术为核心，提供诊后全程健康监测服务，辅助探索建立医、防一体的500多种具有高度管理价值的疾病及术后患者的远程健康管理服务模式，打造全国互联网+诊后疾病管理及互联网医院创新服务运营的绍兴新模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大幅提升患者对医院的满意度和获得感，改善医患之间的情感交互，塑造医院亲民的良好形象，通过优质的专科随访工作和疾病诊后管理服务工作的开展，在患者中赢得良好口碑，通过优异的诊后患者管理服务来大幅提升我院在本区域内的竞争力，把“以病人为中心”的核心价值观做到极致。</w:t>
      </w:r>
    </w:p>
    <w:p>
      <w:pPr>
        <w:tabs>
          <w:tab w:val="left" w:pos="3870"/>
          <w:tab w:val="left" w:pos="4085"/>
        </w:tabs>
        <w:snapToGrid w:val="0"/>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三、项目实施范围</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1、实施区域：绍兴市人民医院</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实施人群：恶性肿瘤、手术治疗、冠心病、慢阻肺、脑梗死、脑卒中、高血压、糖尿病、胃溃疡等常见病、慢性病和重疾类患者、术后患者等具有诊后疾病精细化管理价值的所有病种的门诊、住院患者人群和检后高危人群。</w:t>
      </w:r>
    </w:p>
    <w:p>
      <w:pPr>
        <w:tabs>
          <w:tab w:val="left" w:pos="3870"/>
          <w:tab w:val="left" w:pos="4085"/>
        </w:tabs>
        <w:snapToGrid w:val="0"/>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四、项目概况</w:t>
      </w:r>
    </w:p>
    <w:p>
      <w:pPr>
        <w:numPr>
          <w:ilvl w:val="0"/>
          <w:numId w:val="8"/>
        </w:numPr>
        <w:spacing w:line="400" w:lineRule="exact"/>
        <w:rPr>
          <w:rFonts w:ascii="仿宋" w:hAnsi="仿宋" w:eastAsia="仿宋" w:cs="仿宋"/>
          <w:b/>
          <w:sz w:val="24"/>
        </w:rPr>
      </w:pPr>
      <w:r>
        <w:rPr>
          <w:rFonts w:hint="eastAsia" w:ascii="仿宋" w:hAnsi="仿宋" w:eastAsia="仿宋" w:cs="仿宋"/>
          <w:b/>
          <w:sz w:val="24"/>
        </w:rPr>
        <w:t>采购一览表</w:t>
      </w:r>
    </w:p>
    <w:tbl>
      <w:tblPr>
        <w:tblStyle w:val="41"/>
        <w:tblW w:w="829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76"/>
        <w:gridCol w:w="521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b/>
                <w:bCs/>
                <w:color w:val="000000"/>
                <w:kern w:val="0"/>
                <w:sz w:val="24"/>
              </w:rPr>
            </w:pPr>
            <w:bookmarkStart w:id="16" w:name="OLE_LINK1"/>
            <w:r>
              <w:rPr>
                <w:rFonts w:hint="eastAsia" w:ascii="仿宋" w:hAnsi="仿宋" w:eastAsia="仿宋" w:cs="仿宋"/>
                <w:b/>
                <w:bCs/>
                <w:color w:val="000000"/>
                <w:kern w:val="0"/>
                <w:sz w:val="24"/>
              </w:rPr>
              <w:t>序号</w:t>
            </w:r>
          </w:p>
        </w:tc>
        <w:tc>
          <w:tcPr>
            <w:tcW w:w="1276" w:type="dxa"/>
            <w:vAlign w:val="center"/>
          </w:tcPr>
          <w:p>
            <w:pPr>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项目名称</w:t>
            </w:r>
          </w:p>
        </w:tc>
        <w:tc>
          <w:tcPr>
            <w:tcW w:w="5219" w:type="dxa"/>
            <w:vAlign w:val="center"/>
          </w:tcPr>
          <w:p>
            <w:pPr>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项目内涵</w:t>
            </w:r>
          </w:p>
        </w:tc>
        <w:tc>
          <w:tcPr>
            <w:tcW w:w="1101" w:type="dxa"/>
            <w:vAlign w:val="center"/>
          </w:tcPr>
          <w:p>
            <w:pPr>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暂定单价（元/项）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1276" w:type="dxa"/>
            <w:vAlign w:val="center"/>
          </w:tcPr>
          <w:p>
            <w:pPr>
              <w:widowControl/>
              <w:ind w:right="105" w:rightChars="50"/>
              <w:jc w:val="center"/>
              <w:rPr>
                <w:rFonts w:ascii="仿宋" w:hAnsi="仿宋" w:eastAsia="仿宋" w:cs="仿宋"/>
                <w:color w:val="000000"/>
                <w:sz w:val="22"/>
                <w:szCs w:val="22"/>
              </w:rPr>
            </w:pPr>
            <w:r>
              <w:rPr>
                <w:rFonts w:hint="eastAsia" w:ascii="仿宋" w:hAnsi="仿宋" w:eastAsia="仿宋" w:cs="仿宋"/>
                <w:color w:val="000000"/>
                <w:kern w:val="0"/>
                <w:szCs w:val="21"/>
              </w:rPr>
              <w:t>专病短期精细化管理服务</w:t>
            </w:r>
          </w:p>
        </w:tc>
        <w:tc>
          <w:tcPr>
            <w:tcW w:w="5219" w:type="dxa"/>
            <w:vAlign w:val="center"/>
          </w:tcPr>
          <w:p>
            <w:pPr>
              <w:widowControl/>
              <w:ind w:left="105" w:leftChars="50" w:right="105" w:rightChars="50"/>
              <w:jc w:val="left"/>
              <w:rPr>
                <w:rFonts w:ascii="仿宋" w:hAnsi="仿宋" w:eastAsia="仿宋" w:cs="仿宋"/>
                <w:kern w:val="0"/>
                <w:sz w:val="22"/>
                <w:szCs w:val="22"/>
              </w:rPr>
            </w:pPr>
            <w:r>
              <w:rPr>
                <w:rFonts w:hint="eastAsia" w:ascii="仿宋" w:hAnsi="仿宋" w:eastAsia="仿宋" w:cs="仿宋"/>
                <w:color w:val="000000"/>
                <w:kern w:val="0"/>
                <w:szCs w:val="21"/>
              </w:rPr>
              <w:t>指由需方自愿要求，专业人员（医生、护士、健康管理师等）组成的疾病管理团队，对患者进行短期的医疗照护管理服务，包含疾病跟踪、健康宣教、用药指导、复诊提醒、智能评估等，对患者离院居家过程实现早发现、早干预、早治疗，提高患者疾病认知，短期促进患者依从性，提高患者心理健康。</w:t>
            </w:r>
          </w:p>
        </w:tc>
        <w:tc>
          <w:tcPr>
            <w:tcW w:w="1101" w:type="dxa"/>
            <w:vAlign w:val="center"/>
          </w:tcPr>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1276" w:type="dxa"/>
            <w:vAlign w:val="center"/>
          </w:tcPr>
          <w:p>
            <w:pPr>
              <w:rPr>
                <w:rFonts w:ascii="仿宋" w:hAnsi="仿宋" w:eastAsia="仿宋" w:cs="仿宋"/>
                <w:color w:val="000000"/>
                <w:sz w:val="22"/>
                <w:szCs w:val="22"/>
              </w:rPr>
            </w:pPr>
            <w:r>
              <w:rPr>
                <w:rFonts w:hint="eastAsia" w:ascii="仿宋" w:hAnsi="仿宋" w:eastAsia="仿宋" w:cs="仿宋"/>
                <w:color w:val="000000"/>
                <w:kern w:val="0"/>
                <w:szCs w:val="21"/>
              </w:rPr>
              <w:t>专病精细化标准管理服务</w:t>
            </w:r>
          </w:p>
        </w:tc>
        <w:tc>
          <w:tcPr>
            <w:tcW w:w="5219" w:type="dxa"/>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color w:val="000000"/>
                <w:kern w:val="0"/>
                <w:szCs w:val="21"/>
              </w:rPr>
              <w:t>指由需方自愿要求，专业人员（医生、护士、健康管理师等）组成的疾病管理团队，对其进行疾病评估、制定疾病标准管理方案，提供包括疾病风险评估、用药、饮食、运动、复诊等指导和提醒；阶段性的为患者给出病情评估报告，医生参与点评与异常情况解答。</w:t>
            </w:r>
          </w:p>
        </w:tc>
        <w:tc>
          <w:tcPr>
            <w:tcW w:w="1101" w:type="dxa"/>
            <w:vAlign w:val="center"/>
          </w:tcPr>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276" w:type="dxa"/>
            <w:vAlign w:val="center"/>
          </w:tcPr>
          <w:p>
            <w:pPr>
              <w:rPr>
                <w:rFonts w:ascii="仿宋" w:hAnsi="仿宋" w:eastAsia="仿宋" w:cs="仿宋"/>
                <w:color w:val="000000"/>
                <w:sz w:val="22"/>
                <w:szCs w:val="22"/>
              </w:rPr>
            </w:pPr>
            <w:r>
              <w:rPr>
                <w:rFonts w:hint="eastAsia" w:ascii="仿宋" w:hAnsi="仿宋" w:eastAsia="仿宋" w:cs="仿宋"/>
                <w:color w:val="000000"/>
                <w:kern w:val="0"/>
                <w:szCs w:val="21"/>
              </w:rPr>
              <w:t>专病精细化强化管理服务</w:t>
            </w:r>
          </w:p>
        </w:tc>
        <w:tc>
          <w:tcPr>
            <w:tcW w:w="5219" w:type="dxa"/>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color w:val="000000"/>
                <w:kern w:val="0"/>
                <w:szCs w:val="21"/>
              </w:rPr>
              <w:t>指由需方自愿要求，专业人员（医生、护士、健康管理师等）组成的疾病管理团队，对其进行疾病评估和制定疾病强化管理方案，根据病情需求进行个案强化管理包括疾病风险评估及异常解答、用药指导、个性化的营养或运动康复指导、患者依从性管理等。</w:t>
            </w:r>
          </w:p>
        </w:tc>
        <w:tc>
          <w:tcPr>
            <w:tcW w:w="1101" w:type="dxa"/>
            <w:vAlign w:val="center"/>
          </w:tcPr>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276" w:type="dxa"/>
            <w:vAlign w:val="center"/>
          </w:tcPr>
          <w:p>
            <w:pPr>
              <w:rPr>
                <w:rFonts w:ascii="仿宋" w:hAnsi="仿宋" w:eastAsia="仿宋" w:cs="仿宋"/>
                <w:color w:val="000000"/>
                <w:kern w:val="0"/>
                <w:szCs w:val="21"/>
              </w:rPr>
            </w:pPr>
            <w:r>
              <w:rPr>
                <w:rFonts w:hint="eastAsia" w:ascii="仿宋" w:hAnsi="仿宋" w:eastAsia="仿宋" w:cs="仿宋"/>
                <w:color w:val="000000"/>
                <w:kern w:val="0"/>
                <w:szCs w:val="21"/>
              </w:rPr>
              <w:t>专病精细化全程管理服务</w:t>
            </w:r>
          </w:p>
        </w:tc>
        <w:tc>
          <w:tcPr>
            <w:tcW w:w="5219" w:type="dxa"/>
            <w:vAlign w:val="center"/>
          </w:tcPr>
          <w:p>
            <w:pPr>
              <w:rPr>
                <w:rFonts w:ascii="仿宋" w:hAnsi="仿宋" w:eastAsia="仿宋" w:cs="仿宋"/>
                <w:color w:val="000000"/>
                <w:kern w:val="0"/>
                <w:szCs w:val="21"/>
              </w:rPr>
            </w:pPr>
            <w:r>
              <w:rPr>
                <w:rFonts w:hint="eastAsia" w:ascii="仿宋" w:hAnsi="仿宋" w:eastAsia="仿宋" w:cs="仿宋"/>
                <w:color w:val="000000"/>
                <w:kern w:val="0"/>
                <w:szCs w:val="21"/>
              </w:rPr>
              <w:t>指由需方自愿要求，专业人员（医生、护士、健康管理师等）组成的疾病管理团队，对其进行疾病评估和制定疾病全程管理方案，根据病情需求进行个案全程管理包括疾病风险评估及异常解答、用药指导、个性化的营养及运动康复指导、患者依从性管理等，并提供定期上门服务。</w:t>
            </w:r>
          </w:p>
        </w:tc>
        <w:tc>
          <w:tcPr>
            <w:tcW w:w="1101" w:type="dxa"/>
            <w:vAlign w:val="center"/>
          </w:tcPr>
          <w:p>
            <w:pPr>
              <w:widowControl/>
              <w:ind w:left="105" w:leftChars="50" w:right="105" w:rightChars="50"/>
              <w:rPr>
                <w:rFonts w:ascii="仿宋" w:hAnsi="仿宋" w:eastAsia="仿宋" w:cs="仿宋"/>
                <w:color w:val="000000"/>
                <w:kern w:val="0"/>
                <w:szCs w:val="21"/>
              </w:rPr>
            </w:pPr>
            <w:r>
              <w:rPr>
                <w:rFonts w:hint="eastAsia" w:ascii="仿宋" w:hAnsi="仿宋" w:eastAsia="仿宋" w:cs="仿宋"/>
                <w:color w:val="000000"/>
                <w:kern w:val="0"/>
                <w:szCs w:val="21"/>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276" w:type="dxa"/>
            <w:vAlign w:val="center"/>
          </w:tcPr>
          <w:p>
            <w:pPr>
              <w:rPr>
                <w:rFonts w:ascii="仿宋" w:hAnsi="仿宋" w:eastAsia="仿宋" w:cs="仿宋"/>
                <w:color w:val="000000"/>
                <w:sz w:val="22"/>
                <w:szCs w:val="22"/>
              </w:rPr>
            </w:pPr>
            <w:r>
              <w:rPr>
                <w:rFonts w:hint="eastAsia" w:ascii="仿宋" w:hAnsi="仿宋" w:eastAsia="仿宋" w:cs="仿宋"/>
                <w:color w:val="000000"/>
                <w:kern w:val="0"/>
                <w:szCs w:val="21"/>
              </w:rPr>
              <w:t>专病强干预管理服务</w:t>
            </w:r>
          </w:p>
        </w:tc>
        <w:tc>
          <w:tcPr>
            <w:tcW w:w="5219" w:type="dxa"/>
            <w:vAlign w:val="center"/>
          </w:tcPr>
          <w:p>
            <w:pPr>
              <w:rPr>
                <w:rFonts w:ascii="仿宋" w:hAnsi="仿宋" w:eastAsia="仿宋" w:cs="仿宋"/>
                <w:kern w:val="0"/>
                <w:sz w:val="22"/>
                <w:szCs w:val="22"/>
              </w:rPr>
            </w:pPr>
            <w:r>
              <w:rPr>
                <w:rFonts w:hint="eastAsia" w:ascii="仿宋" w:hAnsi="仿宋" w:eastAsia="仿宋" w:cs="仿宋"/>
                <w:color w:val="000000"/>
                <w:kern w:val="0"/>
                <w:szCs w:val="21"/>
              </w:rPr>
              <w:t>指由需方自愿要求，专业人员（医生、护士、健康管理师、营养师、运动康复师等）组成疾病管理团队，根据专家医生预先确定的病种管理要求，对专病患者制定个性化可执行的强化干预方案（饮食强化干预或运动康复强化干预）、病情症状采集与干预指导、复诊管理、异常监测指标指导，促进患者对疾病的认知，提高患者治疗的依从性，提升治疗康复效果，促进健康。</w:t>
            </w:r>
          </w:p>
        </w:tc>
        <w:tc>
          <w:tcPr>
            <w:tcW w:w="1101" w:type="dxa"/>
            <w:vAlign w:val="center"/>
          </w:tcPr>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1276" w:type="dxa"/>
            <w:vAlign w:val="center"/>
          </w:tcPr>
          <w:p>
            <w:pPr>
              <w:rPr>
                <w:rFonts w:ascii="仿宋" w:hAnsi="仿宋" w:eastAsia="仿宋" w:cs="仿宋"/>
                <w:color w:val="000000"/>
                <w:sz w:val="22"/>
                <w:szCs w:val="22"/>
              </w:rPr>
            </w:pPr>
            <w:r>
              <w:rPr>
                <w:rFonts w:hint="eastAsia" w:ascii="仿宋" w:hAnsi="仿宋" w:eastAsia="仿宋" w:cs="仿宋"/>
                <w:color w:val="000000"/>
                <w:kern w:val="0"/>
                <w:szCs w:val="21"/>
              </w:rPr>
              <w:t>专病强干预综合管理服务</w:t>
            </w:r>
          </w:p>
        </w:tc>
        <w:tc>
          <w:tcPr>
            <w:tcW w:w="5219" w:type="dxa"/>
            <w:vAlign w:val="center"/>
          </w:tcPr>
          <w:p>
            <w:pPr>
              <w:rPr>
                <w:rFonts w:ascii="仿宋" w:hAnsi="仿宋" w:eastAsia="仿宋" w:cs="仿宋"/>
                <w:kern w:val="0"/>
                <w:sz w:val="22"/>
                <w:szCs w:val="22"/>
              </w:rPr>
            </w:pPr>
            <w:r>
              <w:rPr>
                <w:rFonts w:hint="eastAsia" w:ascii="仿宋" w:hAnsi="仿宋" w:eastAsia="仿宋" w:cs="仿宋"/>
                <w:color w:val="000000"/>
                <w:kern w:val="0"/>
                <w:szCs w:val="21"/>
              </w:rPr>
              <w:t>指由需方自愿要求，专业人员（医生、护士、健康管理师、营养师、运动康复师等）组成疾病管理团队，根据专家医生预先确定的病种管理要求，对专病患者制定个性化强化干预方案，并每周进行跟踪调整：包括每周饮食强化干预、每周运动强化干预、病情症状采集与干预指导、复诊管理强化干预、异常指标干预，促进患者对疾病的认知，督促患者养成健康的生活习惯，预防并发症，提高患者治疗的依从性，提升治疗康复效果，促进健康。</w:t>
            </w:r>
          </w:p>
        </w:tc>
        <w:tc>
          <w:tcPr>
            <w:tcW w:w="1101" w:type="dxa"/>
            <w:vAlign w:val="center"/>
          </w:tcPr>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4" w:type="dxa"/>
            <w:vAlign w:val="center"/>
          </w:tcPr>
          <w:p>
            <w:pPr>
              <w:spacing w:line="360" w:lineRule="auto"/>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1276" w:type="dxa"/>
            <w:vAlign w:val="center"/>
          </w:tcPr>
          <w:p>
            <w:pPr>
              <w:rPr>
                <w:rFonts w:ascii="仿宋" w:hAnsi="仿宋" w:eastAsia="仿宋" w:cs="仿宋"/>
                <w:color w:val="000000"/>
                <w:kern w:val="0"/>
                <w:szCs w:val="21"/>
              </w:rPr>
            </w:pPr>
            <w:r>
              <w:rPr>
                <w:rFonts w:hint="eastAsia" w:ascii="仿宋" w:hAnsi="仿宋" w:eastAsia="仿宋" w:cs="仿宋"/>
                <w:color w:val="000000"/>
                <w:kern w:val="0"/>
                <w:szCs w:val="21"/>
              </w:rPr>
              <w:t>专病治疗性生活方式干预管理服务</w:t>
            </w:r>
          </w:p>
        </w:tc>
        <w:tc>
          <w:tcPr>
            <w:tcW w:w="5219" w:type="dxa"/>
            <w:vAlign w:val="center"/>
          </w:tcPr>
          <w:p>
            <w:pPr>
              <w:rPr>
                <w:rFonts w:ascii="仿宋" w:hAnsi="仿宋" w:eastAsia="仿宋" w:cs="仿宋"/>
                <w:color w:val="000000"/>
                <w:kern w:val="0"/>
                <w:szCs w:val="21"/>
              </w:rPr>
            </w:pPr>
            <w:r>
              <w:rPr>
                <w:rFonts w:hint="eastAsia" w:ascii="仿宋" w:hAnsi="仿宋" w:eastAsia="仿宋" w:cs="仿宋"/>
                <w:color w:val="000000"/>
                <w:kern w:val="0"/>
                <w:szCs w:val="21"/>
              </w:rPr>
              <w:t>指由需方自愿要求，专业人员（医生、护士、健康管理师、营养师、运动康复师、心理咨询师等）组成疾病管理团队，管理期内对有需要通过治疗性生活方式进行治疗的患者人群每日进行综合性强化管理。提供建立动态档案、跟踪和监测相关数据指标，并结合人工智能技术每日为患者提供个性化的运动和饮食方案，并监督、跟踪、指导患者对生活方式改进情况；督促患者对养成健康的生活习惯，促进健康。</w:t>
            </w:r>
          </w:p>
        </w:tc>
        <w:tc>
          <w:tcPr>
            <w:tcW w:w="1101" w:type="dxa"/>
            <w:vAlign w:val="center"/>
          </w:tcPr>
          <w:p>
            <w:pPr>
              <w:widowControl/>
              <w:ind w:left="105" w:leftChars="50" w:right="105" w:rightChars="50"/>
              <w:rPr>
                <w:rFonts w:ascii="仿宋" w:hAnsi="仿宋" w:eastAsia="仿宋" w:cs="仿宋"/>
                <w:color w:val="000000"/>
                <w:sz w:val="22"/>
                <w:szCs w:val="22"/>
              </w:rPr>
            </w:pPr>
          </w:p>
          <w:p>
            <w:pPr>
              <w:widowControl/>
              <w:ind w:left="105" w:leftChars="50" w:right="105" w:rightChars="50"/>
              <w:rPr>
                <w:rFonts w:ascii="仿宋" w:hAnsi="仿宋" w:eastAsia="仿宋" w:cs="仿宋"/>
                <w:color w:val="000000"/>
                <w:sz w:val="22"/>
                <w:szCs w:val="22"/>
              </w:rPr>
            </w:pPr>
          </w:p>
          <w:p>
            <w:pPr>
              <w:widowControl/>
              <w:ind w:left="105" w:leftChars="50" w:right="105" w:rightChars="50"/>
              <w:rPr>
                <w:rFonts w:ascii="仿宋" w:hAnsi="仿宋" w:eastAsia="仿宋" w:cs="仿宋"/>
                <w:color w:val="000000"/>
                <w:sz w:val="22"/>
                <w:szCs w:val="22"/>
              </w:rPr>
            </w:pPr>
            <w:r>
              <w:rPr>
                <w:rFonts w:hint="eastAsia" w:ascii="仿宋" w:hAnsi="仿宋" w:eastAsia="仿宋" w:cs="仿宋"/>
                <w:color w:val="000000"/>
                <w:sz w:val="22"/>
                <w:szCs w:val="22"/>
              </w:rPr>
              <w:t>2688</w:t>
            </w:r>
          </w:p>
        </w:tc>
      </w:tr>
      <w:bookmarkEnd w:id="16"/>
    </w:tbl>
    <w:p>
      <w:pPr>
        <w:rPr>
          <w:rFonts w:ascii="仿宋" w:hAnsi="仿宋" w:eastAsia="仿宋" w:cs="仿宋"/>
        </w:rPr>
      </w:pPr>
    </w:p>
    <w:p>
      <w:pPr>
        <w:spacing w:line="360" w:lineRule="auto"/>
        <w:ind w:firstLine="207" w:firstLineChars="98"/>
        <w:rPr>
          <w:rFonts w:ascii="仿宋" w:hAnsi="仿宋" w:eastAsia="仿宋" w:cs="仿宋"/>
          <w:b/>
          <w:color w:val="000000"/>
          <w:szCs w:val="21"/>
        </w:rPr>
      </w:pPr>
      <w:r>
        <w:rPr>
          <w:rFonts w:hint="eastAsia" w:ascii="仿宋" w:hAnsi="仿宋" w:eastAsia="仿宋" w:cs="仿宋"/>
          <w:b/>
          <w:color w:val="000000"/>
          <w:szCs w:val="21"/>
        </w:rPr>
        <w:t>注： 1．本项目不仅限于以上七个套餐，以实际需求为准。</w:t>
      </w:r>
    </w:p>
    <w:p>
      <w:pPr>
        <w:spacing w:line="360" w:lineRule="auto"/>
        <w:ind w:firstLine="205" w:firstLineChars="98"/>
        <w:rPr>
          <w:rFonts w:ascii="仿宋" w:hAnsi="仿宋" w:eastAsia="仿宋" w:cs="仿宋"/>
          <w:b/>
          <w:color w:val="000000"/>
          <w:szCs w:val="21"/>
        </w:rPr>
      </w:pPr>
      <w:r>
        <w:rPr>
          <w:rFonts w:hint="eastAsia"/>
        </w:rPr>
        <w:t>　　</w:t>
      </w:r>
      <w:r>
        <w:rPr>
          <w:rFonts w:hint="eastAsia" w:ascii="仿宋" w:hAnsi="仿宋" w:eastAsia="仿宋" w:cs="仿宋"/>
          <w:b/>
          <w:color w:val="000000"/>
          <w:szCs w:val="21"/>
        </w:rPr>
        <w:t xml:space="preserve"> 2．收费单价为自主定价，最终收费单价以医院官网公示为准。</w:t>
      </w:r>
    </w:p>
    <w:p>
      <w:pPr>
        <w:spacing w:line="360" w:lineRule="auto"/>
        <w:rPr>
          <w:rFonts w:ascii="仿宋" w:hAnsi="仿宋" w:eastAsia="仿宋" w:cs="仿宋"/>
          <w:color w:val="000000"/>
          <w:szCs w:val="21"/>
        </w:rPr>
      </w:pPr>
      <w:r>
        <w:rPr>
          <w:rFonts w:hint="eastAsia" w:ascii="仿宋" w:hAnsi="仿宋" w:eastAsia="仿宋" w:cs="仿宋"/>
          <w:b/>
          <w:color w:val="000000"/>
          <w:szCs w:val="21"/>
        </w:rPr>
        <w:t xml:space="preserve">       3.结算按实际服务套餐数量和套餐收费单价及折扣计算（服务套餐数量*单价*中标折扣）。</w:t>
      </w:r>
    </w:p>
    <w:p>
      <w:pPr>
        <w:spacing w:line="360" w:lineRule="auto"/>
        <w:ind w:left="615" w:leftChars="293"/>
        <w:rPr>
          <w:rFonts w:ascii="仿宋" w:hAnsi="仿宋" w:eastAsia="仿宋" w:cs="仿宋"/>
        </w:rPr>
      </w:pPr>
      <w:r>
        <w:rPr>
          <w:rFonts w:hint="eastAsia" w:ascii="仿宋" w:hAnsi="仿宋" w:eastAsia="仿宋" w:cs="仿宋"/>
          <w:b/>
          <w:color w:val="000000"/>
          <w:szCs w:val="21"/>
        </w:rPr>
        <w:t>4.报价包含产品材料费用、运输费（含装卸费）、劳务费、税费、保险费等所有费用。</w:t>
      </w:r>
    </w:p>
    <w:p>
      <w:pPr>
        <w:numPr>
          <w:ilvl w:val="0"/>
          <w:numId w:val="8"/>
        </w:numPr>
        <w:spacing w:line="400" w:lineRule="exact"/>
        <w:rPr>
          <w:rFonts w:ascii="仿宋" w:hAnsi="仿宋" w:eastAsia="仿宋" w:cs="仿宋"/>
          <w:b/>
          <w:sz w:val="24"/>
        </w:rPr>
      </w:pPr>
      <w:r>
        <w:rPr>
          <w:rFonts w:hint="eastAsia" w:ascii="仿宋" w:hAnsi="仿宋" w:eastAsia="仿宋" w:cs="仿宋"/>
          <w:b/>
          <w:sz w:val="24"/>
        </w:rPr>
        <w:t>患者疾病精细化管理服务相关技术要求</w:t>
      </w:r>
    </w:p>
    <w:p>
      <w:pPr>
        <w:pStyle w:val="89"/>
        <w:numPr>
          <w:ilvl w:val="0"/>
          <w:numId w:val="9"/>
        </w:numPr>
        <w:ind w:firstLine="560"/>
        <w:rPr>
          <w:rFonts w:ascii="仿宋" w:hAnsi="仿宋" w:eastAsia="仿宋" w:cs="仿宋"/>
          <w:b/>
          <w:bCs/>
        </w:rPr>
      </w:pPr>
      <w:r>
        <w:rPr>
          <w:rFonts w:hint="eastAsia" w:ascii="仿宋" w:hAnsi="仿宋" w:eastAsia="仿宋" w:cs="仿宋"/>
          <w:b/>
          <w:bCs/>
        </w:rPr>
        <w:t>中标人应与采购人一起建立患者诊后精细化疾病健康管理服务团队</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每个院区（包含昌安院区和镜湖院区）均由医院组建1个“1+1+x”服务团队，将根据管理病种遴选优秀的专科医生团队加入到疾病管理工作。以专科医生、专科护士、健康管理师为服务团队，承担患者从入院到家庭到门诊的闭环管理。中标方至少提供1名具有丰富精细化管理经验的中心主任作为教练和衔接责任人，要求至少提供３名健康管理师，针对疾病患者的病情，进行健康建档、数据采集、讲解病情发展的过程和居家需要注意的事项。人员配置应根据患者管理人数及工作量的进展及时追加配置。</w:t>
      </w:r>
    </w:p>
    <w:p>
      <w:pPr>
        <w:pStyle w:val="89"/>
        <w:numPr>
          <w:ilvl w:val="0"/>
          <w:numId w:val="9"/>
        </w:numPr>
        <w:ind w:firstLine="560"/>
        <w:rPr>
          <w:rFonts w:ascii="仿宋" w:hAnsi="仿宋" w:eastAsia="仿宋" w:cs="仿宋"/>
          <w:b/>
          <w:bCs/>
        </w:rPr>
      </w:pPr>
      <w:r>
        <w:rPr>
          <w:rFonts w:hint="eastAsia" w:ascii="仿宋" w:hAnsi="仿宋" w:eastAsia="仿宋" w:cs="仿宋"/>
          <w:b/>
          <w:bCs/>
        </w:rPr>
        <w:t>疾病健康管理团队</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由投标人提供一支专业的疾病健康管理服务团队加入到患者诊后健康管理服务中，根据患者信息出具个性化的疾病干预方案，为患者提供全程诊后精细化疾病健康管理干预服务，服务团队至少应包括全科医生、营养师、运动康复师、心理师、健康管理师等，需在投标文件中提供拟为本项目提供服务的人员清单及资质证书情况。</w:t>
      </w:r>
    </w:p>
    <w:p>
      <w:pPr>
        <w:pStyle w:val="89"/>
        <w:numPr>
          <w:ilvl w:val="0"/>
          <w:numId w:val="9"/>
        </w:numPr>
        <w:ind w:firstLine="560"/>
        <w:rPr>
          <w:rFonts w:ascii="仿宋" w:hAnsi="仿宋" w:eastAsia="仿宋" w:cs="仿宋"/>
          <w:b/>
          <w:bCs/>
        </w:rPr>
      </w:pPr>
      <w:r>
        <w:rPr>
          <w:rFonts w:hint="eastAsia" w:ascii="仿宋" w:hAnsi="仿宋" w:eastAsia="仿宋" w:cs="仿宋"/>
          <w:b/>
          <w:bCs/>
        </w:rPr>
        <w:t>疾病精细化管理服务路径的医学支撑能力</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精细化管理系统的业务功能梳理中，有很大一块任务是要根据临床科室的患者疾病管理要求进行具体的患者管理路径规范的梳理和知识库内容的编辑，要求投标方具有疾病精细化管理服务路径的梳理能力和业务积累，能够提供一个具有疾病精细化管理服务能力的健管服务团队来协助招标方对相关疾病的诊后精细化管理服务工作内容和工作流程进行梳理，要求在投标文件中提供不少于3个病种（分别是高血压、糖尿病、肿瘤术后）的疾病管理路径具体内容以供核查。须在投标文件中详细列明拟投入本项目中进行疾病管理路径梳理的相关人员及其资质和分工内容。</w:t>
      </w:r>
    </w:p>
    <w:p>
      <w:pPr>
        <w:pStyle w:val="89"/>
        <w:numPr>
          <w:ilvl w:val="0"/>
          <w:numId w:val="9"/>
        </w:numPr>
        <w:ind w:firstLine="560"/>
        <w:rPr>
          <w:rFonts w:ascii="仿宋" w:hAnsi="仿宋" w:eastAsia="仿宋" w:cs="仿宋"/>
          <w:b/>
          <w:bCs/>
        </w:rPr>
      </w:pPr>
      <w:r>
        <w:rPr>
          <w:rFonts w:hint="eastAsia" w:ascii="仿宋" w:hAnsi="仿宋" w:eastAsia="仿宋" w:cs="仿宋"/>
          <w:b/>
          <w:bCs/>
        </w:rPr>
        <w:t>疾病精细化管理服务的患者运营拓展能力</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方应具有针对患者进行精细化管理的患者拓展运营能力，要求在投标文件中面向患者列出不少于3个的疾病精细化管理套餐及其价格，并具体描述套餐的相关内容及具体要求，同时还应在投标文件中提供就上述套餐定价需要通过物价局审批的资料（指的是：新增医疗服务价格项目成本测算表、申请报告、公示内容及渠道等）；由采购人根据对患者的了解情况进行具体评价可行性。</w:t>
      </w:r>
    </w:p>
    <w:p>
      <w:pPr>
        <w:numPr>
          <w:ilvl w:val="0"/>
          <w:numId w:val="9"/>
        </w:numPr>
        <w:spacing w:line="360" w:lineRule="auto"/>
        <w:ind w:firstLine="560"/>
        <w:rPr>
          <w:rFonts w:ascii="仿宋" w:hAnsi="仿宋" w:eastAsia="仿宋" w:cs="仿宋"/>
          <w:b/>
          <w:bCs/>
          <w:sz w:val="24"/>
        </w:rPr>
      </w:pPr>
      <w:r>
        <w:rPr>
          <w:rFonts w:hint="eastAsia" w:ascii="仿宋" w:hAnsi="仿宋" w:eastAsia="仿宋" w:cs="仿宋"/>
          <w:b/>
          <w:bCs/>
          <w:sz w:val="24"/>
        </w:rPr>
        <w:t>精细化健康管理服务能力</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要求投标方在投标文件中详细描述精细化管理服务的具体流程，包括服务团队中每个岗位的具体工作职责及分工界面。</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要求投标方在投标文件中详细描述精细化管理服务的具体服务内容，要求以高血压、糖尿病、肿瘤术后等3个病种的诊后患者精细化管理为例，从患者纳入精细化管理开始到6个月后服务结束为止，以每个星期为一个管理阶段，详细列明每个管理阶段的具体管理内容和每个阶段考核规范；注意：具体管理内容中至少应包括上述例子病种出现相关并发症、药物不良反应等相关的病情识别及其应对措施，包括相应的运动、饮食、关键指标干预等相关内容。</w:t>
      </w:r>
    </w:p>
    <w:p>
      <w:pPr>
        <w:numPr>
          <w:ilvl w:val="0"/>
          <w:numId w:val="9"/>
        </w:numPr>
        <w:spacing w:line="360" w:lineRule="auto"/>
        <w:ind w:firstLine="560"/>
        <w:rPr>
          <w:rFonts w:ascii="仿宋" w:hAnsi="仿宋" w:eastAsia="仿宋" w:cs="仿宋"/>
          <w:b/>
          <w:sz w:val="24"/>
        </w:rPr>
      </w:pPr>
      <w:r>
        <w:rPr>
          <w:rFonts w:hint="eastAsia" w:ascii="仿宋" w:hAnsi="仿宋" w:eastAsia="仿宋" w:cs="仿宋"/>
          <w:b/>
          <w:sz w:val="24"/>
        </w:rPr>
        <w:t>患者管理服务工作质量考核与绩效</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投标方应在投标文件中提供关于整体管理服务工作质量的考核标准及与绩效挂钩的考核方案，提供线上线下工作人员的工作流程、办公场地6S标准管理规范等相关内容。</w:t>
      </w:r>
    </w:p>
    <w:p>
      <w:pPr>
        <w:spacing w:line="360" w:lineRule="auto"/>
        <w:ind w:left="560"/>
        <w:rPr>
          <w:rFonts w:ascii="仿宋" w:hAnsi="仿宋" w:eastAsia="仿宋" w:cs="仿宋"/>
          <w:b/>
          <w:sz w:val="24"/>
        </w:rPr>
      </w:pPr>
      <w:r>
        <w:rPr>
          <w:rFonts w:hint="eastAsia" w:ascii="仿宋" w:hAnsi="仿宋" w:eastAsia="仿宋" w:cs="仿宋"/>
          <w:b/>
          <w:sz w:val="24"/>
        </w:rPr>
        <w:t>7.安全保密要求</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在患者管理过程中，严格按照确定的工作表单的内容进行随访及采集，严禁夹带任何额外的内容，特别是软广告信息；</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线上团队外拨给患者的联系电话，均为院方统一提供的电话号码（由院方统一提供电话线路）；</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所有与患者的沟通电话均应有电话录音（要求保存一年及以上），如果采用微信、app等方式随访的，均应保存原始记录备查；</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投标方应与所有有可能接触到本项目相关工作内容的员工签署保密协议，防止信息泄密；定期进行保密知识培训，提升保密意识。</w:t>
      </w:r>
    </w:p>
    <w:p>
      <w:pPr>
        <w:spacing w:line="360" w:lineRule="auto"/>
        <w:ind w:left="560"/>
        <w:rPr>
          <w:rFonts w:ascii="仿宋" w:hAnsi="仿宋" w:eastAsia="仿宋" w:cs="仿宋"/>
          <w:b/>
          <w:sz w:val="24"/>
        </w:rPr>
      </w:pPr>
      <w:r>
        <w:rPr>
          <w:rFonts w:hint="eastAsia" w:ascii="仿宋" w:hAnsi="仿宋" w:eastAsia="仿宋" w:cs="仿宋"/>
          <w:b/>
          <w:sz w:val="24"/>
        </w:rPr>
        <w:t>8.疾病精细化管理服务团队人员配置要求</w:t>
      </w:r>
    </w:p>
    <w:p>
      <w:pPr>
        <w:widowControl/>
        <w:autoSpaceDE w:val="0"/>
        <w:spacing w:line="360" w:lineRule="auto"/>
        <w:ind w:firstLine="525" w:firstLineChars="250"/>
        <w:textAlignment w:val="center"/>
        <w:rPr>
          <w:rFonts w:ascii="仿宋" w:hAnsi="仿宋" w:eastAsia="仿宋" w:cs="仿宋"/>
          <w:color w:val="000000"/>
          <w:kern w:val="0"/>
          <w:sz w:val="24"/>
        </w:rPr>
      </w:pPr>
      <w:r>
        <w:rPr>
          <w:rFonts w:hint="eastAsia"/>
        </w:rPr>
        <w:t>8.1</w:t>
      </w:r>
      <w:r>
        <w:rPr>
          <w:rFonts w:hint="eastAsia" w:ascii="仿宋" w:hAnsi="仿宋" w:eastAsia="仿宋" w:cs="仿宋"/>
          <w:color w:val="000000"/>
          <w:kern w:val="0"/>
          <w:sz w:val="24"/>
        </w:rPr>
        <w:t>健康管理师（</w:t>
      </w:r>
      <w:r>
        <w:rPr>
          <w:rFonts w:hint="eastAsia" w:ascii="仿宋" w:hAnsi="仿宋" w:eastAsia="仿宋" w:cs="仿宋"/>
          <w:kern w:val="0"/>
          <w:sz w:val="24"/>
        </w:rPr>
        <w:t>驻场</w:t>
      </w:r>
      <w:r>
        <w:rPr>
          <w:rFonts w:hint="eastAsia" w:ascii="仿宋" w:hAnsi="仿宋" w:eastAsia="仿宋" w:cs="仿宋"/>
          <w:color w:val="000000"/>
          <w:kern w:val="0"/>
          <w:sz w:val="24"/>
        </w:rPr>
        <w:t>）要求：</w:t>
      </w:r>
      <w:r>
        <w:rPr>
          <w:rFonts w:hint="eastAsia" w:ascii="仿宋" w:hAnsi="仿宋" w:eastAsia="仿宋" w:cs="仿宋"/>
          <w:kern w:val="0"/>
          <w:sz w:val="24"/>
        </w:rPr>
        <w:t>≥</w:t>
      </w:r>
      <w:r>
        <w:rPr>
          <w:rFonts w:hint="eastAsia" w:ascii="仿宋" w:hAnsi="仿宋" w:eastAsia="仿宋" w:cs="仿宋"/>
          <w:color w:val="000000"/>
          <w:kern w:val="0"/>
          <w:sz w:val="24"/>
        </w:rPr>
        <w:t>3人，负责数据采集和现场沟通及指导，现场宣教等；要求具有3年及以上的临床护士或全科医生的工作经验，并提供相关证明材料，加盖公章。</w:t>
      </w:r>
    </w:p>
    <w:p>
      <w:pPr>
        <w:pStyle w:val="50"/>
        <w:ind w:firstLine="525" w:firstLineChars="250"/>
        <w:rPr>
          <w:rFonts w:ascii="仿宋" w:hAnsi="仿宋" w:eastAsia="仿宋" w:cs="仿宋"/>
          <w:bCs w:val="0"/>
          <w:color w:val="000000"/>
          <w:spacing w:val="0"/>
          <w:szCs w:val="24"/>
        </w:rPr>
      </w:pPr>
      <w:r>
        <w:rPr>
          <w:rFonts w:hint="eastAsia"/>
          <w:bCs w:val="0"/>
          <w:spacing w:val="0"/>
          <w:kern w:val="2"/>
          <w:sz w:val="21"/>
          <w:szCs w:val="24"/>
        </w:rPr>
        <w:t>8.2</w:t>
      </w:r>
      <w:r>
        <w:rPr>
          <w:rFonts w:hint="eastAsia" w:ascii="仿宋" w:hAnsi="仿宋" w:eastAsia="仿宋" w:cs="仿宋"/>
          <w:bCs w:val="0"/>
          <w:color w:val="000000"/>
          <w:spacing w:val="0"/>
          <w:szCs w:val="24"/>
        </w:rPr>
        <w:t>中心主任（驻场）要求：≥1人，要求具有3年及以上的临床护士或全科医生的工作经验，并提供相关证明材料，加盖公章。</w:t>
      </w:r>
    </w:p>
    <w:p>
      <w:pPr>
        <w:widowControl/>
        <w:autoSpaceDE w:val="0"/>
        <w:spacing w:line="360" w:lineRule="auto"/>
        <w:ind w:firstLine="525" w:firstLineChars="250"/>
        <w:jc w:val="left"/>
        <w:rPr>
          <w:rFonts w:ascii="仿宋" w:hAnsi="仿宋" w:eastAsia="仿宋" w:cs="仿宋"/>
          <w:color w:val="000000"/>
          <w:kern w:val="0"/>
          <w:sz w:val="24"/>
        </w:rPr>
      </w:pPr>
      <w:r>
        <w:rPr>
          <w:rFonts w:hint="eastAsia"/>
        </w:rPr>
        <w:t>8.2.1</w:t>
      </w:r>
      <w:r>
        <w:rPr>
          <w:rFonts w:hint="eastAsia" w:ascii="仿宋" w:hAnsi="仿宋" w:eastAsia="仿宋" w:cs="仿宋"/>
          <w:color w:val="000000"/>
          <w:kern w:val="0"/>
          <w:sz w:val="24"/>
        </w:rPr>
        <w:t>负责诊后疾病管理中心的任务达成，及时发现并解决问题。</w:t>
      </w:r>
    </w:p>
    <w:p>
      <w:pPr>
        <w:widowControl/>
        <w:autoSpaceDE w:val="0"/>
        <w:spacing w:line="360" w:lineRule="auto"/>
        <w:jc w:val="left"/>
        <w:rPr>
          <w:rFonts w:ascii="仿宋" w:hAnsi="仿宋" w:eastAsia="仿宋" w:cs="仿宋"/>
          <w:color w:val="000000"/>
          <w:kern w:val="0"/>
          <w:sz w:val="24"/>
        </w:rPr>
      </w:pPr>
      <w:r>
        <w:rPr>
          <w:rFonts w:hint="eastAsia"/>
        </w:rPr>
        <w:t xml:space="preserve">   8.2.2</w:t>
      </w:r>
      <w:r>
        <w:rPr>
          <w:rFonts w:hint="eastAsia" w:ascii="仿宋" w:hAnsi="仿宋" w:eastAsia="仿宋" w:cs="仿宋"/>
          <w:color w:val="000000"/>
          <w:kern w:val="0"/>
          <w:sz w:val="24"/>
        </w:rPr>
        <w:t>负责诊后疾病管理中心的团队建设、规范内部管理流程和日常运营。</w:t>
      </w:r>
    </w:p>
    <w:p>
      <w:pPr>
        <w:widowControl/>
        <w:autoSpaceDE w:val="0"/>
        <w:spacing w:line="360" w:lineRule="auto"/>
        <w:jc w:val="left"/>
        <w:rPr>
          <w:rFonts w:ascii="仿宋" w:hAnsi="仿宋" w:eastAsia="仿宋" w:cs="仿宋"/>
          <w:color w:val="000000"/>
          <w:kern w:val="0"/>
          <w:sz w:val="24"/>
        </w:rPr>
      </w:pPr>
      <w:r>
        <w:rPr>
          <w:rFonts w:hint="eastAsia"/>
        </w:rPr>
        <w:t xml:space="preserve">   8.2.3</w:t>
      </w:r>
      <w:r>
        <w:rPr>
          <w:rFonts w:hint="eastAsia" w:ascii="仿宋" w:hAnsi="仿宋" w:eastAsia="仿宋" w:cs="仿宋"/>
          <w:color w:val="000000"/>
          <w:kern w:val="0"/>
          <w:sz w:val="24"/>
        </w:rPr>
        <w:t>定期向院方提交诊后疾病管理中心的业务报表，及时分析运营数据，提出可行性建议。</w:t>
      </w:r>
    </w:p>
    <w:p>
      <w:pPr>
        <w:widowControl/>
        <w:autoSpaceDE w:val="0"/>
        <w:spacing w:line="360" w:lineRule="auto"/>
        <w:ind w:firstLine="315" w:firstLineChars="150"/>
        <w:jc w:val="left"/>
        <w:rPr>
          <w:rFonts w:ascii="仿宋" w:hAnsi="仿宋" w:eastAsia="仿宋" w:cs="仿宋"/>
          <w:color w:val="000000"/>
          <w:kern w:val="0"/>
          <w:sz w:val="24"/>
        </w:rPr>
      </w:pPr>
      <w:r>
        <w:rPr>
          <w:rFonts w:hint="eastAsia"/>
        </w:rPr>
        <w:t>8.2.4</w:t>
      </w:r>
      <w:r>
        <w:rPr>
          <w:rFonts w:hint="eastAsia" w:ascii="仿宋" w:hAnsi="仿宋" w:eastAsia="仿宋" w:cs="仿宋"/>
          <w:color w:val="000000"/>
          <w:kern w:val="0"/>
          <w:sz w:val="24"/>
        </w:rPr>
        <w:t>负责定期向院方各临床科室主任汇报其科室患者的精细化管理情况。</w:t>
      </w:r>
    </w:p>
    <w:p>
      <w:pPr>
        <w:widowControl/>
        <w:autoSpaceDE w:val="0"/>
        <w:spacing w:line="360" w:lineRule="auto"/>
        <w:ind w:firstLine="315" w:firstLineChars="150"/>
        <w:jc w:val="left"/>
        <w:rPr>
          <w:rFonts w:ascii="仿宋" w:hAnsi="仿宋" w:eastAsia="仿宋" w:cs="仿宋"/>
          <w:color w:val="000000"/>
          <w:kern w:val="0"/>
          <w:sz w:val="24"/>
        </w:rPr>
      </w:pPr>
      <w:r>
        <w:rPr>
          <w:rFonts w:hint="eastAsia"/>
        </w:rPr>
        <w:t>8.2.5</w:t>
      </w:r>
      <w:r>
        <w:rPr>
          <w:rFonts w:hint="eastAsia" w:ascii="仿宋" w:hAnsi="仿宋" w:eastAsia="仿宋" w:cs="仿宋"/>
          <w:color w:val="000000"/>
          <w:kern w:val="0"/>
          <w:sz w:val="24"/>
        </w:rPr>
        <w:t>负责线下服务患者的高满意度和推荐度等。</w:t>
      </w:r>
    </w:p>
    <w:p>
      <w:pPr>
        <w:widowControl/>
        <w:autoSpaceDE w:val="0"/>
        <w:spacing w:line="360" w:lineRule="auto"/>
        <w:ind w:firstLine="315" w:firstLineChars="150"/>
        <w:textAlignment w:val="center"/>
        <w:rPr>
          <w:rFonts w:ascii="仿宋" w:hAnsi="仿宋" w:eastAsia="仿宋" w:cs="仿宋"/>
          <w:color w:val="000000"/>
          <w:kern w:val="0"/>
          <w:sz w:val="24"/>
        </w:rPr>
      </w:pPr>
      <w:r>
        <w:rPr>
          <w:rFonts w:hint="eastAsia" w:ascii="仿宋" w:hAnsi="仿宋" w:eastAsia="仿宋" w:cs="仿宋"/>
          <w:color w:val="000000"/>
        </w:rPr>
        <w:t>8.3</w:t>
      </w:r>
      <w:r>
        <w:rPr>
          <w:rFonts w:hint="eastAsia" w:ascii="仿宋" w:hAnsi="仿宋" w:eastAsia="仿宋" w:cs="仿宋"/>
          <w:color w:val="000000"/>
          <w:kern w:val="0"/>
          <w:sz w:val="24"/>
        </w:rPr>
        <w:t>个案管理师（线上）要求：</w:t>
      </w:r>
      <w:r>
        <w:rPr>
          <w:rFonts w:hint="eastAsia" w:ascii="仿宋" w:hAnsi="仿宋" w:eastAsia="仿宋" w:cs="仿宋"/>
          <w:kern w:val="0"/>
          <w:sz w:val="24"/>
        </w:rPr>
        <w:t>≥</w:t>
      </w:r>
      <w:r>
        <w:rPr>
          <w:rFonts w:hint="eastAsia" w:ascii="仿宋" w:hAnsi="仿宋" w:eastAsia="仿宋" w:cs="仿宋"/>
          <w:color w:val="000000"/>
          <w:kern w:val="0"/>
          <w:sz w:val="24"/>
        </w:rPr>
        <w:t>10人，根据患者的个人情况，负责出具健康管理方案，负责与监测到异常的患者进行深度沟通以及与其主诊医生沟通，确定复诊及其后康复健康管理方案的修订等；（所有个案管理师均要求至少具有健康管理师证书、营养师证书、护士/护师资格证书、医生执业资格证书等之一，其中医生执业资格证书人员至少有2人，提供相关证书复印件加盖公章），应在投标文件中详细阐述配置的个案管理师的数量及工作内容。</w:t>
      </w:r>
    </w:p>
    <w:p>
      <w:pPr>
        <w:widowControl/>
        <w:autoSpaceDE w:val="0"/>
        <w:spacing w:line="360" w:lineRule="auto"/>
        <w:ind w:firstLine="420" w:firstLineChars="200"/>
        <w:textAlignment w:val="center"/>
        <w:rPr>
          <w:rFonts w:ascii="仿宋" w:hAnsi="仿宋" w:eastAsia="仿宋" w:cs="仿宋"/>
          <w:color w:val="000000"/>
          <w:kern w:val="0"/>
          <w:sz w:val="24"/>
        </w:rPr>
      </w:pPr>
      <w:r>
        <w:rPr>
          <w:rFonts w:hint="eastAsia"/>
        </w:rPr>
        <w:t>8.4</w:t>
      </w:r>
      <w:r>
        <w:rPr>
          <w:rFonts w:hint="eastAsia" w:ascii="仿宋" w:hAnsi="仿宋" w:eastAsia="仿宋" w:cs="仿宋"/>
          <w:color w:val="000000"/>
          <w:kern w:val="0"/>
          <w:sz w:val="24"/>
        </w:rPr>
        <w:t>服务总监（线上）要求：</w:t>
      </w:r>
      <w:r>
        <w:rPr>
          <w:rFonts w:hint="eastAsia" w:ascii="仿宋" w:hAnsi="仿宋" w:eastAsia="仿宋" w:cs="仿宋"/>
          <w:kern w:val="0"/>
          <w:sz w:val="24"/>
        </w:rPr>
        <w:t>≥</w:t>
      </w:r>
      <w:r>
        <w:rPr>
          <w:rFonts w:hint="eastAsia" w:ascii="仿宋" w:hAnsi="仿宋" w:eastAsia="仿宋" w:cs="仿宋"/>
          <w:color w:val="000000"/>
          <w:kern w:val="0"/>
          <w:sz w:val="24"/>
        </w:rPr>
        <w:t>1人，负责统筹本项目服务团队（线上线下整个团队）的日常管理，每月输出患者情况报告给采购单位的主管领导；对VIP患者就医体验进行跟踪和回访，统筹紧急异常病情的患者应急就诊，对患者管理质量进行监督；每月向院内相关部门进行工作情况汇报；要求至少具有健康管理师证书、营养师证书、护士资格证书、医生执业资格证书等之一，提供相关证书复印件加盖公章。</w:t>
      </w:r>
    </w:p>
    <w:p>
      <w:pPr>
        <w:widowControl/>
        <w:autoSpaceDE w:val="0"/>
        <w:spacing w:line="360" w:lineRule="auto"/>
        <w:ind w:firstLine="480" w:firstLineChars="200"/>
        <w:textAlignment w:val="center"/>
        <w:rPr>
          <w:rFonts w:ascii="仿宋" w:hAnsi="仿宋" w:eastAsia="仿宋" w:cs="仿宋"/>
          <w:color w:val="000000"/>
          <w:kern w:val="0"/>
          <w:sz w:val="24"/>
        </w:rPr>
      </w:pPr>
      <w:r>
        <w:rPr>
          <w:rFonts w:hint="eastAsia" w:ascii="仿宋" w:hAnsi="仿宋" w:eastAsia="仿宋" w:cs="仿宋"/>
          <w:sz w:val="24"/>
        </w:rPr>
        <w:t>★注:投标人须按不少于上表要求的人数进行人员配置，否则作无效标处理。</w:t>
      </w:r>
    </w:p>
    <w:p>
      <w:pPr>
        <w:numPr>
          <w:ilvl w:val="0"/>
          <w:numId w:val="8"/>
        </w:numPr>
        <w:spacing w:line="400" w:lineRule="exact"/>
        <w:rPr>
          <w:rFonts w:ascii="仿宋" w:hAnsi="仿宋" w:eastAsia="仿宋" w:cs="仿宋"/>
          <w:b/>
          <w:bCs/>
          <w:sz w:val="24"/>
        </w:rPr>
      </w:pPr>
      <w:r>
        <w:rPr>
          <w:rFonts w:hint="eastAsia" w:ascii="仿宋" w:hAnsi="仿宋" w:eastAsia="仿宋" w:cs="仿宋"/>
          <w:b/>
          <w:bCs/>
          <w:sz w:val="24"/>
        </w:rPr>
        <w:t>系统软件及硬件支撑要求</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1、中标人应提供该项目所需支撑软件系统的硬件设备（服务器、ＰＣ机等）。由中标人自行安装操作系统及数据库等相应软件，如涉及相应版权等问题由中标人自行承担相应责任。</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2、投标方必须具有相应的软件著作权，著作权内容应涉及精细化管理。</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3、投标方应承诺提供接口源代码或标准文档。</w:t>
      </w:r>
    </w:p>
    <w:p>
      <w:pPr>
        <w:tabs>
          <w:tab w:val="left" w:pos="3870"/>
          <w:tab w:val="left" w:pos="4085"/>
        </w:tabs>
        <w:snapToGrid w:val="0"/>
        <w:spacing w:line="440" w:lineRule="exact"/>
        <w:ind w:firstLine="480" w:firstLineChars="200"/>
        <w:jc w:val="left"/>
        <w:rPr>
          <w:rFonts w:eastAsia="仿宋"/>
        </w:rPr>
      </w:pPr>
      <w:r>
        <w:rPr>
          <w:rFonts w:hint="eastAsia" w:ascii="仿宋" w:hAnsi="仿宋" w:eastAsia="仿宋" w:cs="仿宋"/>
          <w:sz w:val="24"/>
        </w:rPr>
        <w:t>4、应用系统应符合等级保护要求，如涉及信息安全问题，投标方应无偿进行整改。</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（四）其它</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（1）投标方应承担与本软件相关的His、数据中心平台、电子病历等医院信息系统接口费用。</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（2）因对数据的保密性，运维期结束后，投标方应无偿将软件归院方使用。</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（3）在维保期内，因为其他应用程序上线所涉及的流程改造应承诺不收取任何费用。</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（4）中标方派遣到采购方的人员须服从采购方的安排，协助采购人开展医院正常工作所需要的相关服务，工作热情，有责任心。 </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（5）中标人对符合缴纳五险的员工按政府规定社会保险缴费基数进行缴纳，所有工作人员的工资、社保、奖金、福利均由投标人承担。</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（6）员工人身意外：在服务期内，中标人所有工作人员的事故由投标人自行全权负责（如投标人应对其员工投保人身意外险）。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（7）其他保险及费用：中标人应按政府各部门有关规定为全体工作人员交纳所有相关的其他保险及相关费。所有涉及的费用均由投标人承担，中标人应对此全权负责。 </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（8）中标人的所有工作人员必须为本单位的正式员工，并签订劳动合同。</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（9）中标方如具有类似服务的软件产品支撑能力，能够将患者疾病精细化管理进行更深一步的完善则更佳。</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▲(10)合同期间所发生的有关投诉：由中标方负责处理及承担一切责任及费用。</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(11)本软件免费开放接口供其它系统使用及认证。</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(12)中标方自行提供各种服务必需品。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（13）合同期内如遇上级部门出台有关政策，与合同条款发生冲突的，则医院有权单方解除合同，不视为医院违约，且双方互不承担责任</w:t>
      </w:r>
    </w:p>
    <w:p>
      <w:pPr>
        <w:tabs>
          <w:tab w:val="left" w:pos="3870"/>
          <w:tab w:val="left" w:pos="4085"/>
        </w:tabs>
        <w:snapToGrid w:val="0"/>
        <w:spacing w:line="440" w:lineRule="exact"/>
        <w:jc w:val="left"/>
        <w:rPr>
          <w:rFonts w:ascii="仿宋" w:hAnsi="仿宋" w:cs="仿宋"/>
          <w:sz w:val="24"/>
        </w:rPr>
      </w:pPr>
      <w:r>
        <w:rPr>
          <w:rFonts w:hint="eastAsia" w:ascii="仿宋" w:hAnsi="仿宋" w:eastAsia="仿宋" w:cs="仿宋"/>
          <w:sz w:val="24"/>
        </w:rPr>
        <w:t xml:space="preserve">   （14）在运维期间，所有硬件和软件的运行维护及相关费用由中标人自行承担</w:t>
      </w:r>
      <w:r>
        <w:rPr>
          <w:rFonts w:hint="eastAsia"/>
        </w:rPr>
        <w:t>。</w:t>
      </w:r>
    </w:p>
    <w:p>
      <w:pPr>
        <w:pStyle w:val="50"/>
        <w:ind w:firstLine="522" w:firstLineChars="200"/>
        <w:rPr>
          <w:rFonts w:ascii="仿宋" w:hAnsi="仿宋" w:eastAsia="仿宋" w:cs="仿宋"/>
          <w:b/>
          <w:color w:val="000000"/>
        </w:rPr>
      </w:pPr>
      <w:r>
        <w:rPr>
          <w:rFonts w:hint="eastAsia" w:ascii="仿宋" w:hAnsi="仿宋" w:eastAsia="仿宋" w:cs="仿宋"/>
          <w:b/>
          <w:color w:val="000000"/>
        </w:rPr>
        <w:t>五、付款方式与履约保证金</w:t>
      </w:r>
    </w:p>
    <w:p>
      <w:pPr>
        <w:numPr>
          <w:ilvl w:val="0"/>
          <w:numId w:val="10"/>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付款方式：</w:t>
      </w:r>
    </w:p>
    <w:p>
      <w:pPr>
        <w:spacing w:line="360" w:lineRule="auto"/>
        <w:ind w:firstLine="480" w:firstLineChars="200"/>
        <w:rPr>
          <w:rFonts w:ascii="仿宋_GB2312" w:eastAsia="仿宋_GB2312"/>
          <w:sz w:val="24"/>
        </w:rPr>
      </w:pPr>
      <w:r>
        <w:rPr>
          <w:rFonts w:hint="eastAsia" w:ascii="仿宋_GB2312" w:eastAsia="仿宋_GB2312"/>
          <w:sz w:val="24"/>
        </w:rPr>
        <w:t>第三个月开始凭中标方开具的正式发票，按中标折扣按月结算。</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本项目不收取履约保证金。</w:t>
      </w:r>
    </w:p>
    <w:p>
      <w:pPr>
        <w:pStyle w:val="17"/>
        <w:rPr>
          <w:rFonts w:ascii="仿宋" w:hAnsi="仿宋" w:eastAsia="仿宋" w:cs="仿宋"/>
        </w:rPr>
      </w:pPr>
    </w:p>
    <w:bookmarkEnd w:id="9"/>
    <w:p>
      <w:pPr>
        <w:pStyle w:val="23"/>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第四部分  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4"/>
        <w:rPr>
          <w:rFonts w:ascii="仿宋" w:hAnsi="仿宋" w:eastAsia="仿宋" w:cs="仿宋"/>
        </w:rPr>
      </w:pPr>
    </w:p>
    <w:p>
      <w:pPr>
        <w:pStyle w:val="4"/>
        <w:rPr>
          <w:rFonts w:ascii="仿宋" w:hAnsi="仿宋" w:eastAsia="仿宋" w:cs="仿宋"/>
        </w:rPr>
      </w:pPr>
    </w:p>
    <w:p>
      <w:pPr>
        <w:pStyle w:val="4"/>
        <w:ind w:firstLine="562"/>
        <w:jc w:val="center"/>
        <w:rPr>
          <w:rFonts w:ascii="仿宋" w:hAnsi="仿宋" w:eastAsia="仿宋" w:cs="仿宋"/>
          <w:b/>
          <w:sz w:val="28"/>
        </w:rPr>
      </w:pPr>
      <w:r>
        <w:rPr>
          <w:rFonts w:hint="eastAsia" w:ascii="仿宋" w:hAnsi="仿宋" w:eastAsia="仿宋" w:cs="仿宋"/>
          <w:b/>
          <w:sz w:val="28"/>
        </w:rPr>
        <w:t>第一部分  合同书</w:t>
      </w:r>
    </w:p>
    <w:p>
      <w:pPr>
        <w:pStyle w:val="4"/>
        <w:rPr>
          <w:rFonts w:ascii="仿宋" w:hAnsi="仿宋" w:eastAsia="仿宋" w:cs="仿宋"/>
        </w:rPr>
      </w:pPr>
    </w:p>
    <w:p>
      <w:pPr>
        <w:pStyle w:val="4"/>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282"/>
        <w:spacing w:before="120" w:line="22" w:lineRule="atLeast"/>
        <w:rPr>
          <w:rFonts w:ascii="仿宋" w:hAnsi="仿宋" w:eastAsia="仿宋" w:cs="仿宋"/>
          <w:szCs w:val="24"/>
        </w:rPr>
      </w:pPr>
    </w:p>
    <w:p>
      <w:pPr>
        <w:pStyle w:val="282"/>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jc w:val="left"/>
        <w:rPr>
          <w:rFonts w:ascii="仿宋" w:hAnsi="仿宋" w:eastAsia="仿宋" w:cs="仿宋"/>
          <w:kern w:val="0"/>
          <w:sz w:val="24"/>
        </w:rPr>
        <w:sectPr>
          <w:headerReference r:id="rId4" w:type="first"/>
          <w:headerReference r:id="rId3" w:type="default"/>
          <w:footerReference r:id="rId5" w:type="default"/>
          <w:pgSz w:w="11907" w:h="16840"/>
          <w:pgMar w:top="1474" w:right="1814" w:bottom="1474" w:left="1814" w:header="851" w:footer="851" w:gutter="0"/>
          <w:cols w:space="720" w:num="1"/>
          <w:titlePg/>
          <w:docGrid w:linePitch="286" w:charSpace="0"/>
        </w:sectPr>
      </w:pP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17" w:name="_Toc2232"/>
      <w:bookmarkStart w:id="18" w:name="_Toc24059"/>
      <w:bookmarkStart w:id="19" w:name="_Toc3029"/>
      <w:r>
        <w:rPr>
          <w:rFonts w:hint="eastAsia" w:ascii="仿宋" w:hAnsi="仿宋" w:eastAsia="仿宋" w:cs="仿宋"/>
          <w:b/>
          <w:sz w:val="24"/>
        </w:rPr>
        <w:t>1.1 合同组成部分</w:t>
      </w:r>
      <w:bookmarkEnd w:id="17"/>
      <w:bookmarkEnd w:id="18"/>
      <w:bookmarkEnd w:id="19"/>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20" w:name="_Toc24300"/>
      <w:bookmarkStart w:id="21" w:name="_Toc27126"/>
      <w:bookmarkStart w:id="22" w:name="_Toc21295"/>
      <w:r>
        <w:rPr>
          <w:rFonts w:hint="eastAsia" w:ascii="仿宋" w:hAnsi="仿宋" w:eastAsia="仿宋" w:cs="仿宋"/>
          <w:b/>
          <w:sz w:val="24"/>
        </w:rPr>
        <w:t xml:space="preserve">1.2 </w:t>
      </w:r>
      <w:bookmarkEnd w:id="20"/>
      <w:bookmarkEnd w:id="21"/>
      <w:bookmarkEnd w:id="22"/>
      <w:r>
        <w:rPr>
          <w:rFonts w:hint="eastAsia" w:ascii="仿宋" w:hAnsi="仿宋" w:eastAsia="仿宋" w:cs="仿宋"/>
          <w:b/>
          <w:sz w:val="24"/>
        </w:rPr>
        <w:t>服务</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服务名称：；</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服务期限和内容：；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1.2.3 服务提供地点及方式：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23" w:name="_Toc21631"/>
      <w:bookmarkStart w:id="24" w:name="_Toc21551"/>
      <w:bookmarkStart w:id="25" w:name="_Toc23292"/>
      <w:r>
        <w:rPr>
          <w:rFonts w:hint="eastAsia" w:ascii="仿宋" w:hAnsi="仿宋" w:eastAsia="仿宋" w:cs="仿宋"/>
          <w:b/>
          <w:sz w:val="24"/>
        </w:rPr>
        <w:t>1.3 价款</w:t>
      </w:r>
      <w:bookmarkEnd w:id="23"/>
      <w:bookmarkEnd w:id="24"/>
      <w:bookmarkEnd w:id="25"/>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80"/>
              <w:spacing w:line="560" w:lineRule="exact"/>
              <w:ind w:firstLine="200"/>
              <w:jc w:val="center"/>
              <w:rPr>
                <w:rFonts w:ascii="仿宋" w:hAnsi="仿宋" w:eastAsia="仿宋" w:cs="仿宋"/>
                <w:sz w:val="24"/>
                <w:szCs w:val="24"/>
              </w:rPr>
            </w:pPr>
          </w:p>
        </w:tc>
      </w:tr>
    </w:tbl>
    <w:p>
      <w:pPr>
        <w:spacing w:line="440" w:lineRule="exact"/>
        <w:ind w:firstLine="482" w:firstLineChars="200"/>
        <w:outlineLvl w:val="0"/>
        <w:rPr>
          <w:rFonts w:ascii="仿宋" w:hAnsi="仿宋" w:eastAsia="仿宋" w:cs="仿宋"/>
          <w:b/>
          <w:sz w:val="24"/>
        </w:rPr>
      </w:pPr>
      <w:bookmarkStart w:id="26" w:name="_Toc10340"/>
      <w:bookmarkStart w:id="27" w:name="_Toc1814"/>
      <w:bookmarkStart w:id="28" w:name="_Toc22618"/>
      <w:bookmarkStart w:id="29" w:name="_Toc19304"/>
      <w:bookmarkStart w:id="30" w:name="_Toc32071"/>
      <w:bookmarkStart w:id="31" w:name="_Toc2846"/>
      <w:r>
        <w:rPr>
          <w:rFonts w:hint="eastAsia" w:ascii="仿宋" w:hAnsi="仿宋" w:eastAsia="仿宋" w:cs="仿宋"/>
          <w:b/>
          <w:sz w:val="24"/>
        </w:rPr>
        <w:t>1.4 付款</w:t>
      </w:r>
      <w:bookmarkEnd w:id="26"/>
      <w:bookmarkEnd w:id="27"/>
      <w:bookmarkEnd w:id="28"/>
      <w:r>
        <w:rPr>
          <w:rFonts w:hint="eastAsia" w:ascii="仿宋" w:hAnsi="仿宋" w:eastAsia="仿宋" w:cs="仿宋"/>
          <w:b/>
          <w:sz w:val="24"/>
        </w:rPr>
        <w:t>方式、时间和条件</w:t>
      </w:r>
    </w:p>
    <w:p>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双方约定，该项目不支付预付款项</w:t>
      </w:r>
    </w:p>
    <w:p>
      <w:pPr>
        <w:pStyle w:val="284"/>
        <w:spacing w:before="0" w:beforeAutospacing="0" w:after="0" w:afterAutospacing="0" w:line="440" w:lineRule="exact"/>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根据财务流程将资金支付到合同约定的乙方账户，有条件的甲方可以即时支付。甲方不得以机构变动、人员更替、政策调整、单位放假等为由延迟付款。</w:t>
      </w:r>
    </w:p>
    <w:p>
      <w:pPr>
        <w:spacing w:line="440" w:lineRule="exact"/>
        <w:ind w:firstLine="480" w:firstLineChars="200"/>
        <w:rPr>
          <w:rFonts w:ascii="仿宋" w:hAnsi="仿宋" w:eastAsia="仿宋" w:cs="仿宋"/>
          <w:sz w:val="24"/>
        </w:rPr>
      </w:pPr>
      <w:r>
        <w:rPr>
          <w:rFonts w:hint="eastAsia" w:ascii="仿宋" w:hAnsi="仿宋" w:eastAsia="仿宋" w:cs="仿宋"/>
          <w:sz w:val="24"/>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44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29"/>
      <w:bookmarkEnd w:id="30"/>
      <w:bookmarkEnd w:id="31"/>
      <w:bookmarkStart w:id="32" w:name="_Toc27250"/>
      <w:bookmarkStart w:id="33" w:name="_Toc19554"/>
      <w:bookmarkStart w:id="34" w:name="_Toc21423"/>
      <w:r>
        <w:rPr>
          <w:rFonts w:hint="eastAsia" w:ascii="仿宋" w:hAnsi="仿宋" w:eastAsia="仿宋" w:cs="仿宋"/>
          <w:b/>
          <w:sz w:val="24"/>
        </w:rPr>
        <w:t>违约责任</w:t>
      </w:r>
      <w:bookmarkEnd w:id="32"/>
      <w:bookmarkEnd w:id="33"/>
      <w:bookmarkEnd w:id="34"/>
    </w:p>
    <w:p>
      <w:pPr>
        <w:spacing w:line="560" w:lineRule="exact"/>
        <w:ind w:firstLine="480" w:firstLineChars="200"/>
        <w:rPr>
          <w:rFonts w:ascii="仿宋" w:hAnsi="仿宋" w:eastAsia="仿宋" w:cs="仿宋"/>
          <w:sz w:val="24"/>
        </w:rPr>
      </w:pPr>
      <w:r>
        <w:rPr>
          <w:rFonts w:hint="eastAsia" w:ascii="仿宋" w:hAnsi="仿宋" w:eastAsia="仿宋" w:cs="仿宋"/>
          <w:sz w:val="24"/>
        </w:rPr>
        <w:t>1.5.1 除不可抗力外，如果乙方没有按照本合同约定的期限、地点和方式提供服务，那么甲方可要求乙方支付违约金，违约金按元/次计算，最高限额为本合同总价的%；未按要求提供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1.5.7违约责任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35" w:name="_Toc15583"/>
      <w:bookmarkStart w:id="36" w:name="_Toc28375"/>
      <w:bookmarkStart w:id="37" w:name="_Toc16021"/>
      <w:r>
        <w:rPr>
          <w:rFonts w:hint="eastAsia" w:ascii="仿宋" w:hAnsi="仿宋" w:eastAsia="仿宋" w:cs="仿宋"/>
          <w:b/>
          <w:sz w:val="24"/>
        </w:rPr>
        <w:t>1.6合同争议的解决</w:t>
      </w:r>
      <w:bookmarkEnd w:id="35"/>
      <w:bookmarkEnd w:id="36"/>
      <w:bookmarkEnd w:id="37"/>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38" w:name="_Toc15322"/>
      <w:bookmarkStart w:id="39" w:name="_Toc7245"/>
      <w:bookmarkStart w:id="40" w:name="_Toc11173"/>
      <w:r>
        <w:rPr>
          <w:rFonts w:hint="eastAsia" w:ascii="仿宋" w:hAnsi="仿宋" w:eastAsia="仿宋" w:cs="仿宋"/>
          <w:b/>
          <w:sz w:val="24"/>
        </w:rPr>
        <w:t>1.7合同生效</w:t>
      </w:r>
      <w:bookmarkEnd w:id="38"/>
      <w:bookmarkEnd w:id="39"/>
      <w:bookmarkEnd w:id="40"/>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pPr>
        <w:widowControl/>
        <w:spacing w:line="560" w:lineRule="exact"/>
        <w:jc w:val="left"/>
        <w:rPr>
          <w:rFonts w:ascii="仿宋" w:hAnsi="仿宋" w:eastAsia="仿宋" w:cs="仿宋"/>
          <w:b/>
          <w:sz w:val="24"/>
        </w:rPr>
      </w:pPr>
      <w:bookmarkStart w:id="41" w:name="_Toc331685783"/>
    </w:p>
    <w:p>
      <w:pPr>
        <w:pStyle w:val="4"/>
        <w:spacing w:line="560" w:lineRule="exact"/>
        <w:ind w:firstLine="422"/>
        <w:jc w:val="center"/>
        <w:rPr>
          <w:rFonts w:ascii="仿宋" w:hAnsi="仿宋" w:eastAsia="仿宋" w:cs="仿宋"/>
          <w:b/>
        </w:rPr>
      </w:pPr>
    </w:p>
    <w:p>
      <w:pPr>
        <w:pStyle w:val="4"/>
        <w:spacing w:line="560" w:lineRule="exact"/>
        <w:ind w:firstLine="422"/>
        <w:jc w:val="center"/>
        <w:rPr>
          <w:rFonts w:ascii="仿宋" w:hAnsi="仿宋" w:eastAsia="仿宋" w:cs="仿宋"/>
          <w:b/>
        </w:rPr>
      </w:pPr>
    </w:p>
    <w:bookmarkEnd w:id="41"/>
    <w:p>
      <w:pPr>
        <w:pStyle w:val="4"/>
        <w:spacing w:line="560" w:lineRule="exact"/>
        <w:ind w:firstLine="422"/>
        <w:jc w:val="center"/>
        <w:rPr>
          <w:rFonts w:ascii="仿宋" w:hAnsi="仿宋" w:eastAsia="仿宋" w:cs="仿宋"/>
          <w:b/>
        </w:rPr>
      </w:pPr>
      <w:bookmarkStart w:id="42" w:name="_Toc331685784"/>
      <w:bookmarkEnd w:id="42"/>
      <w:r>
        <w:rPr>
          <w:rFonts w:hint="eastAsia" w:ascii="仿宋" w:hAnsi="仿宋" w:eastAsia="仿宋" w:cs="仿宋"/>
          <w:b/>
        </w:rPr>
        <w:t>第二部分合同一般条款</w:t>
      </w:r>
    </w:p>
    <w:p>
      <w:pPr>
        <w:spacing w:line="560" w:lineRule="exact"/>
        <w:ind w:firstLine="482" w:firstLineChars="200"/>
        <w:outlineLvl w:val="0"/>
        <w:rPr>
          <w:rFonts w:ascii="仿宋" w:hAnsi="仿宋" w:eastAsia="仿宋" w:cs="仿宋"/>
          <w:b/>
          <w:sz w:val="24"/>
        </w:rPr>
      </w:pPr>
      <w:bookmarkStart w:id="43" w:name="_Ref467379101"/>
      <w:bookmarkStart w:id="44" w:name="_Ref467379214"/>
      <w:bookmarkStart w:id="45" w:name="_Toc19614"/>
      <w:bookmarkStart w:id="46" w:name="_Ref467379195"/>
      <w:bookmarkStart w:id="47" w:name="_Ref467379205"/>
      <w:bookmarkStart w:id="48" w:name="_Toc16917"/>
      <w:bookmarkStart w:id="49" w:name="_Ref467378463"/>
      <w:bookmarkStart w:id="50" w:name="_Toc259093669"/>
      <w:bookmarkStart w:id="51" w:name="_Toc28763"/>
      <w:bookmarkStart w:id="52" w:name="_Toc487900349"/>
      <w:bookmarkStart w:id="53" w:name="_Ref467379094"/>
      <w:bookmarkStart w:id="54" w:name="_Ref467379109"/>
      <w:bookmarkStart w:id="55" w:name="_Toc279701240"/>
      <w:bookmarkStart w:id="56" w:name="_Ref467378499"/>
      <w:bookmarkStart w:id="57" w:name="_Ref467379225"/>
      <w:bookmarkStart w:id="58" w:name="_Ref467378404"/>
      <w:r>
        <w:rPr>
          <w:rFonts w:hint="eastAsia" w:ascii="仿宋" w:hAnsi="仿宋" w:eastAsia="仿宋" w:cs="仿宋"/>
          <w:b/>
          <w:sz w:val="24"/>
        </w:rPr>
        <w:t>2.1 定义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“服务”系指中标供应商根据合同约定应向采购人提供的服务。</w:t>
      </w:r>
    </w:p>
    <w:p>
      <w:pPr>
        <w:spacing w:line="560" w:lineRule="exact"/>
        <w:ind w:firstLine="480" w:firstLineChars="200"/>
        <w:rPr>
          <w:rFonts w:ascii="仿宋" w:hAnsi="仿宋" w:eastAsia="仿宋" w:cs="仿宋"/>
          <w:sz w:val="24"/>
        </w:rPr>
      </w:pPr>
      <w:bookmarkStart w:id="59" w:name="_Ref467378840"/>
      <w:r>
        <w:rPr>
          <w:rFonts w:hint="eastAsia" w:ascii="仿宋" w:hAnsi="仿宋" w:eastAsia="仿宋" w:cs="仿宋"/>
          <w:sz w:val="24"/>
        </w:rPr>
        <w:t>2.1.4 “甲方”系指与中标供应商签署合同的采购人</w:t>
      </w:r>
      <w:bookmarkEnd w:id="59"/>
      <w:r>
        <w:rPr>
          <w:rFonts w:hint="eastAsia" w:ascii="仿宋" w:hAnsi="仿宋" w:eastAsia="仿宋" w:cs="仿宋"/>
          <w:sz w:val="24"/>
        </w:rPr>
        <w:t>。</w:t>
      </w:r>
    </w:p>
    <w:p>
      <w:pPr>
        <w:spacing w:line="560" w:lineRule="exact"/>
        <w:ind w:firstLine="480" w:firstLineChars="200"/>
        <w:rPr>
          <w:rFonts w:ascii="仿宋" w:hAnsi="仿宋" w:eastAsia="仿宋" w:cs="仿宋"/>
          <w:sz w:val="24"/>
        </w:rPr>
      </w:pPr>
      <w:bookmarkStart w:id="60" w:name="_Ref467379400"/>
      <w:r>
        <w:rPr>
          <w:rFonts w:hint="eastAsia" w:ascii="仿宋" w:hAnsi="仿宋" w:eastAsia="仿宋" w:cs="仿宋"/>
          <w:sz w:val="24"/>
        </w:rPr>
        <w:t>2.1.5 “乙方”系指根据合同约定提供服务的中标供应商</w:t>
      </w:r>
      <w:bookmarkEnd w:id="60"/>
      <w:r>
        <w:rPr>
          <w:rFonts w:hint="eastAsia" w:ascii="仿宋" w:hAnsi="仿宋" w:eastAsia="仿宋" w:cs="仿宋"/>
          <w:sz w:val="24"/>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61" w:name="_Ref467379436"/>
      <w:r>
        <w:rPr>
          <w:rFonts w:hint="eastAsia" w:ascii="仿宋" w:hAnsi="仿宋" w:eastAsia="仿宋" w:cs="仿宋"/>
          <w:sz w:val="24"/>
        </w:rPr>
        <w:t>2.1.6 “现场”系指合同约定服务提供地点。</w:t>
      </w:r>
      <w:bookmarkEnd w:id="61"/>
    </w:p>
    <w:p>
      <w:pPr>
        <w:spacing w:line="560" w:lineRule="exact"/>
        <w:ind w:firstLine="482" w:firstLineChars="200"/>
        <w:outlineLvl w:val="0"/>
        <w:rPr>
          <w:rFonts w:ascii="仿宋" w:hAnsi="仿宋" w:eastAsia="仿宋" w:cs="仿宋"/>
          <w:b/>
          <w:sz w:val="24"/>
        </w:rPr>
      </w:pPr>
      <w:bookmarkStart w:id="62" w:name="_Toc279701241"/>
      <w:bookmarkStart w:id="63" w:name="_Toc487900350"/>
      <w:bookmarkStart w:id="64" w:name="_Toc259093670"/>
      <w:bookmarkStart w:id="65" w:name="_Toc13336"/>
      <w:bookmarkStart w:id="66" w:name="_Toc32504"/>
      <w:bookmarkStart w:id="67" w:name="_Toc27635"/>
      <w:r>
        <w:rPr>
          <w:rFonts w:hint="eastAsia" w:ascii="仿宋" w:hAnsi="仿宋" w:eastAsia="仿宋" w:cs="仿宋"/>
          <w:b/>
          <w:sz w:val="24"/>
        </w:rPr>
        <w:t>2.2 技术规范</w:t>
      </w:r>
      <w:bookmarkEnd w:id="62"/>
      <w:bookmarkEnd w:id="63"/>
      <w:bookmarkEnd w:id="64"/>
      <w:bookmarkEnd w:id="65"/>
      <w:bookmarkEnd w:id="66"/>
      <w:bookmarkEnd w:id="67"/>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服务所应遵守的相关要求应与采购文件规定的相关要求及其偏差表(如果被甲方接受的话)相一致；如果采购文件中没有相应说明，那么应以国家有关部门最新颁布的相应标准和规范为准。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68" w:name="_Toc31634"/>
      <w:bookmarkStart w:id="69" w:name="_Toc9829"/>
      <w:bookmarkStart w:id="70" w:name="_Toc259093671"/>
      <w:bookmarkStart w:id="71" w:name="_Toc279701242"/>
      <w:bookmarkStart w:id="72" w:name="_Toc487900351"/>
      <w:bookmarkStart w:id="73" w:name="_Toc27853"/>
      <w:r>
        <w:rPr>
          <w:rFonts w:hint="eastAsia" w:ascii="仿宋" w:hAnsi="仿宋" w:eastAsia="仿宋" w:cs="仿宋"/>
          <w:b/>
          <w:sz w:val="24"/>
        </w:rPr>
        <w:t>2.3 知识产权</w:t>
      </w:r>
      <w:bookmarkEnd w:id="68"/>
      <w:bookmarkEnd w:id="69"/>
      <w:bookmarkEnd w:id="70"/>
      <w:bookmarkEnd w:id="71"/>
      <w:bookmarkEnd w:id="72"/>
      <w:bookmarkEnd w:id="73"/>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2.3.2具有知识产权的计算机软件等开发服务的知识产权归属，详见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4" w:name="_Toc4194"/>
      <w:bookmarkStart w:id="75" w:name="_Toc11932"/>
      <w:bookmarkStart w:id="76" w:name="_Toc29149"/>
      <w:r>
        <w:rPr>
          <w:rFonts w:hint="eastAsia" w:ascii="仿宋" w:hAnsi="仿宋" w:eastAsia="仿宋" w:cs="仿宋"/>
          <w:b/>
          <w:sz w:val="24"/>
        </w:rPr>
        <w:t>2.4 包装和装运</w:t>
      </w:r>
      <w:bookmarkEnd w:id="74"/>
      <w:bookmarkEnd w:id="75"/>
      <w:bookmarkEnd w:id="76"/>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涉及服务的要求和通知，详见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7" w:name="_Ref467379542"/>
      <w:bookmarkStart w:id="78" w:name="_Ref467378541"/>
      <w:bookmarkStart w:id="79" w:name="_Toc259093674"/>
      <w:bookmarkStart w:id="80" w:name="_Ref467378591"/>
      <w:bookmarkStart w:id="81" w:name="_Ref467379536"/>
      <w:bookmarkStart w:id="82" w:name="_Ref467379527"/>
      <w:bookmarkStart w:id="83" w:name="_Toc279701245"/>
      <w:bookmarkStart w:id="84" w:name="_Toc487900354"/>
      <w:bookmarkStart w:id="85" w:name="_Toc30272"/>
      <w:bookmarkStart w:id="86" w:name="_Toc26182"/>
      <w:bookmarkStart w:id="87" w:name="_Toc19074"/>
      <w:r>
        <w:rPr>
          <w:rFonts w:hint="eastAsia" w:ascii="仿宋" w:hAnsi="仿宋" w:eastAsia="仿宋" w:cs="仿宋"/>
          <w:b/>
          <w:sz w:val="24"/>
        </w:rPr>
        <w:t>2.</w:t>
      </w:r>
      <w:bookmarkEnd w:id="77"/>
      <w:bookmarkEnd w:id="78"/>
      <w:bookmarkEnd w:id="79"/>
      <w:bookmarkEnd w:id="80"/>
      <w:bookmarkEnd w:id="81"/>
      <w:bookmarkEnd w:id="82"/>
      <w:bookmarkEnd w:id="83"/>
      <w:bookmarkEnd w:id="84"/>
      <w:r>
        <w:rPr>
          <w:rFonts w:hint="eastAsia" w:ascii="仿宋" w:hAnsi="仿宋" w:eastAsia="仿宋" w:cs="仿宋"/>
          <w:b/>
          <w:sz w:val="24"/>
        </w:rPr>
        <w:t>5 履约检查和问题反馈</w:t>
      </w:r>
      <w:bookmarkEnd w:id="85"/>
      <w:bookmarkEnd w:id="86"/>
      <w:bookmarkEnd w:id="87"/>
    </w:p>
    <w:p>
      <w:pPr>
        <w:spacing w:line="560" w:lineRule="exact"/>
        <w:ind w:firstLine="480" w:firstLineChars="200"/>
        <w:rPr>
          <w:rFonts w:ascii="仿宋" w:hAnsi="仿宋" w:eastAsia="仿宋" w:cs="仿宋"/>
          <w:sz w:val="24"/>
        </w:rPr>
      </w:pPr>
      <w:bookmarkStart w:id="88" w:name="_Ref467379657"/>
      <w:r>
        <w:rPr>
          <w:rFonts w:hint="eastAsia" w:ascii="仿宋" w:hAnsi="仿宋" w:eastAsia="仿宋" w:cs="仿宋"/>
          <w:sz w:val="24"/>
        </w:rPr>
        <w:t>2.5.1</w:t>
      </w:r>
      <w:bookmarkEnd w:id="88"/>
      <w:bookmarkStart w:id="89" w:name="_Toc186431854"/>
      <w:bookmarkStart w:id="90" w:name="_Toc279701247"/>
      <w:bookmarkStart w:id="91" w:name="_Toc487900357"/>
      <w:bookmarkStart w:id="92" w:name="_Ref467379793"/>
      <w:bookmarkStart w:id="93" w:name="_Ref467379807"/>
      <w:bookmarkStart w:id="94" w:name="_Toc259093676"/>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89"/>
      <w:bookmarkStart w:id="95" w:name="_Toc186431855"/>
      <w:r>
        <w:rPr>
          <w:rFonts w:hint="eastAsia" w:ascii="仿宋" w:hAnsi="仿宋" w:eastAsia="仿宋" w:cs="仿宋"/>
          <w:sz w:val="24"/>
        </w:rPr>
        <w:t>。</w:t>
      </w:r>
    </w:p>
    <w:bookmarkEnd w:id="90"/>
    <w:bookmarkEnd w:id="91"/>
    <w:bookmarkEnd w:id="92"/>
    <w:bookmarkEnd w:id="93"/>
    <w:bookmarkEnd w:id="94"/>
    <w:bookmarkEnd w:id="95"/>
    <w:p>
      <w:pPr>
        <w:spacing w:line="560" w:lineRule="exact"/>
        <w:ind w:firstLine="482" w:firstLineChars="200"/>
        <w:outlineLvl w:val="0"/>
        <w:rPr>
          <w:rFonts w:ascii="仿宋" w:hAnsi="仿宋" w:eastAsia="仿宋" w:cs="仿宋"/>
          <w:b/>
          <w:sz w:val="24"/>
        </w:rPr>
      </w:pPr>
      <w:bookmarkStart w:id="96" w:name="_Toc259093677"/>
      <w:bookmarkStart w:id="97" w:name="_Toc487900358"/>
      <w:bookmarkStart w:id="98" w:name="_Ref467379863"/>
      <w:bookmarkStart w:id="99" w:name="_Toc279701248"/>
      <w:bookmarkStart w:id="100" w:name="_Ref467379923"/>
      <w:bookmarkStart w:id="101" w:name="_Ref467379852"/>
      <w:bookmarkStart w:id="102" w:name="_Toc16110"/>
      <w:bookmarkStart w:id="103" w:name="_Toc774"/>
      <w:bookmarkStart w:id="104" w:name="_Toc3225"/>
      <w:r>
        <w:rPr>
          <w:rFonts w:hint="eastAsia" w:ascii="仿宋" w:hAnsi="仿宋" w:eastAsia="仿宋" w:cs="仿宋"/>
          <w:b/>
          <w:sz w:val="24"/>
        </w:rPr>
        <w:t>2.6 技术资料</w:t>
      </w:r>
      <w:bookmarkEnd w:id="96"/>
      <w:bookmarkEnd w:id="97"/>
      <w:bookmarkEnd w:id="98"/>
      <w:bookmarkEnd w:id="99"/>
      <w:bookmarkEnd w:id="100"/>
      <w:bookmarkEnd w:id="101"/>
      <w:r>
        <w:rPr>
          <w:rFonts w:hint="eastAsia" w:ascii="仿宋" w:hAnsi="仿宋" w:eastAsia="仿宋" w:cs="仿宋"/>
          <w:b/>
          <w:sz w:val="24"/>
        </w:rPr>
        <w:t>和保密义务</w:t>
      </w:r>
      <w:bookmarkEnd w:id="102"/>
      <w:bookmarkEnd w:id="103"/>
      <w:bookmarkEnd w:id="104"/>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05" w:name="_Toc7860"/>
      <w:r>
        <w:rPr>
          <w:rFonts w:hint="eastAsia" w:ascii="仿宋" w:hAnsi="仿宋" w:eastAsia="仿宋" w:cs="仿宋"/>
          <w:b/>
          <w:sz w:val="24"/>
        </w:rPr>
        <w:t>2.7 质量保证</w:t>
      </w:r>
      <w:bookmarkEnd w:id="105"/>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06" w:name="_Toc17244"/>
      <w:bookmarkStart w:id="107" w:name="_Toc487900362"/>
      <w:bookmarkStart w:id="108" w:name="_Toc259093681"/>
      <w:bookmarkStart w:id="109" w:name="_Toc279701252"/>
      <w:r>
        <w:rPr>
          <w:rFonts w:hint="eastAsia" w:ascii="仿宋" w:hAnsi="仿宋" w:eastAsia="仿宋" w:cs="仿宋"/>
          <w:b/>
          <w:sz w:val="24"/>
        </w:rPr>
        <w:t>2.8 服务的风险负担</w:t>
      </w:r>
      <w:bookmarkEnd w:id="106"/>
    </w:p>
    <w:p>
      <w:pPr>
        <w:spacing w:line="560" w:lineRule="exact"/>
        <w:ind w:firstLine="480" w:firstLineChars="200"/>
        <w:rPr>
          <w:rFonts w:ascii="仿宋" w:hAnsi="仿宋" w:eastAsia="仿宋" w:cs="仿宋"/>
          <w:sz w:val="24"/>
        </w:rPr>
      </w:pPr>
      <w:r>
        <w:rPr>
          <w:rFonts w:hint="eastAsia" w:ascii="仿宋" w:hAnsi="仿宋" w:eastAsia="仿宋" w:cs="仿宋"/>
          <w:sz w:val="24"/>
        </w:rPr>
        <w:t>服务过程中涉及的风险负担详见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10" w:name="_Toc14055"/>
      <w:r>
        <w:rPr>
          <w:rFonts w:hint="eastAsia" w:ascii="仿宋" w:hAnsi="仿宋" w:eastAsia="仿宋" w:cs="仿宋"/>
          <w:b/>
          <w:sz w:val="24"/>
        </w:rPr>
        <w:t>2.9 延迟</w:t>
      </w:r>
      <w:bookmarkEnd w:id="107"/>
      <w:bookmarkEnd w:id="108"/>
      <w:bookmarkEnd w:id="109"/>
      <w:bookmarkEnd w:id="110"/>
      <w:r>
        <w:rPr>
          <w:rFonts w:hint="eastAsia" w:ascii="仿宋" w:hAnsi="仿宋" w:eastAsia="仿宋" w:cs="仿宋"/>
          <w:b/>
          <w:sz w:val="24"/>
        </w:rPr>
        <w:t>交付</w:t>
      </w:r>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spacing w:line="560" w:lineRule="exact"/>
        <w:ind w:firstLine="482" w:firstLineChars="200"/>
        <w:outlineLvl w:val="0"/>
        <w:rPr>
          <w:rFonts w:ascii="仿宋" w:hAnsi="仿宋" w:eastAsia="仿宋" w:cs="仿宋"/>
          <w:b/>
          <w:sz w:val="24"/>
        </w:rPr>
      </w:pPr>
      <w:bookmarkStart w:id="111" w:name="_Toc7502"/>
      <w:bookmarkStart w:id="112" w:name="_Toc259093683"/>
      <w:bookmarkStart w:id="113" w:name="_Toc487900364"/>
      <w:bookmarkStart w:id="114" w:name="_Toc279701254"/>
      <w:bookmarkStart w:id="115" w:name="_Ref467378121"/>
      <w:r>
        <w:rPr>
          <w:rFonts w:hint="eastAsia" w:ascii="仿宋" w:hAnsi="仿宋" w:eastAsia="仿宋" w:cs="仿宋"/>
          <w:b/>
          <w:sz w:val="24"/>
        </w:rPr>
        <w:t>2.10合同变更</w:t>
      </w:r>
      <w:bookmarkEnd w:id="111"/>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16" w:name="_Toc259093688"/>
      <w:bookmarkStart w:id="117" w:name="_Toc279701259"/>
      <w:bookmarkStart w:id="118" w:name="_Toc487900369"/>
    </w:p>
    <w:p>
      <w:pPr>
        <w:spacing w:line="560" w:lineRule="exact"/>
        <w:ind w:firstLine="482" w:firstLineChars="200"/>
        <w:outlineLvl w:val="0"/>
        <w:rPr>
          <w:rFonts w:ascii="仿宋" w:hAnsi="仿宋" w:eastAsia="仿宋" w:cs="仿宋"/>
          <w:b/>
          <w:sz w:val="24"/>
        </w:rPr>
      </w:pPr>
      <w:bookmarkStart w:id="119" w:name="_Toc22955"/>
      <w:bookmarkStart w:id="120" w:name="_Toc15237"/>
      <w:bookmarkStart w:id="121" w:name="_Toc10366"/>
      <w:r>
        <w:rPr>
          <w:rFonts w:hint="eastAsia" w:ascii="仿宋" w:hAnsi="仿宋" w:eastAsia="仿宋" w:cs="仿宋"/>
          <w:b/>
          <w:sz w:val="24"/>
        </w:rPr>
        <w:t>2.11合同转让</w:t>
      </w:r>
      <w:bookmarkEnd w:id="116"/>
      <w:bookmarkEnd w:id="117"/>
      <w:bookmarkEnd w:id="118"/>
      <w:r>
        <w:rPr>
          <w:rFonts w:hint="eastAsia" w:ascii="仿宋" w:hAnsi="仿宋" w:eastAsia="仿宋" w:cs="仿宋"/>
          <w:b/>
          <w:sz w:val="24"/>
        </w:rPr>
        <w:t>和分包</w:t>
      </w:r>
      <w:bookmarkEnd w:id="119"/>
      <w:bookmarkEnd w:id="120"/>
      <w:bookmarkEnd w:id="121"/>
      <w:r>
        <w:rPr>
          <w:rFonts w:hint="eastAsia" w:ascii="仿宋" w:hAnsi="仿宋" w:eastAsia="仿宋" w:cs="仿宋"/>
          <w:b/>
          <w:sz w:val="24"/>
        </w:rPr>
        <w:t>（如有）</w:t>
      </w:r>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122" w:name="_Toc14066"/>
      <w:bookmarkStart w:id="123" w:name="_Toc13566"/>
      <w:bookmarkStart w:id="124" w:name="_Toc16508"/>
      <w:r>
        <w:rPr>
          <w:rFonts w:hint="eastAsia" w:ascii="仿宋" w:hAnsi="仿宋" w:eastAsia="仿宋" w:cs="仿宋"/>
          <w:b/>
          <w:sz w:val="24"/>
        </w:rPr>
        <w:t>2.12不可抗力</w:t>
      </w:r>
      <w:bookmarkEnd w:id="122"/>
      <w:bookmarkEnd w:id="123"/>
      <w:bookmarkEnd w:id="124"/>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25" w:name="_Toc259093684"/>
      <w:bookmarkStart w:id="126" w:name="_Toc689"/>
      <w:bookmarkStart w:id="127" w:name="_Toc30676"/>
      <w:bookmarkStart w:id="128" w:name="_Toc6969"/>
      <w:bookmarkStart w:id="129" w:name="_Toc487900365"/>
      <w:bookmarkStart w:id="130" w:name="_Toc279701255"/>
      <w:r>
        <w:rPr>
          <w:rFonts w:hint="eastAsia" w:ascii="仿宋" w:hAnsi="仿宋" w:eastAsia="仿宋" w:cs="仿宋"/>
          <w:b/>
          <w:sz w:val="24"/>
        </w:rPr>
        <w:t>2.13税费</w:t>
      </w:r>
      <w:bookmarkEnd w:id="125"/>
      <w:bookmarkEnd w:id="126"/>
      <w:bookmarkEnd w:id="127"/>
      <w:bookmarkEnd w:id="128"/>
      <w:bookmarkEnd w:id="129"/>
      <w:bookmarkEnd w:id="130"/>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131" w:name="_Toc8298"/>
      <w:bookmarkStart w:id="132" w:name="_Toc16959"/>
      <w:bookmarkStart w:id="133" w:name="_Toc487900368"/>
      <w:bookmarkStart w:id="134" w:name="_Toc259093687"/>
      <w:bookmarkStart w:id="135" w:name="_Toc279701258"/>
      <w:bookmarkStart w:id="136" w:name="_Toc7102"/>
      <w:r>
        <w:rPr>
          <w:rFonts w:hint="eastAsia" w:ascii="仿宋" w:hAnsi="仿宋" w:eastAsia="仿宋" w:cs="仿宋"/>
          <w:b/>
          <w:sz w:val="24"/>
        </w:rPr>
        <w:t>2.14乙方破产</w:t>
      </w:r>
      <w:bookmarkEnd w:id="131"/>
      <w:bookmarkEnd w:id="132"/>
      <w:bookmarkEnd w:id="133"/>
      <w:bookmarkEnd w:id="134"/>
      <w:bookmarkEnd w:id="135"/>
      <w:bookmarkEnd w:id="136"/>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37" w:name="_Toc6134"/>
      <w:bookmarkStart w:id="138" w:name="_Toc15387"/>
      <w:bookmarkStart w:id="139" w:name="_Toc29333"/>
      <w:r>
        <w:rPr>
          <w:rFonts w:hint="eastAsia" w:ascii="仿宋" w:hAnsi="仿宋" w:eastAsia="仿宋" w:cs="仿宋"/>
          <w:b/>
          <w:sz w:val="24"/>
        </w:rPr>
        <w:t>2.15合同中止、终止</w:t>
      </w:r>
      <w:bookmarkEnd w:id="137"/>
      <w:bookmarkEnd w:id="138"/>
      <w:bookmarkEnd w:id="139"/>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0" w:name="_Toc14563"/>
      <w:bookmarkStart w:id="141" w:name="_Toc1125"/>
      <w:bookmarkStart w:id="142" w:name="_Toc6596"/>
      <w:r>
        <w:rPr>
          <w:rFonts w:hint="eastAsia" w:ascii="仿宋" w:hAnsi="仿宋" w:eastAsia="仿宋" w:cs="仿宋"/>
          <w:b/>
          <w:sz w:val="24"/>
        </w:rPr>
        <w:t>2.16检验和验收</w:t>
      </w:r>
      <w:bookmarkEnd w:id="140"/>
      <w:bookmarkEnd w:id="141"/>
      <w:bookmarkEnd w:id="142"/>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12"/>
    <w:bookmarkEnd w:id="113"/>
    <w:bookmarkEnd w:id="114"/>
    <w:bookmarkEnd w:id="115"/>
    <w:p>
      <w:pPr>
        <w:spacing w:line="560" w:lineRule="exact"/>
        <w:ind w:firstLine="482" w:firstLineChars="200"/>
        <w:outlineLvl w:val="0"/>
        <w:rPr>
          <w:rFonts w:ascii="仿宋" w:hAnsi="仿宋" w:eastAsia="仿宋" w:cs="仿宋"/>
          <w:b/>
          <w:sz w:val="24"/>
        </w:rPr>
      </w:pPr>
      <w:bookmarkStart w:id="143" w:name="_Toc259093690"/>
      <w:bookmarkStart w:id="144" w:name="_Toc279701261"/>
      <w:bookmarkStart w:id="145" w:name="_Toc487900371"/>
      <w:bookmarkStart w:id="146" w:name="_Toc19604"/>
      <w:bookmarkStart w:id="147" w:name="_Toc11284"/>
      <w:bookmarkStart w:id="148" w:name="_Toc25182"/>
      <w:r>
        <w:rPr>
          <w:rFonts w:hint="eastAsia" w:ascii="仿宋" w:hAnsi="仿宋" w:eastAsia="仿宋" w:cs="仿宋"/>
          <w:b/>
          <w:sz w:val="24"/>
        </w:rPr>
        <w:t>2.17通知</w:t>
      </w:r>
      <w:bookmarkEnd w:id="143"/>
      <w:bookmarkEnd w:id="144"/>
      <w:bookmarkEnd w:id="145"/>
      <w:r>
        <w:rPr>
          <w:rFonts w:hint="eastAsia" w:ascii="仿宋" w:hAnsi="仿宋" w:eastAsia="仿宋" w:cs="仿宋"/>
          <w:b/>
          <w:sz w:val="24"/>
        </w:rPr>
        <w:t>和送达</w:t>
      </w:r>
      <w:bookmarkEnd w:id="146"/>
      <w:bookmarkEnd w:id="147"/>
      <w:bookmarkEnd w:id="148"/>
    </w:p>
    <w:p>
      <w:pPr>
        <w:spacing w:line="560" w:lineRule="exact"/>
        <w:ind w:firstLine="480" w:firstLineChars="200"/>
        <w:rPr>
          <w:rFonts w:ascii="仿宋" w:hAnsi="仿宋" w:eastAsia="仿宋" w:cs="仿宋"/>
          <w:sz w:val="24"/>
        </w:rPr>
      </w:pPr>
      <w:bookmarkStart w:id="149" w:name="_Toc6698"/>
      <w:bookmarkStart w:id="150" w:name="_Toc3135"/>
      <w:bookmarkStart w:id="151" w:name="_Toc487900372"/>
      <w:bookmarkStart w:id="152" w:name="_Toc279701262"/>
      <w:bookmarkStart w:id="153" w:name="_Toc259093691"/>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49"/>
      <w:bookmarkEnd w:id="150"/>
    </w:p>
    <w:p>
      <w:pPr>
        <w:spacing w:line="560" w:lineRule="exact"/>
        <w:ind w:firstLine="480" w:firstLineChars="200"/>
        <w:rPr>
          <w:rFonts w:ascii="仿宋" w:hAnsi="仿宋" w:eastAsia="仿宋" w:cs="仿宋"/>
          <w:sz w:val="24"/>
        </w:rPr>
      </w:pPr>
      <w:bookmarkStart w:id="154" w:name="_Toc23294"/>
      <w:bookmarkStart w:id="155"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4"/>
      <w:bookmarkEnd w:id="155"/>
    </w:p>
    <w:p>
      <w:pPr>
        <w:spacing w:line="560" w:lineRule="exact"/>
        <w:ind w:firstLine="482" w:firstLineChars="200"/>
        <w:outlineLvl w:val="0"/>
        <w:rPr>
          <w:rFonts w:ascii="仿宋" w:hAnsi="仿宋" w:eastAsia="仿宋" w:cs="仿宋"/>
          <w:b/>
          <w:sz w:val="24"/>
        </w:rPr>
      </w:pPr>
      <w:bookmarkStart w:id="156" w:name="_Toc4355"/>
      <w:bookmarkStart w:id="157" w:name="_Toc30599"/>
      <w:bookmarkStart w:id="158" w:name="_Toc18540"/>
      <w:r>
        <w:rPr>
          <w:rFonts w:hint="eastAsia" w:ascii="仿宋" w:hAnsi="仿宋" w:eastAsia="仿宋" w:cs="仿宋"/>
          <w:b/>
          <w:sz w:val="24"/>
        </w:rPr>
        <w:t>2.18计量单位</w:t>
      </w:r>
      <w:bookmarkEnd w:id="151"/>
      <w:bookmarkEnd w:id="152"/>
      <w:bookmarkEnd w:id="153"/>
      <w:bookmarkEnd w:id="156"/>
      <w:bookmarkEnd w:id="157"/>
      <w:bookmarkEnd w:id="158"/>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159" w:name="_Toc259093692"/>
      <w:bookmarkStart w:id="160" w:name="_Toc10330"/>
      <w:bookmarkStart w:id="161" w:name="_Toc279701263"/>
      <w:bookmarkStart w:id="162" w:name="_Toc12773"/>
      <w:bookmarkStart w:id="163" w:name="_Toc487900373"/>
      <w:bookmarkStart w:id="164" w:name="_Toc18567"/>
      <w:r>
        <w:rPr>
          <w:rFonts w:hint="eastAsia" w:ascii="仿宋" w:hAnsi="仿宋" w:eastAsia="仿宋" w:cs="仿宋"/>
          <w:b/>
          <w:sz w:val="24"/>
        </w:rPr>
        <w:t>2.19合同使用的文字和适用的法律</w:t>
      </w:r>
      <w:bookmarkEnd w:id="159"/>
      <w:bookmarkEnd w:id="160"/>
      <w:bookmarkEnd w:id="161"/>
      <w:bookmarkEnd w:id="162"/>
      <w:bookmarkEnd w:id="163"/>
      <w:bookmarkEnd w:id="164"/>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165" w:name="_Toc3148"/>
      <w:bookmarkStart w:id="166" w:name="_Toc12004"/>
      <w:bookmarkStart w:id="167" w:name="_Toc16673"/>
      <w:bookmarkStart w:id="168" w:name="_Toc279701264"/>
      <w:bookmarkStart w:id="169" w:name="_Toc259093693"/>
      <w:bookmarkStart w:id="170" w:name="_Toc487900374"/>
      <w:r>
        <w:rPr>
          <w:rFonts w:hint="eastAsia" w:ascii="仿宋" w:hAnsi="仿宋" w:eastAsia="仿宋" w:cs="仿宋"/>
          <w:b/>
          <w:sz w:val="24"/>
        </w:rPr>
        <w:t>2.20履约保证金</w:t>
      </w:r>
      <w:bookmarkEnd w:id="165"/>
      <w:bookmarkEnd w:id="166"/>
      <w:bookmarkEnd w:id="167"/>
      <w:bookmarkEnd w:id="168"/>
      <w:bookmarkEnd w:id="169"/>
    </w:p>
    <w:p>
      <w:pPr>
        <w:spacing w:line="560" w:lineRule="exact"/>
        <w:ind w:firstLine="480" w:firstLineChars="200"/>
        <w:outlineLvl w:val="0"/>
        <w:rPr>
          <w:rFonts w:ascii="仿宋" w:hAnsi="仿宋" w:eastAsia="仿宋" w:cs="仿宋"/>
        </w:rPr>
      </w:pPr>
      <w:r>
        <w:rPr>
          <w:rFonts w:hint="eastAsia" w:ascii="仿宋" w:hAnsi="仿宋" w:eastAsia="仿宋" w:cs="仿宋"/>
          <w:sz w:val="24"/>
        </w:rPr>
        <w:t>2.20.1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约定期间内不予退还。乙方在前述约定期间届满前能履行完合同约定义务事项的，甲方在前述约定期间届满之日起个工作日内，按</w:t>
      </w:r>
      <w:r>
        <w:rPr>
          <w:rFonts w:hint="eastAsia" w:ascii="仿宋" w:hAnsi="仿宋" w:eastAsia="仿宋" w:cs="仿宋"/>
          <w:b/>
          <w:i/>
          <w:sz w:val="24"/>
          <w:u w:val="single"/>
        </w:rPr>
        <w:t>合同专用条款</w:t>
      </w:r>
      <w:r>
        <w:rPr>
          <w:rFonts w:hint="eastAsia" w:ascii="仿宋" w:hAnsi="仿宋" w:eastAsia="仿宋" w:cs="仿宋"/>
          <w:sz w:val="24"/>
        </w:rPr>
        <w:t xml:space="preserve">约定的方式将履约保证金退还乙方，逾期退还的，乙方可要求甲方支付违约金，违约金按每迟延退还一日的应退还而未退还金额的%计算，最高限额为本合同履约保证金的%；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2.21对于因甲方原因导致变更、中止或者终止采购合同的，甲方应当依照合同约定对供应商受到的损失予以赔偿或者补偿。</w:t>
      </w:r>
    </w:p>
    <w:bookmarkEnd w:id="170"/>
    <w:p>
      <w:pPr>
        <w:spacing w:line="560" w:lineRule="exact"/>
        <w:ind w:firstLine="482" w:firstLineChars="200"/>
        <w:outlineLvl w:val="0"/>
        <w:rPr>
          <w:rFonts w:ascii="仿宋" w:hAnsi="仿宋" w:eastAsia="仿宋" w:cs="仿宋"/>
          <w:b/>
          <w:sz w:val="24"/>
        </w:rPr>
      </w:pPr>
      <w:bookmarkStart w:id="171" w:name="_Toc14001"/>
      <w:bookmarkStart w:id="172" w:name="_Toc19890"/>
      <w:bookmarkStart w:id="173" w:name="_Toc6885"/>
      <w:r>
        <w:rPr>
          <w:rFonts w:hint="eastAsia" w:ascii="仿宋" w:hAnsi="仿宋" w:eastAsia="仿宋" w:cs="仿宋"/>
          <w:b/>
          <w:sz w:val="24"/>
        </w:rPr>
        <w:t>2.22合同份数</w:t>
      </w:r>
      <w:bookmarkEnd w:id="171"/>
      <w:bookmarkEnd w:id="172"/>
      <w:bookmarkEnd w:id="173"/>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560" w:lineRule="exact"/>
        <w:ind w:firstLine="480" w:firstLineChars="200"/>
        <w:rPr>
          <w:rFonts w:ascii="仿宋" w:hAnsi="仿宋" w:eastAsia="仿宋" w:cs="仿宋"/>
          <w:sz w:val="24"/>
        </w:rPr>
      </w:pPr>
      <w:r>
        <w:rPr>
          <w:rFonts w:hint="eastAsia" w:ascii="仿宋" w:hAnsi="仿宋" w:eastAsia="仿宋" w:cs="仿宋"/>
          <w:sz w:val="24"/>
        </w:rPr>
        <w:t>2.23本项目涉及柴油动力移动源的，该移动源应当符合低排放要求。</w:t>
      </w:r>
    </w:p>
    <w:p>
      <w:pPr>
        <w:pStyle w:val="4"/>
        <w:rPr>
          <w:rFonts w:ascii="仿宋" w:hAnsi="仿宋" w:eastAsia="仿宋" w:cs="仿宋"/>
        </w:rPr>
      </w:pPr>
    </w:p>
    <w:p>
      <w:pPr>
        <w:pStyle w:val="4"/>
        <w:spacing w:line="560" w:lineRule="exact"/>
        <w:ind w:firstLine="422"/>
        <w:jc w:val="center"/>
        <w:rPr>
          <w:rFonts w:ascii="仿宋" w:hAnsi="仿宋" w:eastAsia="仿宋" w:cs="仿宋"/>
          <w:b/>
        </w:rPr>
      </w:pPr>
      <w:r>
        <w:rPr>
          <w:rFonts w:hint="eastAsia" w:ascii="仿宋" w:hAnsi="仿宋" w:eastAsia="仿宋" w:cs="仿宋"/>
          <w:b/>
        </w:rPr>
        <w:t>第三部分合同专用条款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1.5.7</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2.8</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2.16.2 </w:t>
            </w:r>
          </w:p>
        </w:tc>
        <w:tc>
          <w:tcPr>
            <w:tcW w:w="4534" w:type="pct"/>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4534" w:type="pct"/>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80" w:lineRule="exact"/>
        <w:ind w:firstLine="480" w:firstLineChars="200"/>
        <w:jc w:val="left"/>
        <w:rPr>
          <w:rFonts w:ascii="仿宋" w:hAnsi="仿宋" w:eastAsia="仿宋" w:cs="仿宋"/>
          <w:b/>
          <w:sz w:val="36"/>
          <w:szCs w:val="36"/>
        </w:rPr>
      </w:pPr>
      <w:r>
        <w:rPr>
          <w:rFonts w:hint="eastAsia" w:ascii="仿宋" w:hAnsi="仿宋" w:eastAsia="仿宋" w:cs="仿宋"/>
          <w:sz w:val="24"/>
        </w:rPr>
        <w:t>（注：在正式签约时，根据上述精神双方协商拟就更为详尽的合同书）</w:t>
      </w:r>
    </w:p>
    <w:p>
      <w:pPr>
        <w:snapToGrid w:val="0"/>
        <w:spacing w:line="440" w:lineRule="exact"/>
        <w:jc w:val="center"/>
        <w:rPr>
          <w:rFonts w:ascii="仿宋" w:hAnsi="仿宋" w:eastAsia="仿宋" w:cs="仿宋"/>
          <w:b/>
          <w:sz w:val="36"/>
          <w:szCs w:val="36"/>
        </w:rPr>
      </w:pPr>
    </w:p>
    <w:p>
      <w:pPr>
        <w:rPr>
          <w:rFonts w:ascii="仿宋" w:hAnsi="仿宋" w:eastAsia="仿宋" w:cs="仿宋"/>
        </w:rPr>
      </w:pPr>
    </w:p>
    <w:p>
      <w:pPr>
        <w:pStyle w:val="23"/>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pPr>
        <w:spacing w:line="440" w:lineRule="exact"/>
        <w:jc w:val="left"/>
        <w:rPr>
          <w:rFonts w:ascii="仿宋" w:hAnsi="仿宋" w:eastAsia="仿宋" w:cs="仿宋"/>
          <w:b/>
          <w:sz w:val="24"/>
        </w:rPr>
      </w:pPr>
      <w:r>
        <w:rPr>
          <w:rFonts w:hint="eastAsia" w:ascii="仿宋" w:hAnsi="仿宋" w:eastAsia="仿宋" w:cs="仿宋"/>
          <w:b/>
          <w:sz w:val="24"/>
        </w:rPr>
        <w:t>1、评标方法：</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共100分，其中商务技术分70分，价格分30分。评分依下述所列为评标打分依据，分值如下（计算分值时，按其算术平均值保留小数2位）。</w:t>
      </w:r>
    </w:p>
    <w:p>
      <w:pPr>
        <w:spacing w:line="440" w:lineRule="exact"/>
        <w:rPr>
          <w:rFonts w:ascii="仿宋" w:hAnsi="仿宋" w:eastAsia="仿宋" w:cs="仿宋"/>
          <w:b/>
          <w:bCs/>
          <w:iCs/>
          <w:sz w:val="24"/>
        </w:rPr>
      </w:pPr>
      <w:r>
        <w:rPr>
          <w:rFonts w:hint="eastAsia" w:ascii="仿宋" w:hAnsi="仿宋" w:eastAsia="仿宋" w:cs="仿宋"/>
          <w:b/>
          <w:bCs/>
          <w:iCs/>
          <w:sz w:val="24"/>
        </w:rPr>
        <w:t>2.1商务技术分（70分）</w:t>
      </w:r>
    </w:p>
    <w:tbl>
      <w:tblPr>
        <w:tblStyle w:val="41"/>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2"/>
        <w:gridCol w:w="7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882" w:type="dxa"/>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评分内容</w:t>
            </w:r>
          </w:p>
        </w:tc>
        <w:tc>
          <w:tcPr>
            <w:tcW w:w="7117" w:type="dxa"/>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882" w:type="dxa"/>
            <w:vAlign w:val="center"/>
          </w:tcPr>
          <w:p>
            <w:pPr>
              <w:outlineLvl w:val="0"/>
              <w:rPr>
                <w:rFonts w:ascii="仿宋" w:hAnsi="仿宋" w:eastAsia="仿宋" w:cs="仿宋"/>
                <w:bCs/>
                <w:color w:val="000000"/>
                <w:szCs w:val="21"/>
              </w:rPr>
            </w:pPr>
            <w:r>
              <w:rPr>
                <w:rFonts w:hint="eastAsia" w:ascii="仿宋" w:hAnsi="仿宋" w:eastAsia="仿宋" w:cs="仿宋"/>
                <w:bCs/>
                <w:color w:val="000000"/>
                <w:szCs w:val="21"/>
              </w:rPr>
              <w:t>基本</w:t>
            </w:r>
          </w:p>
          <w:p>
            <w:pPr>
              <w:outlineLvl w:val="0"/>
              <w:rPr>
                <w:rFonts w:ascii="仿宋" w:hAnsi="仿宋" w:eastAsia="仿宋" w:cs="仿宋"/>
                <w:bCs/>
                <w:color w:val="000000"/>
                <w:szCs w:val="21"/>
              </w:rPr>
            </w:pPr>
            <w:r>
              <w:rPr>
                <w:rFonts w:hint="eastAsia" w:ascii="仿宋" w:hAnsi="仿宋" w:eastAsia="仿宋" w:cs="仿宋"/>
                <w:bCs/>
                <w:color w:val="000000"/>
                <w:szCs w:val="21"/>
              </w:rPr>
              <w:t>技术分（15分）</w:t>
            </w:r>
          </w:p>
          <w:p>
            <w:pPr>
              <w:outlineLvl w:val="0"/>
              <w:rPr>
                <w:rFonts w:ascii="仿宋" w:hAnsi="仿宋" w:eastAsia="仿宋" w:cs="仿宋"/>
                <w:bCs/>
                <w:color w:val="000000"/>
                <w:szCs w:val="21"/>
              </w:rPr>
            </w:pPr>
          </w:p>
        </w:tc>
        <w:tc>
          <w:tcPr>
            <w:tcW w:w="7117" w:type="dxa"/>
            <w:vAlign w:val="center"/>
          </w:tcPr>
          <w:p>
            <w:pPr>
              <w:outlineLvl w:val="0"/>
              <w:rPr>
                <w:rFonts w:ascii="仿宋" w:hAnsi="仿宋" w:eastAsia="仿宋" w:cs="仿宋"/>
                <w:bCs/>
                <w:color w:val="000000"/>
                <w:szCs w:val="21"/>
              </w:rPr>
            </w:pPr>
            <w:r>
              <w:rPr>
                <w:rFonts w:hint="eastAsia" w:ascii="仿宋" w:hAnsi="仿宋" w:eastAsia="仿宋" w:cs="仿宋"/>
                <w:bCs/>
                <w:color w:val="000000"/>
                <w:szCs w:val="21"/>
              </w:rPr>
              <w:t>完全满足招标文件技术参数配置要求的得15分，带★为实质性指标,如有负偏离,作无效投标处理。带“▲”为主要性能指标，每有一项负偏离扣3分，其他一般指标每有一项负偏离扣1分，扣完为止。本项最高得15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882" w:type="dxa"/>
            <w:vAlign w:val="center"/>
          </w:tcPr>
          <w:p>
            <w:pPr>
              <w:outlineLvl w:val="0"/>
              <w:rPr>
                <w:rFonts w:ascii="仿宋" w:hAnsi="仿宋" w:eastAsia="仿宋" w:cs="仿宋"/>
                <w:color w:val="000000"/>
                <w:szCs w:val="21"/>
              </w:rPr>
            </w:pPr>
            <w:r>
              <w:rPr>
                <w:rFonts w:hint="eastAsia" w:ascii="仿宋" w:hAnsi="仿宋" w:eastAsia="仿宋" w:cs="仿宋"/>
                <w:color w:val="000000"/>
                <w:szCs w:val="21"/>
              </w:rPr>
              <w:t>企业资质</w:t>
            </w:r>
          </w:p>
          <w:p>
            <w:pPr>
              <w:outlineLvl w:val="0"/>
              <w:rPr>
                <w:rFonts w:ascii="仿宋" w:hAnsi="仿宋" w:eastAsia="仿宋" w:cs="仿宋"/>
                <w:bCs/>
                <w:color w:val="000000"/>
                <w:szCs w:val="21"/>
              </w:rPr>
            </w:pPr>
            <w:r>
              <w:rPr>
                <w:rFonts w:hint="eastAsia" w:ascii="仿宋" w:hAnsi="仿宋" w:eastAsia="仿宋" w:cs="仿宋"/>
                <w:color w:val="000000"/>
                <w:szCs w:val="21"/>
              </w:rPr>
              <w:t>（4分）</w:t>
            </w:r>
          </w:p>
        </w:tc>
        <w:tc>
          <w:tcPr>
            <w:tcW w:w="7117" w:type="dxa"/>
            <w:vAlign w:val="center"/>
          </w:tcPr>
          <w:p>
            <w:pPr>
              <w:outlineLvl w:val="0"/>
              <w:rPr>
                <w:rFonts w:ascii="仿宋" w:hAnsi="仿宋" w:eastAsia="仿宋" w:cs="仿宋"/>
                <w:bCs/>
                <w:color w:val="000000"/>
                <w:szCs w:val="21"/>
              </w:rPr>
            </w:pPr>
            <w:r>
              <w:rPr>
                <w:rFonts w:hint="eastAsia" w:ascii="仿宋" w:hAnsi="仿宋" w:eastAsia="仿宋" w:cs="仿宋"/>
                <w:bCs/>
                <w:color w:val="000000"/>
                <w:szCs w:val="21"/>
              </w:rPr>
              <w:t>1.投标人具有电信增值业务许可证的，得2分。</w:t>
            </w:r>
          </w:p>
          <w:p>
            <w:pPr>
              <w:outlineLvl w:val="0"/>
              <w:rPr>
                <w:rFonts w:ascii="仿宋" w:hAnsi="仿宋" w:eastAsia="仿宋" w:cs="仿宋"/>
                <w:bCs/>
                <w:color w:val="000000"/>
                <w:szCs w:val="21"/>
              </w:rPr>
            </w:pPr>
            <w:r>
              <w:rPr>
                <w:rFonts w:hint="eastAsia" w:ascii="仿宋" w:hAnsi="仿宋" w:eastAsia="仿宋" w:cs="仿宋"/>
                <w:bCs/>
                <w:color w:val="000000"/>
                <w:szCs w:val="21"/>
              </w:rPr>
              <w:t>2.投标人有劳务派遣经营许可证，得2分。</w:t>
            </w:r>
          </w:p>
          <w:p>
            <w:pPr>
              <w:outlineLvl w:val="0"/>
              <w:rPr>
                <w:rFonts w:ascii="仿宋" w:hAnsi="仿宋" w:eastAsia="仿宋" w:cs="仿宋"/>
              </w:rPr>
            </w:pPr>
            <w:r>
              <w:rPr>
                <w:rFonts w:hint="eastAsia" w:ascii="仿宋" w:hAnsi="仿宋" w:eastAsia="仿宋" w:cs="仿宋"/>
                <w:bCs/>
                <w:color w:val="000000"/>
                <w:szCs w:val="21"/>
              </w:rPr>
              <w:t>注：提供证书复印件加盖公章，否则不得分。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882" w:type="dxa"/>
            <w:vAlign w:val="center"/>
          </w:tcPr>
          <w:p>
            <w:pPr>
              <w:outlineLvl w:val="0"/>
              <w:rPr>
                <w:rFonts w:ascii="仿宋" w:hAnsi="仿宋" w:eastAsia="仿宋" w:cs="仿宋"/>
                <w:color w:val="000000"/>
                <w:szCs w:val="21"/>
              </w:rPr>
            </w:pPr>
            <w:r>
              <w:rPr>
                <w:rFonts w:hint="eastAsia" w:ascii="仿宋" w:hAnsi="仿宋" w:eastAsia="仿宋" w:cs="仿宋"/>
                <w:color w:val="000000"/>
                <w:szCs w:val="21"/>
              </w:rPr>
              <w:t>对软件进行综合演示（5分）</w:t>
            </w:r>
          </w:p>
        </w:tc>
        <w:tc>
          <w:tcPr>
            <w:tcW w:w="7117" w:type="dxa"/>
            <w:vAlign w:val="center"/>
          </w:tcPr>
          <w:p>
            <w:pPr>
              <w:outlineLvl w:val="0"/>
              <w:rPr>
                <w:rFonts w:ascii="仿宋" w:hAnsi="仿宋" w:eastAsia="仿宋" w:cs="仿宋"/>
                <w:bCs/>
                <w:color w:val="000000"/>
                <w:szCs w:val="21"/>
              </w:rPr>
            </w:pPr>
            <w:r>
              <w:rPr>
                <w:rFonts w:hint="eastAsia" w:ascii="仿宋" w:hAnsi="仿宋" w:eastAsia="仿宋" w:cs="仿宋"/>
                <w:bCs/>
                <w:color w:val="000000"/>
                <w:szCs w:val="21"/>
              </w:rPr>
              <w:t>专家对诊后疾病路径演示的软件功能、操作便捷、符合性等各方面进行综合评分，</w:t>
            </w:r>
            <w:r>
              <w:rPr>
                <w:rFonts w:hint="eastAsia" w:ascii="仿宋" w:hAnsi="仿宋" w:eastAsia="仿宋" w:cs="仿宋"/>
                <w:color w:val="000000"/>
                <w:szCs w:val="21"/>
              </w:rPr>
              <w:t>优5~4.1分；良4.0~2.1分；一般2.0~0.1分</w:t>
            </w:r>
            <w:r>
              <w:rPr>
                <w:rFonts w:hint="eastAsia" w:ascii="仿宋" w:hAnsi="仿宋" w:eastAsia="仿宋" w:cs="仿宋"/>
                <w:bCs/>
                <w:color w:val="000000"/>
                <w:szCs w:val="21"/>
              </w:rPr>
              <w:t>，不演示不得分。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882" w:type="dxa"/>
            <w:vAlign w:val="center"/>
          </w:tcPr>
          <w:p>
            <w:pPr>
              <w:outlineLvl w:val="0"/>
              <w:rPr>
                <w:rFonts w:ascii="仿宋" w:hAnsi="仿宋" w:eastAsia="仿宋" w:cs="仿宋"/>
                <w:bCs/>
                <w:color w:val="000000"/>
                <w:szCs w:val="21"/>
              </w:rPr>
            </w:pPr>
            <w:r>
              <w:rPr>
                <w:rFonts w:hint="eastAsia" w:ascii="仿宋" w:hAnsi="仿宋" w:eastAsia="仿宋" w:cs="仿宋"/>
                <w:color w:val="000000"/>
                <w:szCs w:val="21"/>
              </w:rPr>
              <w:t>业绩（3分）</w:t>
            </w:r>
          </w:p>
        </w:tc>
        <w:tc>
          <w:tcPr>
            <w:tcW w:w="7117" w:type="dxa"/>
            <w:vAlign w:val="center"/>
          </w:tcPr>
          <w:p>
            <w:pPr>
              <w:outlineLvl w:val="0"/>
              <w:rPr>
                <w:rFonts w:ascii="仿宋" w:hAnsi="仿宋" w:eastAsia="仿宋" w:cs="仿宋"/>
                <w:bCs/>
                <w:color w:val="000000"/>
                <w:szCs w:val="21"/>
              </w:rPr>
            </w:pPr>
            <w:r>
              <w:rPr>
                <w:rFonts w:hint="eastAsia" w:ascii="仿宋" w:hAnsi="仿宋" w:eastAsia="仿宋" w:cs="仿宋"/>
                <w:bCs/>
                <w:color w:val="000000"/>
                <w:szCs w:val="21"/>
              </w:rPr>
              <w:t>投标人提供的疾病精细化管理服务（合同文本中应有“精细化管理”字样）在全国范围内有成功案例，每提供一个案例得0.5分，此项最高3分。</w:t>
            </w:r>
          </w:p>
          <w:p>
            <w:pPr>
              <w:outlineLvl w:val="0"/>
              <w:rPr>
                <w:rFonts w:ascii="仿宋" w:hAnsi="仿宋" w:eastAsia="仿宋" w:cs="仿宋"/>
              </w:rPr>
            </w:pPr>
            <w:r>
              <w:rPr>
                <w:rFonts w:hint="eastAsia" w:ascii="仿宋" w:hAnsi="仿宋" w:eastAsia="仿宋" w:cs="仿宋"/>
                <w:bCs/>
                <w:color w:val="000000"/>
                <w:szCs w:val="21"/>
              </w:rPr>
              <w:t>注：须提供合同文本关键页（首页、主要标的页、能佐证合同建设内容与本项目要求一致的页面、签章页）复印件加盖公章，否则不得分。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82" w:type="dxa"/>
            <w:vAlign w:val="center"/>
          </w:tcPr>
          <w:p>
            <w:pPr>
              <w:jc w:val="center"/>
              <w:outlineLvl w:val="0"/>
              <w:rPr>
                <w:rFonts w:ascii="仿宋" w:hAnsi="仿宋" w:eastAsia="仿宋" w:cs="仿宋"/>
                <w:b/>
                <w:color w:val="000000"/>
                <w:szCs w:val="21"/>
              </w:rPr>
            </w:pPr>
            <w:r>
              <w:rPr>
                <w:rFonts w:hint="eastAsia" w:ascii="仿宋" w:hAnsi="仿宋" w:eastAsia="仿宋" w:cs="仿宋"/>
                <w:bCs/>
                <w:color w:val="000000"/>
                <w:szCs w:val="21"/>
              </w:rPr>
              <w:t>质量考核标准（7分）</w:t>
            </w:r>
          </w:p>
        </w:tc>
        <w:tc>
          <w:tcPr>
            <w:tcW w:w="7117" w:type="dxa"/>
            <w:vAlign w:val="center"/>
          </w:tcPr>
          <w:p>
            <w:pPr>
              <w:outlineLvl w:val="0"/>
              <w:rPr>
                <w:rFonts w:ascii="仿宋" w:hAnsi="仿宋" w:eastAsia="仿宋" w:cs="仿宋"/>
                <w:b/>
                <w:color w:val="000000"/>
                <w:szCs w:val="21"/>
              </w:rPr>
            </w:pPr>
            <w:r>
              <w:rPr>
                <w:rFonts w:hint="eastAsia" w:ascii="仿宋" w:hAnsi="仿宋" w:eastAsia="仿宋" w:cs="仿宋"/>
                <w:bCs/>
                <w:color w:val="000000"/>
                <w:szCs w:val="21"/>
              </w:rPr>
              <w:t>根据投标人提供的整体管理服务工作质量的考核标准及与绩效挂钩的考核方案综合评审，</w:t>
            </w:r>
            <w:r>
              <w:rPr>
                <w:rFonts w:hint="eastAsia" w:ascii="仿宋" w:hAnsi="仿宋" w:eastAsia="仿宋" w:cs="仿宋"/>
                <w:color w:val="000000"/>
                <w:szCs w:val="21"/>
              </w:rPr>
              <w:t>优7~4.1分；良4.0~2.1分；一般2.0~0.1分。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1882" w:type="dxa"/>
            <w:vAlign w:val="center"/>
          </w:tcPr>
          <w:p>
            <w:pPr>
              <w:rPr>
                <w:rFonts w:ascii="仿宋" w:hAnsi="仿宋" w:eastAsia="仿宋" w:cs="仿宋"/>
              </w:rPr>
            </w:pPr>
            <w:r>
              <w:rPr>
                <w:rFonts w:hint="eastAsia" w:ascii="仿宋" w:hAnsi="仿宋" w:eastAsia="仿宋" w:cs="仿宋"/>
              </w:rPr>
              <w:t>疾病精细化管理服务的运营支撑能力</w:t>
            </w:r>
            <w:r>
              <w:rPr>
                <w:rFonts w:hint="eastAsia" w:ascii="仿宋" w:hAnsi="仿宋" w:eastAsia="仿宋" w:cs="仿宋"/>
                <w:color w:val="000000"/>
                <w:szCs w:val="21"/>
              </w:rPr>
              <w:t>（10分）</w:t>
            </w:r>
          </w:p>
        </w:tc>
        <w:tc>
          <w:tcPr>
            <w:tcW w:w="7117" w:type="dxa"/>
            <w:vAlign w:val="center"/>
          </w:tcPr>
          <w:p>
            <w:pPr>
              <w:rPr>
                <w:rFonts w:ascii="仿宋" w:hAnsi="仿宋" w:eastAsia="仿宋" w:cs="仿宋"/>
                <w:color w:val="000000"/>
                <w:szCs w:val="21"/>
              </w:rPr>
            </w:pPr>
            <w:r>
              <w:rPr>
                <w:rFonts w:hint="eastAsia" w:ascii="仿宋" w:hAnsi="仿宋" w:eastAsia="仿宋" w:cs="仿宋"/>
                <w:color w:val="000000"/>
                <w:szCs w:val="21"/>
              </w:rPr>
              <w:t>根据投标文件中提供的套餐服务内容的完善性和正确性综合打分，优10~6.1分；良6.0~3.1分；一般3.0~0.1分。</w:t>
            </w:r>
          </w:p>
          <w:p>
            <w:pPr>
              <w:pStyle w:val="4"/>
              <w:adjustRightInd w:val="0"/>
              <w:snapToGrid w:val="0"/>
              <w:ind w:firstLine="422"/>
              <w:rPr>
                <w:rFonts w:ascii="仿宋" w:hAnsi="仿宋" w:eastAsia="仿宋" w:cs="仿宋"/>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9" w:hRule="atLeast"/>
          <w:jc w:val="center"/>
        </w:trPr>
        <w:tc>
          <w:tcPr>
            <w:tcW w:w="1882" w:type="dxa"/>
            <w:vAlign w:val="center"/>
          </w:tcPr>
          <w:p>
            <w:pPr>
              <w:outlineLvl w:val="0"/>
              <w:rPr>
                <w:rFonts w:ascii="仿宋" w:hAnsi="仿宋" w:eastAsia="仿宋" w:cs="仿宋"/>
                <w:b/>
                <w:color w:val="000000"/>
                <w:szCs w:val="21"/>
              </w:rPr>
            </w:pPr>
            <w:r>
              <w:rPr>
                <w:rFonts w:hint="eastAsia" w:ascii="仿宋" w:hAnsi="仿宋" w:eastAsia="仿宋" w:cs="仿宋"/>
                <w:color w:val="000000"/>
                <w:szCs w:val="21"/>
              </w:rPr>
              <w:t>疾病精细化管理路径梳理支撑能力（18分）</w:t>
            </w:r>
          </w:p>
        </w:tc>
        <w:tc>
          <w:tcPr>
            <w:tcW w:w="7117" w:type="dxa"/>
            <w:vAlign w:val="center"/>
          </w:tcPr>
          <w:p>
            <w:pPr>
              <w:outlineLvl w:val="0"/>
              <w:rPr>
                <w:rFonts w:ascii="仿宋" w:hAnsi="仿宋" w:eastAsia="仿宋" w:cs="仿宋"/>
                <w:color w:val="000000"/>
                <w:szCs w:val="21"/>
              </w:rPr>
            </w:pPr>
            <w:r>
              <w:rPr>
                <w:rFonts w:hint="eastAsia" w:ascii="仿宋" w:hAnsi="仿宋" w:eastAsia="仿宋" w:cs="仿宋"/>
                <w:color w:val="000000"/>
                <w:szCs w:val="21"/>
              </w:rPr>
              <w:t>1.具有完整详细的疾病诊后精细化管理服务方案的支撑能力，要求提供慢性病、手术后患者、恶性肿瘤等各一个病种的具体管理内容，包括具体病情随访表单内容、时间计划、方式方法等；根据投标文件中上述每个疾病管理服务路径的完整性、执行性打分，优6~4.1分；良4.0~2.1分；一般2.0~0.1分。</w:t>
            </w:r>
          </w:p>
          <w:p>
            <w:pPr>
              <w:outlineLvl w:val="0"/>
              <w:rPr>
                <w:rFonts w:ascii="仿宋" w:hAnsi="仿宋" w:eastAsia="仿宋" w:cs="仿宋"/>
                <w:color w:val="000000"/>
                <w:szCs w:val="21"/>
              </w:rPr>
            </w:pPr>
            <w:r>
              <w:rPr>
                <w:rFonts w:hint="eastAsia" w:ascii="仿宋" w:hAnsi="仿宋" w:eastAsia="仿宋" w:cs="仿宋"/>
                <w:color w:val="000000"/>
                <w:szCs w:val="21"/>
              </w:rPr>
              <w:t>2.投标文件要求的必备的3个疾病（</w:t>
            </w:r>
            <w:r>
              <w:rPr>
                <w:rFonts w:hint="eastAsia" w:ascii="仿宋" w:hAnsi="仿宋" w:eastAsia="仿宋" w:cs="仿宋"/>
                <w:sz w:val="24"/>
              </w:rPr>
              <w:t>高血压、糖尿病、肿瘤术后</w:t>
            </w:r>
            <w:r>
              <w:rPr>
                <w:rFonts w:hint="eastAsia" w:ascii="仿宋" w:hAnsi="仿宋" w:eastAsia="仿宋" w:cs="仿宋"/>
                <w:color w:val="000000"/>
                <w:szCs w:val="21"/>
              </w:rPr>
              <w:t>）管理路径，根据提供的路径疾病管理路径具体内容的精准性、可操作性进行评审，优6~4.1分；良4.0~2.1分；一般2.0~0.1分。</w:t>
            </w:r>
          </w:p>
          <w:p>
            <w:pPr>
              <w:outlineLvl w:val="0"/>
              <w:rPr>
                <w:rFonts w:ascii="仿宋" w:hAnsi="仿宋" w:eastAsia="仿宋" w:cs="仿宋"/>
                <w:color w:val="000000"/>
                <w:szCs w:val="21"/>
              </w:rPr>
            </w:pPr>
            <w:r>
              <w:rPr>
                <w:rFonts w:hint="eastAsia" w:ascii="仿宋" w:hAnsi="仿宋" w:eastAsia="仿宋" w:cs="仿宋"/>
                <w:color w:val="000000"/>
                <w:szCs w:val="21"/>
              </w:rPr>
              <w:t>需提供在三级医院的临床实践材料，包括执行医院、科室或病区主任确认签字并盖章的管理路径证明材料等复印件加盖公章。不提供不得分。</w:t>
            </w:r>
          </w:p>
          <w:p>
            <w:pPr>
              <w:outlineLvl w:val="0"/>
              <w:rPr>
                <w:rFonts w:ascii="仿宋" w:hAnsi="仿宋" w:eastAsia="仿宋" w:cs="仿宋"/>
                <w:color w:val="000000"/>
                <w:szCs w:val="21"/>
              </w:rPr>
            </w:pPr>
            <w:r>
              <w:rPr>
                <w:rFonts w:hint="eastAsia" w:ascii="仿宋" w:hAnsi="仿宋" w:eastAsia="仿宋" w:cs="仿宋"/>
                <w:color w:val="000000"/>
                <w:szCs w:val="21"/>
              </w:rPr>
              <w:t>3.在投标文件要求的必备的3个疾病管理路径基础上，提供其他病种的执行性比较高的疾病管理服务路径，每提供一个加2分，最多不超过6分。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1882" w:type="dxa"/>
            <w:vAlign w:val="center"/>
          </w:tcPr>
          <w:p>
            <w:pPr>
              <w:jc w:val="left"/>
              <w:outlineLvl w:val="0"/>
              <w:rPr>
                <w:rFonts w:ascii="仿宋" w:hAnsi="仿宋" w:eastAsia="仿宋" w:cs="仿宋"/>
                <w:color w:val="000000"/>
                <w:szCs w:val="21"/>
              </w:rPr>
            </w:pPr>
            <w:r>
              <w:rPr>
                <w:rFonts w:hint="eastAsia" w:ascii="仿宋" w:hAnsi="仿宋" w:eastAsia="仿宋" w:cs="仿宋"/>
                <w:color w:val="000000"/>
                <w:szCs w:val="21"/>
              </w:rPr>
              <w:t>项目团队</w:t>
            </w:r>
          </w:p>
          <w:p>
            <w:pPr>
              <w:jc w:val="left"/>
              <w:outlineLvl w:val="0"/>
              <w:rPr>
                <w:rFonts w:ascii="仿宋" w:hAnsi="仿宋" w:eastAsia="仿宋" w:cs="仿宋"/>
                <w:b/>
                <w:color w:val="FF0000"/>
                <w:szCs w:val="21"/>
              </w:rPr>
            </w:pPr>
            <w:r>
              <w:rPr>
                <w:rFonts w:hint="eastAsia" w:ascii="仿宋" w:hAnsi="仿宋" w:eastAsia="仿宋" w:cs="仿宋"/>
                <w:color w:val="000000"/>
                <w:szCs w:val="21"/>
              </w:rPr>
              <w:t>（8分）</w:t>
            </w:r>
          </w:p>
        </w:tc>
        <w:tc>
          <w:tcPr>
            <w:tcW w:w="7117" w:type="dxa"/>
            <w:vAlign w:val="center"/>
          </w:tcPr>
          <w:p>
            <w:pPr>
              <w:pStyle w:val="4"/>
              <w:numPr>
                <w:ilvl w:val="255"/>
                <w:numId w:val="0"/>
              </w:numPr>
              <w:adjustRightInd w:val="0"/>
              <w:snapToGrid w:val="0"/>
              <w:rPr>
                <w:rFonts w:ascii="仿宋" w:hAnsi="仿宋" w:eastAsia="仿宋" w:cs="仿宋"/>
                <w:color w:val="000000"/>
                <w:szCs w:val="21"/>
              </w:rPr>
            </w:pPr>
            <w:r>
              <w:rPr>
                <w:rFonts w:hint="eastAsia" w:ascii="仿宋" w:hAnsi="仿宋" w:eastAsia="仿宋" w:cs="仿宋"/>
                <w:color w:val="000000"/>
                <w:kern w:val="0"/>
                <w:sz w:val="24"/>
              </w:rPr>
              <w:t>1</w:t>
            </w:r>
            <w:r>
              <w:rPr>
                <w:rFonts w:hint="eastAsia" w:ascii="仿宋" w:hAnsi="仿宋" w:eastAsia="仿宋" w:cs="仿宋"/>
                <w:color w:val="000000"/>
                <w:szCs w:val="21"/>
              </w:rPr>
              <w:t>.项目负责人能力评价：项目负责人具有医师或护师资格证且有三级医院工作经验的得2分，否则不得分。</w:t>
            </w:r>
          </w:p>
          <w:p>
            <w:pPr>
              <w:pStyle w:val="4"/>
              <w:numPr>
                <w:ilvl w:val="255"/>
                <w:numId w:val="0"/>
              </w:numPr>
              <w:adjustRightInd w:val="0"/>
              <w:snapToGrid w:val="0"/>
              <w:rPr>
                <w:rFonts w:ascii="仿宋" w:hAnsi="仿宋" w:eastAsia="仿宋" w:cs="仿宋"/>
                <w:color w:val="000000"/>
                <w:szCs w:val="21"/>
              </w:rPr>
            </w:pPr>
            <w:r>
              <w:rPr>
                <w:rFonts w:hint="eastAsia" w:ascii="仿宋" w:hAnsi="仿宋" w:eastAsia="仿宋" w:cs="仿宋"/>
                <w:color w:val="000000"/>
                <w:szCs w:val="21"/>
              </w:rPr>
              <w:t>项目负责人需提供近3个月社保缴纳证明及相关证明材料，提供复印件的须加盖投标人公章，不提供证明材料不得分。</w:t>
            </w:r>
          </w:p>
          <w:p>
            <w:pPr>
              <w:rPr>
                <w:rFonts w:ascii="仿宋" w:hAnsi="仿宋" w:eastAsia="仿宋" w:cs="仿宋"/>
                <w:color w:val="000000"/>
                <w:szCs w:val="21"/>
              </w:rPr>
            </w:pPr>
            <w:r>
              <w:rPr>
                <w:rFonts w:hint="eastAsia" w:ascii="仿宋" w:hAnsi="仿宋" w:eastAsia="仿宋" w:cs="仿宋"/>
                <w:color w:val="000000"/>
                <w:szCs w:val="21"/>
              </w:rPr>
              <w:t>2.项目工作人员团队能力评价：诊后疾病精细化管理服务路径内容梳理团队人数至少为10人，团队中需包括医师、营养师、健康管理师、护师等人员。根据提供的项目工作人员的人员配置方案进行综合评审，优6~4.1分；良4.0~2.1分；一般2.0~0.1分。</w:t>
            </w:r>
          </w:p>
          <w:p>
            <w:pPr>
              <w:pStyle w:val="4"/>
              <w:adjustRightInd w:val="0"/>
              <w:snapToGrid w:val="0"/>
              <w:outlineLvl w:val="0"/>
              <w:rPr>
                <w:rFonts w:ascii="仿宋" w:hAnsi="仿宋" w:eastAsia="仿宋" w:cs="仿宋"/>
                <w:color w:val="000000"/>
                <w:szCs w:val="21"/>
              </w:rPr>
            </w:pPr>
            <w:r>
              <w:rPr>
                <w:rFonts w:hint="eastAsia" w:ascii="仿宋" w:hAnsi="仿宋" w:eastAsia="仿宋" w:cs="仿宋"/>
                <w:color w:val="000000"/>
                <w:szCs w:val="21"/>
              </w:rPr>
              <w:t>项目工作人员需提供近3个月社保缴纳证明及相关证明材料，提供复印件的须加盖投标人公章，不提供证明材料不得分。</w:t>
            </w:r>
          </w:p>
          <w:p>
            <w:pPr>
              <w:pStyle w:val="4"/>
              <w:numPr>
                <w:ilvl w:val="255"/>
                <w:numId w:val="0"/>
              </w:numPr>
              <w:adjustRightInd w:val="0"/>
              <w:snapToGrid w:val="0"/>
              <w:rPr>
                <w:rFonts w:ascii="仿宋" w:hAnsi="仿宋" w:eastAsia="仿宋" w:cs="仿宋"/>
                <w:color w:val="000000"/>
                <w:szCs w:val="21"/>
              </w:rPr>
            </w:pPr>
            <w:r>
              <w:rPr>
                <w:rFonts w:hint="eastAsia" w:ascii="仿宋" w:hAnsi="仿宋" w:eastAsia="仿宋" w:cs="仿宋"/>
                <w:color w:val="000000"/>
                <w:szCs w:val="21"/>
              </w:rPr>
              <w:t>注：需提供近3个月社保缴纳证明及相关证明材料，提供复印件的须加盖投标人公章，不提供证明材料不得分。</w:t>
            </w:r>
          </w:p>
          <w:p>
            <w:pPr>
              <w:rPr>
                <w:rFonts w:ascii="仿宋" w:hAnsi="仿宋" w:eastAsia="仿宋" w:cs="仿宋"/>
                <w:b/>
                <w:color w:val="FF0000"/>
                <w:szCs w:val="21"/>
              </w:rPr>
            </w:pPr>
          </w:p>
        </w:tc>
      </w:tr>
    </w:tbl>
    <w:p>
      <w:pPr>
        <w:spacing w:line="440" w:lineRule="exact"/>
        <w:rPr>
          <w:rFonts w:ascii="仿宋" w:hAnsi="仿宋" w:eastAsia="仿宋" w:cs="仿宋"/>
          <w:b/>
          <w:bCs/>
          <w:iCs/>
          <w:sz w:val="24"/>
        </w:rPr>
      </w:pPr>
      <w:r>
        <w:rPr>
          <w:rFonts w:hint="eastAsia" w:ascii="仿宋" w:hAnsi="仿宋" w:eastAsia="仿宋" w:cs="仿宋"/>
          <w:b/>
          <w:bCs/>
          <w:iCs/>
          <w:sz w:val="24"/>
        </w:rPr>
        <w:t>2.2价格分（30分）</w:t>
      </w:r>
    </w:p>
    <w:p>
      <w:pPr>
        <w:spacing w:line="440" w:lineRule="exact"/>
        <w:rPr>
          <w:rFonts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pPr>
        <w:spacing w:line="440" w:lineRule="exact"/>
        <w:rPr>
          <w:rFonts w:ascii="仿宋" w:hAnsi="仿宋" w:eastAsia="仿宋" w:cs="仿宋"/>
          <w:bCs/>
          <w:iCs/>
          <w:sz w:val="24"/>
        </w:rPr>
      </w:pPr>
      <w:r>
        <w:rPr>
          <w:rFonts w:hint="eastAsia" w:ascii="仿宋" w:hAnsi="仿宋" w:eastAsia="仿宋" w:cs="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rPr>
      </w:pPr>
      <w:r>
        <w:rPr>
          <w:rFonts w:hint="eastAsia" w:ascii="仿宋" w:hAnsi="仿宋" w:eastAsia="仿宋" w:cs="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rPr>
      </w:pPr>
      <w:r>
        <w:rPr>
          <w:rFonts w:hint="eastAsia" w:ascii="仿宋" w:hAnsi="仿宋" w:eastAsia="仿宋" w:cs="仿宋"/>
          <w:bCs/>
          <w:iCs/>
          <w:sz w:val="24"/>
        </w:rPr>
        <w:t>即：投标报价得分=(评标基准价／投标报价)×30</w:t>
      </w:r>
    </w:p>
    <w:bookmarkEnd w:id="10"/>
    <w:bookmarkEnd w:id="11"/>
    <w:bookmarkEnd w:id="12"/>
    <w:bookmarkEnd w:id="13"/>
    <w:p>
      <w:pPr>
        <w:pageBreakBefore/>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36"/>
        </w:rPr>
        <w:t>投标文件</w:t>
      </w:r>
      <w:r>
        <w:rPr>
          <w:rFonts w:hint="eastAsia" w:ascii="仿宋" w:hAnsi="仿宋" w:eastAsia="仿宋" w:cs="仿宋"/>
          <w:b/>
          <w:sz w:val="36"/>
          <w:szCs w:val="20"/>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投标人按照以下格式编制投标文件，并将商务技术（资信）文件、报价文件分别编制成册。</w:t>
      </w: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（2）开标一览表……………………………………………………（页码）</w:t>
      </w:r>
    </w:p>
    <w:p>
      <w:pPr>
        <w:pStyle w:val="19"/>
        <w:spacing w:line="800" w:lineRule="atLeast"/>
        <w:ind w:left="0" w:leftChars="0"/>
        <w:rPr>
          <w:rFonts w:ascii="仿宋" w:hAnsi="仿宋" w:eastAsia="仿宋" w:cs="仿宋"/>
          <w:b/>
          <w:sz w:val="36"/>
          <w:szCs w:val="36"/>
        </w:rPr>
      </w:pPr>
    </w:p>
    <w:p>
      <w:pPr>
        <w:pStyle w:val="19"/>
        <w:spacing w:line="800" w:lineRule="atLeast"/>
        <w:ind w:left="0" w:leftChars="0"/>
        <w:rPr>
          <w:rFonts w:ascii="仿宋" w:hAnsi="仿宋" w:eastAsia="仿宋" w:cs="仿宋"/>
          <w:b/>
          <w:sz w:val="36"/>
          <w:szCs w:val="36"/>
        </w:rPr>
      </w:pPr>
    </w:p>
    <w:p>
      <w:pPr>
        <w:pStyle w:val="19"/>
        <w:spacing w:line="800" w:lineRule="atLeast"/>
        <w:ind w:left="0" w:leftChars="0"/>
        <w:rPr>
          <w:rFonts w:ascii="仿宋" w:hAnsi="仿宋" w:eastAsia="仿宋" w:cs="仿宋"/>
          <w:b/>
          <w:sz w:val="36"/>
          <w:szCs w:val="36"/>
        </w:rPr>
      </w:pPr>
    </w:p>
    <w:p>
      <w:pPr>
        <w:rPr>
          <w:rFonts w:ascii="仿宋" w:hAnsi="仿宋" w:eastAsia="仿宋" w:cs="仿宋"/>
          <w:b/>
          <w:sz w:val="30"/>
          <w:szCs w:val="30"/>
        </w:rPr>
      </w:pPr>
    </w:p>
    <w:p>
      <w:pPr>
        <w:rPr>
          <w:rFonts w:ascii="仿宋" w:hAnsi="仿宋" w:eastAsia="仿宋" w:cs="仿宋"/>
          <w:b/>
          <w:sz w:val="30"/>
          <w:szCs w:val="30"/>
        </w:rPr>
      </w:pPr>
    </w:p>
    <w:p>
      <w:pPr>
        <w:pageBreakBefore/>
        <w:rPr>
          <w:rFonts w:ascii="仿宋" w:hAnsi="仿宋" w:eastAsia="仿宋" w:cs="仿宋"/>
          <w:b/>
          <w:sz w:val="30"/>
          <w:szCs w:val="30"/>
        </w:rPr>
      </w:pPr>
      <w:r>
        <w:rPr>
          <w:rFonts w:hint="eastAsia" w:ascii="仿宋" w:hAnsi="仿宋" w:eastAsia="仿宋" w:cs="仿宋"/>
          <w:b/>
          <w:sz w:val="30"/>
          <w:szCs w:val="30"/>
        </w:rPr>
        <w:t>1、投标响应函（格式）</w:t>
      </w:r>
    </w:p>
    <w:p>
      <w:pPr>
        <w:pStyle w:val="69"/>
        <w:spacing w:afterLines="0" w:line="440" w:lineRule="exact"/>
        <w:ind w:firstLine="0" w:firstLineChars="0"/>
        <w:rPr>
          <w:rFonts w:ascii="仿宋" w:hAnsi="仿宋" w:eastAsia="仿宋" w:cs="仿宋"/>
          <w:szCs w:val="24"/>
        </w:rPr>
      </w:pPr>
    </w:p>
    <w:p>
      <w:pPr>
        <w:pStyle w:val="6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绍兴市人民医院、华诚工程咨询集团有限公司</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填写招标编号：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我方已完全明白招标文件的所有条款要求，兹声明同意如下：</w:t>
      </w:r>
    </w:p>
    <w:p>
      <w:pPr>
        <w:pStyle w:val="12"/>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rPr>
        <w:t>我方同意在投标人</w:t>
      </w:r>
      <w:r>
        <w:rPr>
          <w:rFonts w:hint="eastAsia" w:ascii="仿宋" w:hAnsi="仿宋" w:eastAsia="仿宋" w:cs="仿宋"/>
          <w:kern w:val="44"/>
        </w:rPr>
        <w:t>须知</w:t>
      </w:r>
      <w:r>
        <w:rPr>
          <w:rFonts w:hint="eastAsia" w:ascii="仿宋" w:hAnsi="仿宋" w:eastAsia="仿宋" w:cs="仿宋"/>
        </w:rPr>
        <w:t>规定的开标日期起遵守本投标文件中的承诺且在投标有效期满之前均具有约束力</w:t>
      </w:r>
      <w:r>
        <w:rPr>
          <w:rFonts w:hint="eastAsia" w:ascii="仿宋" w:hAnsi="仿宋" w:eastAsia="仿宋" w:cs="仿宋"/>
          <w:szCs w:val="24"/>
        </w:rPr>
        <w:t>。</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pPr>
        <w:pStyle w:val="69"/>
        <w:spacing w:afterLines="0" w:line="440" w:lineRule="exact"/>
        <w:ind w:firstLine="480"/>
        <w:rPr>
          <w:rFonts w:ascii="仿宋" w:hAnsi="仿宋" w:eastAsia="仿宋" w:cs="仿宋"/>
        </w:rPr>
      </w:pPr>
      <w:r>
        <w:rPr>
          <w:rFonts w:hint="eastAsia" w:ascii="仿宋" w:hAnsi="仿宋" w:eastAsia="仿宋" w:cs="仿宋"/>
          <w:szCs w:val="24"/>
        </w:rPr>
        <w:t>3.</w:t>
      </w:r>
      <w:r>
        <w:rPr>
          <w:rFonts w:hint="eastAsia" w:ascii="仿宋" w:hAnsi="仿宋" w:eastAsia="仿宋" w:cs="仿宋"/>
        </w:rPr>
        <w:t>本公司投标文件中填列的技术参数、配置、服务、数量等相关内容都是真实、准确的。保证在本次项目中所提供的资料全部真实和合法。同意向华诚工程咨询集团有限公司提供可能另外要求的与投标有关的任何数据或资料。</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pPr>
        <w:pStyle w:val="12"/>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5.</w:t>
      </w:r>
      <w:r>
        <w:rPr>
          <w:rFonts w:hint="eastAsia" w:ascii="仿宋" w:hAnsi="仿宋" w:eastAsia="仿宋" w:cs="仿宋"/>
          <w:szCs w:val="24"/>
        </w:rPr>
        <w:t>本投标自开标之日（投标截止之日）起90天内有效。</w:t>
      </w:r>
    </w:p>
    <w:p>
      <w:pPr>
        <w:pStyle w:val="69"/>
        <w:spacing w:afterLines="0" w:line="440" w:lineRule="exact"/>
        <w:ind w:firstLine="480"/>
        <w:rPr>
          <w:rFonts w:ascii="仿宋" w:hAnsi="仿宋" w:eastAsia="仿宋" w:cs="仿宋"/>
        </w:rPr>
      </w:pPr>
      <w:r>
        <w:rPr>
          <w:rFonts w:hint="eastAsia" w:ascii="仿宋" w:hAnsi="仿宋" w:eastAsia="仿宋" w:cs="仿宋"/>
          <w:szCs w:val="24"/>
        </w:rPr>
        <w:t>6</w:t>
      </w:r>
      <w:r>
        <w:rPr>
          <w:rFonts w:hint="eastAsia" w:ascii="仿宋" w:hAnsi="仿宋" w:eastAsia="仿宋" w:cs="仿宋"/>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　　　　　　　　　　　　　　　邮政编码：</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电话：                              传真：</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开户银行：                          帐号：</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法定代表人或其授权代表(签字或盖章)：</w:t>
      </w:r>
    </w:p>
    <w:p>
      <w:pPr>
        <w:pStyle w:val="69"/>
        <w:spacing w:afterLines="0" w:line="440" w:lineRule="exact"/>
        <w:ind w:firstLine="480"/>
        <w:rPr>
          <w:rFonts w:ascii="仿宋" w:hAnsi="仿宋" w:eastAsia="仿宋" w:cs="仿宋"/>
          <w:b/>
          <w:sz w:val="30"/>
          <w:szCs w:val="30"/>
        </w:rPr>
      </w:pPr>
      <w:r>
        <w:rPr>
          <w:rFonts w:hint="eastAsia" w:ascii="仿宋" w:hAnsi="仿宋" w:eastAsia="仿宋" w:cs="仿宋"/>
          <w:szCs w:val="24"/>
        </w:rPr>
        <w:t xml:space="preserve">投标人(公章)：　　　　　　　　　日期：   </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2、开标一览表（格式）</w:t>
      </w: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p>
    <w:p>
      <w:pPr>
        <w:spacing w:line="440" w:lineRule="exact"/>
        <w:jc w:val="left"/>
        <w:rPr>
          <w:rFonts w:ascii="仿宋" w:hAnsi="仿宋" w:eastAsia="仿宋" w:cs="仿宋"/>
          <w:sz w:val="24"/>
        </w:rPr>
      </w:pPr>
      <w:r>
        <w:rPr>
          <w:rFonts w:hint="eastAsia" w:ascii="仿宋" w:hAnsi="仿宋" w:eastAsia="仿宋" w:cs="仿宋"/>
          <w:sz w:val="24"/>
        </w:rPr>
        <w:t xml:space="preserve">   单位：/</w:t>
      </w:r>
    </w:p>
    <w:tbl>
      <w:tblPr>
        <w:tblStyle w:val="4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3287"/>
        <w:gridCol w:w="2937"/>
        <w:gridCol w:w="20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47" w:type="dxa"/>
            <w:vAlign w:val="center"/>
          </w:tcPr>
          <w:p>
            <w:pPr>
              <w:tabs>
                <w:tab w:val="left" w:pos="540"/>
              </w:tabs>
              <w:adjustRightInd w:val="0"/>
              <w:snapToGrid w:val="0"/>
              <w:jc w:val="center"/>
              <w:rPr>
                <w:rFonts w:ascii="仿宋" w:hAnsi="仿宋" w:eastAsia="仿宋" w:cs="仿宋"/>
                <w:spacing w:val="20"/>
                <w:szCs w:val="21"/>
              </w:rPr>
            </w:pPr>
            <w:r>
              <w:rPr>
                <w:rFonts w:hint="eastAsia" w:ascii="仿宋" w:hAnsi="仿宋" w:eastAsia="仿宋" w:cs="仿宋"/>
                <w:spacing w:val="20"/>
                <w:szCs w:val="21"/>
              </w:rPr>
              <w:t>标段</w:t>
            </w:r>
          </w:p>
        </w:tc>
        <w:tc>
          <w:tcPr>
            <w:tcW w:w="3287" w:type="dxa"/>
            <w:tcBorders>
              <w:right w:val="single" w:color="auto" w:sz="4" w:space="0"/>
            </w:tcBorders>
            <w:vAlign w:val="center"/>
          </w:tcPr>
          <w:p>
            <w:pPr>
              <w:spacing w:line="360" w:lineRule="auto"/>
              <w:ind w:left="418" w:leftChars="199" w:firstLine="480" w:firstLineChars="200"/>
              <w:rPr>
                <w:rFonts w:ascii="仿宋" w:hAnsi="仿宋" w:eastAsia="仿宋" w:cs="仿宋"/>
                <w:sz w:val="24"/>
              </w:rPr>
            </w:pPr>
            <w:r>
              <w:rPr>
                <w:rFonts w:hint="eastAsia" w:ascii="仿宋" w:hAnsi="仿宋" w:eastAsia="仿宋" w:cs="仿宋"/>
                <w:sz w:val="24"/>
              </w:rPr>
              <w:t>标段名称</w:t>
            </w:r>
          </w:p>
        </w:tc>
        <w:tc>
          <w:tcPr>
            <w:tcW w:w="2937" w:type="dxa"/>
            <w:tcBorders>
              <w:left w:val="single" w:color="auto" w:sz="4" w:space="0"/>
            </w:tcBorders>
            <w:vAlign w:val="center"/>
          </w:tcPr>
          <w:p>
            <w:pPr>
              <w:adjustRightInd w:val="0"/>
              <w:snapToGrid w:val="0"/>
              <w:ind w:left="-107" w:leftChars="-51" w:right="-107" w:rightChars="-51"/>
              <w:jc w:val="center"/>
              <w:rPr>
                <w:rFonts w:ascii="仿宋" w:hAnsi="仿宋" w:eastAsia="仿宋" w:cs="仿宋"/>
                <w:spacing w:val="20"/>
                <w:szCs w:val="21"/>
              </w:rPr>
            </w:pPr>
            <w:r>
              <w:rPr>
                <w:rFonts w:hint="eastAsia" w:ascii="仿宋" w:hAnsi="仿宋" w:eastAsia="仿宋" w:cs="仿宋"/>
                <w:spacing w:val="20"/>
                <w:szCs w:val="21"/>
              </w:rPr>
              <w:t>服务的提供商</w:t>
            </w:r>
          </w:p>
        </w:tc>
        <w:tc>
          <w:tcPr>
            <w:tcW w:w="2009" w:type="dxa"/>
            <w:tcBorders>
              <w:righ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投标折扣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1</w:t>
            </w:r>
          </w:p>
        </w:tc>
        <w:tc>
          <w:tcPr>
            <w:tcW w:w="3287" w:type="dxa"/>
            <w:tcBorders>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绍兴市人民医院患者疾病诊后精细化管理外包服务项目</w:t>
            </w:r>
          </w:p>
        </w:tc>
        <w:tc>
          <w:tcPr>
            <w:tcW w:w="2937"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2009" w:type="dxa"/>
            <w:tcBorders>
              <w:right w:val="single" w:color="auto" w:sz="4" w:space="0"/>
            </w:tcBorders>
            <w:vAlign w:val="center"/>
          </w:tcPr>
          <w:p>
            <w:pPr>
              <w:adjustRightInd w:val="0"/>
              <w:snapToGrid w:val="0"/>
              <w:ind w:right="172" w:rightChars="82" w:firstLine="484" w:firstLineChars="202"/>
              <w:rPr>
                <w:rFonts w:ascii="仿宋" w:hAnsi="仿宋" w:eastAsia="仿宋" w:cs="仿宋"/>
                <w:spacing w:val="20"/>
                <w:szCs w:val="21"/>
              </w:rPr>
            </w:pPr>
            <w:r>
              <w:rPr>
                <w:rFonts w:hint="eastAsia" w:ascii="仿宋" w:hAnsi="仿宋" w:eastAsia="仿宋" w:cs="仿宋"/>
                <w:sz w:val="24"/>
              </w:rPr>
              <w:t>%</w:t>
            </w:r>
          </w:p>
        </w:tc>
      </w:tr>
    </w:tbl>
    <w:p>
      <w:pPr>
        <w:spacing w:line="360" w:lineRule="auto"/>
        <w:ind w:left="418" w:leftChars="199"/>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rPr>
        <w:sym w:font="Wingdings" w:char="F0AB"/>
      </w:r>
      <w:r>
        <w:rPr>
          <w:rFonts w:hint="eastAsia" w:ascii="仿宋" w:hAnsi="仿宋" w:eastAsia="仿宋" w:cs="仿宋"/>
          <w:sz w:val="24"/>
        </w:rPr>
        <w:t>1.投标折扣不高于70%，否则视作无效投标。</w:t>
      </w:r>
    </w:p>
    <w:p>
      <w:pPr>
        <w:spacing w:line="360" w:lineRule="auto"/>
        <w:ind w:left="418" w:leftChars="199" w:firstLine="480" w:firstLineChars="200"/>
        <w:rPr>
          <w:rFonts w:ascii="仿宋" w:hAnsi="仿宋" w:eastAsia="仿宋" w:cs="仿宋"/>
          <w:sz w:val="24"/>
        </w:rPr>
      </w:pPr>
      <w:r>
        <w:rPr>
          <w:rFonts w:hint="eastAsia" w:ascii="仿宋" w:hAnsi="仿宋" w:eastAsia="仿宋" w:cs="仿宋"/>
          <w:sz w:val="24"/>
        </w:rPr>
        <w:t xml:space="preserve"> 2.结算按实际服务套餐数量和套餐收费单价及折扣计算（服务套餐数量*单价*中标折扣）。</w:t>
      </w:r>
    </w:p>
    <w:p>
      <w:pPr>
        <w:snapToGrid w:val="0"/>
        <w:ind w:firstLine="960" w:firstLineChars="400"/>
        <w:jc w:val="left"/>
        <w:rPr>
          <w:rFonts w:ascii="仿宋" w:hAnsi="仿宋" w:eastAsia="仿宋" w:cs="仿宋"/>
          <w:sz w:val="24"/>
        </w:rPr>
      </w:pPr>
      <w:r>
        <w:rPr>
          <w:rFonts w:hint="eastAsia" w:ascii="仿宋" w:hAnsi="仿宋" w:eastAsia="仿宋" w:cs="仿宋"/>
          <w:sz w:val="24"/>
        </w:rPr>
        <w:t>3.报价一经涂改，应在涂改处加盖单位公章或者由法定代表人或其授权代表签字或盖章，否则其投标作无效投标处理。</w:t>
      </w:r>
    </w:p>
    <w:p>
      <w:pPr>
        <w:snapToGrid w:val="0"/>
        <w:ind w:firstLine="960" w:firstLineChars="400"/>
        <w:jc w:val="left"/>
        <w:rPr>
          <w:rFonts w:ascii="仿宋" w:hAnsi="仿宋" w:eastAsia="仿宋" w:cs="仿宋"/>
          <w:sz w:val="24"/>
        </w:rPr>
      </w:pPr>
      <w:r>
        <w:rPr>
          <w:rFonts w:hint="eastAsia" w:ascii="仿宋" w:hAnsi="仿宋" w:eastAsia="仿宋" w:cs="仿宋"/>
          <w:sz w:val="24"/>
        </w:rPr>
        <w:t>4.招标人不接受某一标项中有2个(含)以上的报价或方案，若投标人在此表中有2个（含）以上的报价或方案，其投标作无效投标处理。</w:t>
      </w:r>
    </w:p>
    <w:p>
      <w:pPr>
        <w:ind w:left="-2" w:leftChars="-1" w:firstLine="960" w:firstLineChars="400"/>
        <w:rPr>
          <w:rFonts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.投标人需按本表格式填写，如无对应内容，则填写：“无或/”。</w:t>
      </w:r>
    </w:p>
    <w:p>
      <w:pPr>
        <w:snapToGrid w:val="0"/>
        <w:ind w:firstLine="960" w:firstLineChars="400"/>
        <w:jc w:val="left"/>
        <w:rPr>
          <w:rFonts w:ascii="仿宋" w:hAnsi="仿宋" w:eastAsia="仿宋" w:cs="仿宋"/>
          <w:sz w:val="24"/>
        </w:rPr>
      </w:pPr>
      <w:r>
        <w:rPr>
          <w:rFonts w:hint="eastAsia" w:ascii="仿宋" w:hAnsi="仿宋" w:eastAsia="仿宋" w:cs="仿宋"/>
          <w:sz w:val="24"/>
        </w:rPr>
        <w:t>6.报价包含产品材料费用、运输费（含装卸费）、劳务费、税费、保险费等所有费用。</w:t>
      </w:r>
    </w:p>
    <w:p>
      <w:pPr>
        <w:snapToGrid w:val="0"/>
        <w:ind w:left="886" w:leftChars="197" w:hanging="472" w:hangingChars="196"/>
        <w:jc w:val="left"/>
        <w:rPr>
          <w:rFonts w:ascii="仿宋" w:hAnsi="仿宋" w:eastAsia="仿宋" w:cs="仿宋"/>
          <w:b/>
          <w:kern w:val="0"/>
          <w:sz w:val="24"/>
        </w:rPr>
      </w:pPr>
    </w:p>
    <w:p>
      <w:pPr>
        <w:ind w:firstLine="482" w:firstLineChars="200"/>
        <w:rPr>
          <w:rFonts w:ascii="仿宋" w:hAnsi="仿宋" w:eastAsia="仿宋" w:cs="仿宋"/>
          <w:b/>
          <w:kern w:val="0"/>
          <w:sz w:val="24"/>
          <w:lang w:val="zh-CN"/>
        </w:rPr>
      </w:pP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rPr>
          <w:rFonts w:ascii="仿宋" w:hAnsi="仿宋" w:eastAsia="仿宋" w:cs="仿宋"/>
          <w:sz w:val="24"/>
        </w:rPr>
      </w:pPr>
      <w:r>
        <w:rPr>
          <w:rFonts w:hint="eastAsia" w:ascii="仿宋" w:hAnsi="仿宋" w:eastAsia="仿宋" w:cs="仿宋"/>
          <w:sz w:val="24"/>
        </w:rPr>
        <w:t>投标人（公章）：</w:t>
      </w:r>
    </w:p>
    <w:p>
      <w:pPr>
        <w:spacing w:line="360" w:lineRule="auto"/>
        <w:outlineLvl w:val="0"/>
        <w:rPr>
          <w:rFonts w:ascii="仿宋" w:hAnsi="仿宋" w:eastAsia="仿宋" w:cs="仿宋"/>
          <w:sz w:val="24"/>
        </w:rPr>
      </w:pPr>
      <w:r>
        <w:rPr>
          <w:rFonts w:hint="eastAsia" w:ascii="仿宋" w:hAnsi="仿宋" w:eastAsia="仿宋" w:cs="仿宋"/>
          <w:sz w:val="24"/>
        </w:rPr>
        <w:t>法定代表人或其授权代表（签字或盖章）：            日期：    年   月   日</w:t>
      </w:r>
    </w:p>
    <w:p>
      <w:pPr>
        <w:pageBreakBefore/>
        <w:rPr>
          <w:rFonts w:ascii="仿宋" w:hAnsi="仿宋" w:eastAsia="仿宋" w:cs="仿宋"/>
          <w:b/>
          <w:sz w:val="32"/>
          <w:szCs w:val="32"/>
        </w:rPr>
        <w:sectPr>
          <w:headerReference r:id="rId6" w:type="default"/>
          <w:footerReference r:id="rId7" w:type="default"/>
          <w:pgSz w:w="11905" w:h="16838"/>
          <w:pgMar w:top="1417" w:right="1417" w:bottom="1417" w:left="1417" w:header="850" w:footer="850" w:gutter="0"/>
          <w:cols w:space="0" w:num="1"/>
          <w:titlePg/>
          <w:docGrid w:linePitch="312" w:charSpace="0"/>
        </w:sectPr>
      </w:pPr>
    </w:p>
    <w:p>
      <w:pPr>
        <w:pageBreakBefore/>
        <w:spacing w:line="800" w:lineRule="exact"/>
        <w:jc w:val="center"/>
        <w:rPr>
          <w:rFonts w:ascii="仿宋" w:hAnsi="仿宋" w:eastAsia="仿宋" w:cs="仿宋"/>
          <w:b/>
          <w:sz w:val="30"/>
          <w:szCs w:val="30"/>
        </w:rPr>
      </w:pPr>
      <w:r>
        <w:rPr>
          <w:rFonts w:hint="eastAsia" w:ascii="仿宋" w:hAnsi="仿宋" w:eastAsia="仿宋" w:cs="仿宋"/>
          <w:b/>
          <w:sz w:val="30"/>
          <w:szCs w:val="30"/>
        </w:rPr>
        <w:t>商务技术（资信）文件部分</w:t>
      </w:r>
    </w:p>
    <w:p>
      <w:pPr>
        <w:snapToGrid w:val="0"/>
        <w:spacing w:beforeLines="50" w:after="50"/>
        <w:rPr>
          <w:rFonts w:ascii="仿宋" w:hAnsi="仿宋" w:eastAsia="仿宋" w:cs="仿宋"/>
          <w:sz w:val="30"/>
          <w:szCs w:val="30"/>
        </w:rPr>
      </w:pPr>
    </w:p>
    <w:p>
      <w:pPr>
        <w:snapToGrid w:val="0"/>
        <w:spacing w:beforeLines="50" w:after="50"/>
        <w:jc w:val="center"/>
        <w:rPr>
          <w:rFonts w:ascii="仿宋" w:hAnsi="仿宋" w:eastAsia="仿宋" w:cs="仿宋"/>
        </w:rPr>
      </w:pPr>
      <w:r>
        <w:rPr>
          <w:rFonts w:hint="eastAsia" w:ascii="仿宋" w:hAnsi="仿宋" w:eastAsia="仿宋" w:cs="仿宋"/>
          <w:sz w:val="30"/>
          <w:szCs w:val="30"/>
        </w:rPr>
        <w:t>目 录</w:t>
      </w:r>
    </w:p>
    <w:p>
      <w:pPr>
        <w:pStyle w:val="193"/>
        <w:spacing w:line="360" w:lineRule="auto"/>
        <w:ind w:left="0" w:firstLine="0" w:firstLineChars="0"/>
        <w:rPr>
          <w:rFonts w:ascii="仿宋" w:eastAsia="仿宋" w:cs="仿宋"/>
        </w:rPr>
      </w:pPr>
      <w:r>
        <w:rPr>
          <w:rFonts w:hint="eastAsia" w:ascii="仿宋" w:eastAsia="仿宋" w:cs="仿宋"/>
        </w:rPr>
        <w:t>（1）法定代表人授权书 …………………………………………………………（页码）</w:t>
      </w:r>
    </w:p>
    <w:p>
      <w:pPr>
        <w:pStyle w:val="193"/>
        <w:spacing w:line="360" w:lineRule="auto"/>
        <w:ind w:left="0" w:firstLine="0" w:firstLineChars="0"/>
        <w:rPr>
          <w:rFonts w:ascii="仿宋" w:eastAsia="仿宋" w:cs="仿宋"/>
        </w:rPr>
      </w:pPr>
      <w:r>
        <w:rPr>
          <w:rFonts w:hint="eastAsia" w:ascii="仿宋" w:eastAsia="仿宋" w:cs="仿宋"/>
        </w:rPr>
        <w:t>（2）授权代表社保证明（复印件）………………………………………………（页码）</w:t>
      </w:r>
    </w:p>
    <w:p>
      <w:pPr>
        <w:pStyle w:val="193"/>
        <w:spacing w:line="360" w:lineRule="auto"/>
        <w:ind w:left="0" w:firstLine="0" w:firstLineChars="0"/>
        <w:rPr>
          <w:rFonts w:ascii="仿宋" w:eastAsia="仿宋" w:cs="仿宋"/>
        </w:rPr>
      </w:pPr>
      <w:r>
        <w:rPr>
          <w:rFonts w:hint="eastAsia" w:ascii="仿宋" w:eastAsia="仿宋" w:cs="仿宋"/>
        </w:rPr>
        <w:t>（3）法定代表人及其授权代表的身份证（复印件）……………………………（页码）</w:t>
      </w:r>
    </w:p>
    <w:p>
      <w:pPr>
        <w:pStyle w:val="193"/>
        <w:spacing w:line="360" w:lineRule="auto"/>
        <w:ind w:left="0" w:firstLine="0" w:firstLineChars="0"/>
        <w:rPr>
          <w:rFonts w:ascii="仿宋" w:eastAsia="仿宋" w:cs="仿宋"/>
        </w:rPr>
      </w:pPr>
      <w:r>
        <w:rPr>
          <w:rFonts w:hint="eastAsia" w:ascii="仿宋" w:eastAsia="仿宋" w:cs="仿宋"/>
        </w:rPr>
        <w:t>（4）法定代表人身份证明书………………………………………………………（页码）</w:t>
      </w:r>
    </w:p>
    <w:p>
      <w:pPr>
        <w:pStyle w:val="193"/>
        <w:spacing w:line="360" w:lineRule="auto"/>
        <w:ind w:left="0" w:firstLine="0" w:firstLineChars="0"/>
        <w:rPr>
          <w:rFonts w:ascii="仿宋" w:eastAsia="仿宋" w:cs="仿宋"/>
        </w:rPr>
      </w:pPr>
      <w:r>
        <w:rPr>
          <w:rFonts w:hint="eastAsia" w:ascii="仿宋" w:eastAsia="仿宋" w:cs="仿宋"/>
        </w:rPr>
        <w:t>（5）资格审查有关的书面承诺函</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（6）符合特定资格条件（如果项目要求）的有关证明材料（复印件）………（页码）</w:t>
      </w:r>
    </w:p>
    <w:p>
      <w:pPr>
        <w:pStyle w:val="193"/>
        <w:spacing w:line="360" w:lineRule="auto"/>
        <w:ind w:left="0" w:firstLine="0" w:firstLineChars="0"/>
        <w:rPr>
          <w:rFonts w:ascii="仿宋" w:eastAsia="仿宋" w:cs="仿宋"/>
        </w:rPr>
      </w:pPr>
      <w:r>
        <w:rPr>
          <w:rFonts w:hint="eastAsia" w:ascii="仿宋" w:eastAsia="仿宋" w:cs="仿宋"/>
        </w:rPr>
        <w:t>（7）投标人售后服务证明材料……………………………………………………（页码）</w:t>
      </w:r>
    </w:p>
    <w:p>
      <w:pPr>
        <w:pStyle w:val="193"/>
        <w:spacing w:line="360" w:lineRule="auto"/>
        <w:ind w:left="0" w:firstLine="0" w:firstLineChars="0"/>
        <w:rPr>
          <w:rFonts w:ascii="仿宋" w:eastAsia="仿宋" w:cs="仿宋"/>
        </w:rPr>
      </w:pPr>
      <w:r>
        <w:rPr>
          <w:rFonts w:hint="eastAsia" w:ascii="仿宋" w:eastAsia="仿宋" w:cs="仿宋"/>
        </w:rPr>
        <w:t>（8）</w:t>
      </w:r>
      <w:r>
        <w:rPr>
          <w:rFonts w:hint="eastAsia" w:ascii="仿宋" w:eastAsia="仿宋" w:cs="仿宋"/>
          <w:lang w:val="zh-CN"/>
        </w:rPr>
        <w:t>主要业绩证明…………………………………………………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（9）廉政承诺书 …………………………………………………………………（页码）</w:t>
      </w:r>
    </w:p>
    <w:p>
      <w:pPr>
        <w:pStyle w:val="193"/>
        <w:spacing w:line="360" w:lineRule="auto"/>
        <w:ind w:left="0" w:firstLine="0" w:firstLineChars="0"/>
        <w:rPr>
          <w:rFonts w:ascii="仿宋" w:eastAsia="仿宋" w:cs="仿宋"/>
        </w:rPr>
      </w:pPr>
      <w:r>
        <w:rPr>
          <w:rFonts w:hint="eastAsia" w:ascii="仿宋" w:eastAsia="仿宋" w:cs="仿宋"/>
        </w:rPr>
        <w:t>（10）技术解决方案………………………………………………………………（页码）</w:t>
      </w:r>
    </w:p>
    <w:p>
      <w:pPr>
        <w:pStyle w:val="193"/>
        <w:spacing w:line="360" w:lineRule="auto"/>
        <w:ind w:left="0" w:firstLine="0" w:firstLineChars="0"/>
        <w:rPr>
          <w:rFonts w:ascii="仿宋" w:eastAsia="仿宋" w:cs="仿宋"/>
        </w:rPr>
      </w:pPr>
      <w:r>
        <w:rPr>
          <w:rFonts w:hint="eastAsia" w:ascii="仿宋" w:eastAsia="仿宋" w:cs="仿宋"/>
        </w:rPr>
        <w:t>（11）技术偏离说明表……………………………………………………………（页码）</w:t>
      </w:r>
    </w:p>
    <w:p>
      <w:pPr>
        <w:pStyle w:val="193"/>
        <w:spacing w:line="360" w:lineRule="auto"/>
        <w:ind w:left="0" w:firstLine="0" w:firstLineChars="0"/>
        <w:rPr>
          <w:rFonts w:ascii="仿宋" w:eastAsia="仿宋" w:cs="仿宋"/>
        </w:rPr>
      </w:pPr>
      <w:r>
        <w:rPr>
          <w:rFonts w:hint="eastAsia" w:ascii="仿宋" w:eastAsia="仿宋" w:cs="仿宋"/>
        </w:rPr>
        <w:t>（12）组织实施方案………………………………………………………………（页码）</w:t>
      </w:r>
    </w:p>
    <w:p>
      <w:pPr>
        <w:pStyle w:val="193"/>
        <w:spacing w:line="360" w:lineRule="auto"/>
        <w:ind w:left="0" w:firstLine="0" w:firstLineChars="0"/>
        <w:rPr>
          <w:rFonts w:ascii="仿宋" w:eastAsia="仿宋" w:cs="仿宋"/>
        </w:rPr>
      </w:pPr>
      <w:r>
        <w:rPr>
          <w:rFonts w:hint="eastAsia" w:ascii="仿宋" w:eastAsia="仿宋" w:cs="仿宋"/>
        </w:rPr>
        <w:t>（13）售后服务方案………………………………………………………………（页码）</w:t>
      </w:r>
    </w:p>
    <w:p>
      <w:pPr>
        <w:pStyle w:val="193"/>
        <w:spacing w:line="360" w:lineRule="auto"/>
        <w:ind w:left="0" w:firstLine="0" w:firstLineChars="0"/>
        <w:rPr>
          <w:rFonts w:ascii="仿宋" w:eastAsia="仿宋" w:cs="仿宋"/>
        </w:rPr>
      </w:pPr>
      <w:r>
        <w:rPr>
          <w:rFonts w:hint="eastAsia" w:ascii="仿宋" w:eastAsia="仿宋" w:cs="仿宋"/>
        </w:rPr>
        <w:t>（14）项目小组人员名单…………………………………………………………（页码）</w:t>
      </w:r>
    </w:p>
    <w:p>
      <w:pPr>
        <w:pStyle w:val="193"/>
        <w:spacing w:line="360" w:lineRule="auto"/>
        <w:ind w:left="0" w:firstLine="0" w:firstLineChars="0"/>
        <w:rPr>
          <w:rFonts w:ascii="仿宋" w:eastAsia="仿宋" w:cs="仿宋"/>
        </w:rPr>
      </w:pPr>
      <w:r>
        <w:rPr>
          <w:rFonts w:hint="eastAsia" w:ascii="仿宋" w:eastAsia="仿宋" w:cs="仿宋"/>
        </w:rPr>
        <w:t>（15）</w:t>
      </w:r>
      <w:r>
        <w:rPr>
          <w:rFonts w:hint="eastAsia" w:ascii="仿宋" w:eastAsia="仿宋" w:cs="仿宋"/>
          <w:lang w:val="zh-CN"/>
        </w:rPr>
        <w:t>优惠条件及特殊承诺……………………………………</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（16）</w:t>
      </w:r>
      <w:r>
        <w:rPr>
          <w:rFonts w:hint="eastAsia" w:ascii="仿宋" w:eastAsia="仿宋" w:cs="仿宋"/>
          <w:lang w:val="zh-CN"/>
        </w:rPr>
        <w:t>培训计划………………………………………………………</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（17）</w:t>
      </w:r>
      <w:r>
        <w:rPr>
          <w:rFonts w:hint="eastAsia" w:ascii="仿宋" w:eastAsia="仿宋" w:cs="仿宋"/>
          <w:lang w:val="zh-CN"/>
        </w:rPr>
        <w:t>验收方案…………………………………………………………</w:t>
      </w:r>
      <w:r>
        <w:rPr>
          <w:rFonts w:hint="eastAsia" w:ascii="仿宋" w:eastAsia="仿宋" w:cs="仿宋"/>
        </w:rPr>
        <w:t>…………（页码）</w:t>
      </w:r>
    </w:p>
    <w:p>
      <w:pPr>
        <w:pStyle w:val="193"/>
        <w:spacing w:line="360" w:lineRule="auto"/>
        <w:ind w:left="0" w:firstLine="0" w:firstLineChars="0"/>
        <w:rPr>
          <w:rFonts w:ascii="仿宋" w:eastAsia="仿宋" w:cs="仿宋"/>
        </w:rPr>
      </w:pPr>
      <w:r>
        <w:rPr>
          <w:rFonts w:hint="eastAsia" w:ascii="仿宋" w:eastAsia="仿宋" w:cs="仿宋"/>
        </w:rPr>
        <w:t>（18）</w:t>
      </w:r>
      <w:r>
        <w:rPr>
          <w:rFonts w:hint="eastAsia" w:ascii="仿宋" w:eastAsia="仿宋" w:cs="仿宋"/>
          <w:lang w:val="zh-CN"/>
        </w:rPr>
        <w:t>认为需要的其他商务技术（资信）文件或说明…………</w:t>
      </w:r>
      <w:r>
        <w:rPr>
          <w:rFonts w:hint="eastAsia" w:ascii="仿宋" w:eastAsia="仿宋" w:cs="仿宋"/>
        </w:rPr>
        <w:t>…………（页码）</w:t>
      </w:r>
    </w:p>
    <w:p>
      <w:pPr>
        <w:pStyle w:val="193"/>
        <w:spacing w:line="360" w:lineRule="auto"/>
        <w:ind w:left="0" w:firstLine="0" w:firstLineChars="0"/>
        <w:rPr>
          <w:rFonts w:ascii="仿宋" w:eastAsia="仿宋" w:cs="仿宋"/>
          <w:b/>
          <w:bCs/>
        </w:rPr>
      </w:pPr>
      <w:r>
        <w:rPr>
          <w:rFonts w:hint="eastAsia" w:ascii="仿宋" w:eastAsia="仿宋" w:cs="仿宋"/>
        </w:rPr>
        <w:t>（19）代理服务费支付承诺书………………………………………………………（页码）</w:t>
      </w:r>
    </w:p>
    <w:p>
      <w:pPr>
        <w:spacing w:line="360" w:lineRule="auto"/>
        <w:jc w:val="left"/>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 xml:space="preserve">1、法定代表人授权委托书（格式） </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绍兴市人民医院、华诚工程咨询集团有限公司</w:t>
      </w:r>
      <w:r>
        <w:rPr>
          <w:rFonts w:hint="eastAsia" w:ascii="仿宋" w:hAnsi="仿宋" w:eastAsia="仿宋" w:cs="仿宋"/>
          <w:sz w:val="24"/>
        </w:rPr>
        <w:t>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投标人（公章）：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2、授权代表社保证明（复印件）</w:t>
      </w:r>
    </w:p>
    <w:p>
      <w:pPr>
        <w:spacing w:line="800" w:lineRule="exact"/>
        <w:ind w:firstLine="480" w:firstLineChars="200"/>
        <w:rPr>
          <w:rFonts w:ascii="仿宋" w:hAnsi="仿宋" w:eastAsia="仿宋" w:cs="仿宋"/>
          <w:sz w:val="24"/>
          <w:u w:val="wave"/>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spacing w:line="800" w:lineRule="exact"/>
        <w:ind w:firstLine="4320" w:firstLineChars="1800"/>
        <w:rPr>
          <w:rFonts w:ascii="仿宋" w:hAnsi="仿宋" w:eastAsia="仿宋" w:cs="仿宋"/>
          <w:sz w:val="24"/>
        </w:rPr>
      </w:pPr>
    </w:p>
    <w:p>
      <w:pPr>
        <w:spacing w:line="800" w:lineRule="exact"/>
        <w:ind w:firstLine="4337" w:firstLineChars="1800"/>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3、法定代表人及其授权代表身份证复印件（正反面）</w:t>
      </w: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4、法定代表人身份证明书(格式)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p>
    <w:p>
      <w:pPr>
        <w:spacing w:line="440" w:lineRule="exact"/>
        <w:rPr>
          <w:rFonts w:ascii="仿宋" w:hAnsi="仿宋" w:eastAsia="仿宋" w:cs="仿宋"/>
          <w:sz w:val="24"/>
        </w:rPr>
      </w:pPr>
      <w:r>
        <w:rPr>
          <w:rFonts w:hint="eastAsia" w:ascii="仿宋" w:hAnsi="仿宋" w:eastAsia="仿宋" w:cs="仿宋"/>
          <w:sz w:val="24"/>
        </w:rPr>
        <w:t>地    址：</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ascii="仿宋" w:hAnsi="仿宋" w:eastAsia="仿宋" w:cs="仿宋"/>
          <w:sz w:val="24"/>
        </w:rPr>
      </w:pPr>
      <w:r>
        <w:rPr>
          <w:rFonts w:hint="eastAsia" w:ascii="仿宋" w:hAnsi="仿宋" w:eastAsia="仿宋" w:cs="仿宋"/>
          <w:sz w:val="24"/>
        </w:rPr>
        <w:t>特此证明。</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投标人：                             （公章）</w:t>
      </w:r>
    </w:p>
    <w:p>
      <w:pPr>
        <w:spacing w:line="440" w:lineRule="exact"/>
        <w:ind w:right="480"/>
        <w:rPr>
          <w:rFonts w:ascii="仿宋" w:hAnsi="仿宋" w:eastAsia="仿宋" w:cs="仿宋"/>
          <w:sz w:val="24"/>
        </w:rPr>
      </w:pPr>
    </w:p>
    <w:p>
      <w:pPr>
        <w:spacing w:line="440" w:lineRule="exact"/>
        <w:ind w:right="720"/>
        <w:jc w:val="right"/>
        <w:rPr>
          <w:rFonts w:ascii="仿宋" w:hAnsi="仿宋" w:eastAsia="仿宋" w:cs="仿宋"/>
          <w:sz w:val="24"/>
        </w:rPr>
      </w:pPr>
      <w:r>
        <w:rPr>
          <w:rFonts w:hint="eastAsia" w:ascii="仿宋" w:hAnsi="仿宋" w:eastAsia="仿宋" w:cs="仿宋"/>
          <w:sz w:val="24"/>
        </w:rPr>
        <w:t>年   月   日</w:t>
      </w:r>
    </w:p>
    <w:p>
      <w:pPr>
        <w:pageBreakBefore/>
        <w:spacing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440" w:lineRule="exact"/>
        <w:rPr>
          <w:rFonts w:ascii="仿宋" w:hAnsi="仿宋" w:eastAsia="仿宋" w:cs="仿宋"/>
          <w:sz w:val="24"/>
        </w:rPr>
      </w:pPr>
      <w:r>
        <w:rPr>
          <w:rFonts w:hint="eastAsia" w:ascii="仿宋" w:hAnsi="仿宋" w:eastAsia="仿宋" w:cs="仿宋"/>
          <w:sz w:val="24"/>
        </w:rPr>
        <w:t>绍兴市人民医院、华诚工程咨询集团有限公司</w:t>
      </w:r>
      <w:r>
        <w:rPr>
          <w:rFonts w:hint="eastAsia" w:ascii="仿宋" w:hAnsi="仿宋" w:eastAsia="仿宋" w:cs="仿宋"/>
          <w:kern w:val="0"/>
          <w:sz w:val="24"/>
          <w:lang w:val="zh-CN"/>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（项目名称）（招标编号:）</w:t>
      </w:r>
      <w:r>
        <w:rPr>
          <w:rFonts w:hint="eastAsia" w:ascii="仿宋" w:hAnsi="仿宋" w:eastAsia="仿宋" w:cs="仿宋"/>
          <w:sz w:val="24"/>
        </w:rPr>
        <w:t>招标文件中关于申请人资格要求的下列条件：</w:t>
      </w:r>
    </w:p>
    <w:p>
      <w:pPr>
        <w:pStyle w:val="69"/>
        <w:widowControl w:val="0"/>
        <w:spacing w:afterLines="0"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pStyle w:val="23"/>
        <w:spacing w:line="440" w:lineRule="exact"/>
        <w:ind w:firstLine="480" w:firstLineChars="200"/>
        <w:rPr>
          <w:rFonts w:ascii="仿宋" w:hAnsi="仿宋" w:eastAsia="仿宋" w:cs="仿宋"/>
          <w:sz w:val="24"/>
        </w:rPr>
      </w:pPr>
      <w:r>
        <w:rPr>
          <w:rFonts w:hint="eastAsia" w:ascii="仿宋" w:hAnsi="仿宋" w:eastAsia="仿宋" w:cs="仿宋"/>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440" w:lineRule="exact"/>
        <w:ind w:firstLine="480" w:firstLineChars="200"/>
        <w:rPr>
          <w:rFonts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snapToGrid w:val="0"/>
        <w:spacing w:line="360" w:lineRule="auto"/>
        <w:rPr>
          <w:rFonts w:ascii="仿宋" w:hAnsi="仿宋" w:eastAsia="仿宋" w:cs="仿宋"/>
          <w:b/>
          <w:sz w:val="30"/>
          <w:szCs w:val="30"/>
        </w:rPr>
      </w:pPr>
    </w:p>
    <w:p>
      <w:pPr>
        <w:pageBreakBefore/>
        <w:spacing w:line="360" w:lineRule="auto"/>
        <w:rPr>
          <w:rFonts w:ascii="仿宋" w:hAnsi="仿宋" w:eastAsia="仿宋" w:cs="仿宋"/>
          <w:b/>
          <w:sz w:val="32"/>
          <w:szCs w:val="32"/>
        </w:rPr>
      </w:pPr>
      <w:r>
        <w:rPr>
          <w:rFonts w:hint="eastAsia" w:ascii="仿宋" w:hAnsi="仿宋" w:eastAsia="仿宋" w:cs="仿宋"/>
          <w:b/>
          <w:sz w:val="32"/>
          <w:szCs w:val="32"/>
        </w:rPr>
        <w:t>6、特定资格条件要求的资质文件（复印件）</w:t>
      </w:r>
    </w:p>
    <w:p>
      <w:pPr>
        <w:widowControl/>
        <w:spacing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（由投标人根据招标公告合格的投标人应具备的特定资格条件要求编制）</w:t>
      </w: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r>
        <w:rPr>
          <w:rFonts w:hint="eastAsia" w:ascii="仿宋" w:hAnsi="仿宋" w:eastAsia="仿宋" w:cs="仿宋"/>
          <w:b/>
          <w:sz w:val="30"/>
          <w:szCs w:val="30"/>
        </w:rPr>
        <w:t>7、投标人售后服务能力证明材料</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8、</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4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195"/>
        <w:pageBreakBefore/>
        <w:ind w:firstLine="0"/>
        <w:jc w:val="both"/>
        <w:rPr>
          <w:rFonts w:ascii="仿宋" w:eastAsia="仿宋" w:cs="仿宋"/>
        </w:rPr>
      </w:pPr>
      <w:r>
        <w:rPr>
          <w:rFonts w:hint="eastAsia" w:ascii="仿宋" w:eastAsia="仿宋" w:cs="仿宋"/>
        </w:rPr>
        <w:t>9、廉政承诺书</w:t>
      </w: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rPr>
        <w:t>绍兴市人民医院</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10、技术解决方案</w:t>
      </w:r>
    </w:p>
    <w:p>
      <w:pPr>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ascii="仿宋" w:hAnsi="仿宋" w:eastAsia="仿宋" w:cs="仿宋"/>
          <w:sz w:val="24"/>
        </w:rPr>
      </w:pP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投标产品规格配置清单</w:t>
      </w:r>
    </w:p>
    <w:tbl>
      <w:tblPr>
        <w:tblStyle w:val="4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投标品牌及型号</w:t>
            </w:r>
          </w:p>
        </w:tc>
        <w:tc>
          <w:tcPr>
            <w:tcW w:w="234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kern w:val="0"/>
          <w:sz w:val="24"/>
        </w:rPr>
        <w:t>注：1.</w:t>
      </w:r>
      <w:r>
        <w:rPr>
          <w:rFonts w:hint="eastAsia" w:ascii="仿宋" w:hAnsi="仿宋" w:eastAsia="仿宋" w:cs="仿宋"/>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ind w:firstLine="551" w:firstLineChars="196"/>
        <w:jc w:val="left"/>
        <w:rPr>
          <w:rFonts w:ascii="仿宋" w:hAnsi="仿宋" w:eastAsia="仿宋" w:cs="仿宋"/>
          <w:b/>
          <w:kern w:val="0"/>
          <w:sz w:val="28"/>
          <w:szCs w:val="28"/>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
          <w:b/>
          <w:bCs/>
          <w:kern w:val="0"/>
          <w:sz w:val="24"/>
          <w:lang w:val="zh-CN"/>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11、技术偏离说明表</w:t>
      </w:r>
    </w:p>
    <w:p>
      <w:pPr>
        <w:spacing w:line="360" w:lineRule="auto"/>
        <w:rPr>
          <w:rFonts w:ascii="仿宋" w:hAnsi="仿宋" w:eastAsia="仿宋" w:cs="仿宋"/>
          <w:b/>
          <w:bCs/>
          <w:sz w:val="32"/>
          <w:szCs w:val="32"/>
        </w:rPr>
      </w:pPr>
      <w:r>
        <w:rPr>
          <w:rFonts w:hint="eastAsia" w:ascii="仿宋" w:hAnsi="仿宋" w:eastAsia="仿宋" w:cs="仿宋"/>
          <w:sz w:val="24"/>
        </w:rPr>
        <w:t>（由投标人根据采购需求及招标文件要求编制）</w:t>
      </w:r>
    </w:p>
    <w:tbl>
      <w:tblPr>
        <w:tblStyle w:val="4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bl>
    <w:p>
      <w:pPr>
        <w:tabs>
          <w:tab w:val="left" w:pos="570"/>
        </w:tabs>
        <w:spacing w:line="440" w:lineRule="exact"/>
        <w:ind w:firstLine="120" w:firstLineChars="50"/>
        <w:jc w:val="left"/>
        <w:rPr>
          <w:rFonts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12、组织实施方案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4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vAlign w:val="center"/>
          </w:tcPr>
          <w:p>
            <w:pPr>
              <w:rPr>
                <w:rFonts w:ascii="仿宋" w:hAnsi="仿宋" w:eastAsia="仿宋" w:cs="仿宋"/>
                <w:sz w:val="24"/>
              </w:rPr>
            </w:pPr>
            <w:r>
              <w:rPr>
                <w:rFonts w:hint="eastAsia" w:ascii="仿宋" w:hAnsi="仿宋" w:eastAsia="仿宋" w:cs="仿宋"/>
                <w:sz w:val="24"/>
              </w:rPr>
              <w:t>1</w:t>
            </w:r>
          </w:p>
        </w:tc>
        <w:tc>
          <w:tcPr>
            <w:tcW w:w="552" w:type="dxa"/>
            <w:vAlign w:val="center"/>
          </w:tcPr>
          <w:p>
            <w:pPr>
              <w:rPr>
                <w:rFonts w:ascii="仿宋" w:hAnsi="仿宋" w:eastAsia="仿宋" w:cs="仿宋"/>
                <w:sz w:val="24"/>
              </w:rPr>
            </w:pPr>
            <w:r>
              <w:rPr>
                <w:rFonts w:hint="eastAsia" w:ascii="仿宋" w:hAnsi="仿宋" w:eastAsia="仿宋" w:cs="仿宋"/>
                <w:sz w:val="24"/>
              </w:rPr>
              <w:t>2</w:t>
            </w:r>
          </w:p>
        </w:tc>
        <w:tc>
          <w:tcPr>
            <w:tcW w:w="552" w:type="dxa"/>
            <w:vAlign w:val="center"/>
          </w:tcPr>
          <w:p>
            <w:pPr>
              <w:rPr>
                <w:rFonts w:ascii="仿宋" w:hAnsi="仿宋" w:eastAsia="仿宋" w:cs="仿宋"/>
                <w:sz w:val="24"/>
              </w:rPr>
            </w:pPr>
            <w:r>
              <w:rPr>
                <w:rFonts w:hint="eastAsia" w:ascii="仿宋" w:hAnsi="仿宋" w:eastAsia="仿宋" w:cs="仿宋"/>
                <w:sz w:val="24"/>
              </w:rPr>
              <w:t>3</w:t>
            </w:r>
          </w:p>
        </w:tc>
        <w:tc>
          <w:tcPr>
            <w:tcW w:w="552" w:type="dxa"/>
            <w:vAlign w:val="center"/>
          </w:tcPr>
          <w:p>
            <w:pPr>
              <w:rPr>
                <w:rFonts w:ascii="仿宋" w:hAnsi="仿宋" w:eastAsia="仿宋" w:cs="仿宋"/>
                <w:sz w:val="24"/>
              </w:rPr>
            </w:pPr>
            <w:r>
              <w:rPr>
                <w:rFonts w:hint="eastAsia" w:ascii="仿宋" w:hAnsi="仿宋" w:eastAsia="仿宋" w:cs="仿宋"/>
                <w:sz w:val="24"/>
              </w:rPr>
              <w:t>4</w:t>
            </w:r>
          </w:p>
        </w:tc>
        <w:tc>
          <w:tcPr>
            <w:tcW w:w="552" w:type="dxa"/>
            <w:vAlign w:val="center"/>
          </w:tcPr>
          <w:p>
            <w:pPr>
              <w:rPr>
                <w:rFonts w:ascii="仿宋" w:hAnsi="仿宋" w:eastAsia="仿宋" w:cs="仿宋"/>
                <w:sz w:val="24"/>
              </w:rPr>
            </w:pPr>
            <w:r>
              <w:rPr>
                <w:rFonts w:hint="eastAsia" w:ascii="仿宋" w:hAnsi="仿宋" w:eastAsia="仿宋" w:cs="仿宋"/>
                <w:sz w:val="24"/>
              </w:rPr>
              <w:t>5</w:t>
            </w:r>
          </w:p>
        </w:tc>
        <w:tc>
          <w:tcPr>
            <w:tcW w:w="552" w:type="dxa"/>
            <w:vAlign w:val="center"/>
          </w:tcPr>
          <w:p>
            <w:pPr>
              <w:rPr>
                <w:rFonts w:ascii="仿宋" w:hAnsi="仿宋" w:eastAsia="仿宋" w:cs="仿宋"/>
                <w:sz w:val="24"/>
              </w:rPr>
            </w:pPr>
            <w:r>
              <w:rPr>
                <w:rFonts w:hint="eastAsia" w:ascii="仿宋" w:hAnsi="仿宋" w:eastAsia="仿宋" w:cs="仿宋"/>
                <w:sz w:val="24"/>
              </w:rPr>
              <w:t>6</w:t>
            </w:r>
          </w:p>
        </w:tc>
        <w:tc>
          <w:tcPr>
            <w:tcW w:w="553" w:type="dxa"/>
            <w:vAlign w:val="center"/>
          </w:tcPr>
          <w:p>
            <w:pPr>
              <w:rPr>
                <w:rFonts w:ascii="仿宋" w:hAnsi="仿宋" w:eastAsia="仿宋" w:cs="仿宋"/>
                <w:sz w:val="24"/>
              </w:rPr>
            </w:pPr>
            <w:r>
              <w:rPr>
                <w:rFonts w:hint="eastAsia" w:ascii="仿宋" w:hAnsi="仿宋" w:eastAsia="仿宋" w:cs="仿宋"/>
                <w:sz w:val="24"/>
              </w:rPr>
              <w:t>7</w:t>
            </w:r>
          </w:p>
        </w:tc>
        <w:tc>
          <w:tcPr>
            <w:tcW w:w="553" w:type="dxa"/>
            <w:vAlign w:val="center"/>
          </w:tcPr>
          <w:p>
            <w:pPr>
              <w:rPr>
                <w:rFonts w:ascii="仿宋" w:hAnsi="仿宋" w:eastAsia="仿宋" w:cs="仿宋"/>
                <w:sz w:val="24"/>
              </w:rPr>
            </w:pPr>
            <w:r>
              <w:rPr>
                <w:rFonts w:hint="eastAsia" w:ascii="仿宋" w:hAnsi="仿宋" w:eastAsia="仿宋" w:cs="仿宋"/>
                <w:sz w:val="24"/>
              </w:rPr>
              <w:t>8</w:t>
            </w:r>
          </w:p>
        </w:tc>
        <w:tc>
          <w:tcPr>
            <w:tcW w:w="553" w:type="dxa"/>
            <w:vAlign w:val="center"/>
          </w:tcPr>
          <w:p>
            <w:pPr>
              <w:rPr>
                <w:rFonts w:ascii="仿宋" w:hAnsi="仿宋" w:eastAsia="仿宋" w:cs="仿宋"/>
                <w:sz w:val="24"/>
              </w:rPr>
            </w:pPr>
            <w:r>
              <w:rPr>
                <w:rFonts w:hint="eastAsia" w:ascii="仿宋" w:hAnsi="仿宋" w:eastAsia="仿宋" w:cs="仿宋"/>
                <w:sz w:val="24"/>
              </w:rPr>
              <w:t>9</w:t>
            </w:r>
          </w:p>
        </w:tc>
        <w:tc>
          <w:tcPr>
            <w:tcW w:w="553" w:type="dxa"/>
            <w:vAlign w:val="center"/>
          </w:tcPr>
          <w:p>
            <w:pPr>
              <w:rPr>
                <w:rFonts w:ascii="仿宋" w:hAnsi="仿宋" w:eastAsia="仿宋" w:cs="仿宋"/>
                <w:sz w:val="24"/>
              </w:rPr>
            </w:pPr>
            <w:r>
              <w:rPr>
                <w:rFonts w:hint="eastAsia" w:ascii="仿宋" w:hAnsi="仿宋" w:eastAsia="仿宋" w:cs="仿宋"/>
                <w:sz w:val="24"/>
              </w:rPr>
              <w:t>10</w:t>
            </w:r>
          </w:p>
        </w:tc>
        <w:tc>
          <w:tcPr>
            <w:tcW w:w="553" w:type="dxa"/>
            <w:vAlign w:val="center"/>
          </w:tcPr>
          <w:p>
            <w:pPr>
              <w:rPr>
                <w:rFonts w:ascii="仿宋" w:hAnsi="仿宋" w:eastAsia="仿宋" w:cs="仿宋"/>
                <w:sz w:val="24"/>
              </w:rPr>
            </w:pPr>
            <w:r>
              <w:rPr>
                <w:rFonts w:hint="eastAsia" w:ascii="仿宋" w:hAnsi="仿宋" w:eastAsia="仿宋" w:cs="仿宋"/>
                <w:sz w:val="24"/>
              </w:rPr>
              <w:t>11</w:t>
            </w:r>
          </w:p>
        </w:tc>
        <w:tc>
          <w:tcPr>
            <w:tcW w:w="553" w:type="dxa"/>
            <w:vAlign w:val="center"/>
          </w:tcPr>
          <w:p>
            <w:pPr>
              <w:rPr>
                <w:rFonts w:ascii="仿宋" w:hAnsi="仿宋" w:eastAsia="仿宋" w:cs="仿宋"/>
                <w:sz w:val="24"/>
              </w:rPr>
            </w:pPr>
            <w:r>
              <w:rPr>
                <w:rFonts w:hint="eastAsia" w:ascii="仿宋" w:hAnsi="仿宋" w:eastAsia="仿宋" w:cs="仿宋"/>
                <w:sz w:val="24"/>
              </w:rPr>
              <w:t>12</w:t>
            </w:r>
          </w:p>
        </w:tc>
        <w:tc>
          <w:tcPr>
            <w:tcW w:w="553" w:type="dxa"/>
            <w:vAlign w:val="center"/>
          </w:tcPr>
          <w:p>
            <w:pPr>
              <w:rPr>
                <w:rFonts w:ascii="仿宋" w:hAnsi="仿宋" w:eastAsia="仿宋" w:cs="仿宋"/>
                <w:sz w:val="24"/>
              </w:rPr>
            </w:pPr>
            <w:r>
              <w:rPr>
                <w:rFonts w:hint="eastAsia" w:ascii="仿宋" w:hAnsi="仿宋" w:eastAsia="仿宋" w:cs="仿宋"/>
                <w:sz w:val="24"/>
              </w:rPr>
              <w:t>13</w:t>
            </w:r>
          </w:p>
        </w:tc>
        <w:tc>
          <w:tcPr>
            <w:tcW w:w="553" w:type="dxa"/>
            <w:vAlign w:val="center"/>
          </w:tcPr>
          <w:p>
            <w:pPr>
              <w:rPr>
                <w:rFonts w:ascii="仿宋" w:hAnsi="仿宋" w:eastAsia="仿宋" w:cs="仿宋"/>
                <w:sz w:val="24"/>
              </w:rPr>
            </w:pPr>
            <w:r>
              <w:rPr>
                <w:rFonts w:hint="eastAsia" w:ascii="仿宋" w:hAnsi="仿宋" w:eastAsia="仿宋" w:cs="仿宋"/>
                <w:sz w:val="24"/>
              </w:rPr>
              <w:t>14</w:t>
            </w:r>
          </w:p>
        </w:tc>
        <w:tc>
          <w:tcPr>
            <w:tcW w:w="553" w:type="dxa"/>
            <w:vAlign w:val="center"/>
          </w:tcPr>
          <w:p>
            <w:pPr>
              <w:rPr>
                <w:rFonts w:ascii="仿宋" w:hAnsi="仿宋" w:eastAsia="仿宋" w:cs="仿宋"/>
                <w:sz w:val="24"/>
              </w:rPr>
            </w:pPr>
            <w:r>
              <w:rPr>
                <w:rFonts w:hint="eastAsia" w:ascii="仿宋" w:hAnsi="仿宋" w:eastAsia="仿宋" w:cs="仿宋"/>
                <w:sz w:val="24"/>
              </w:rPr>
              <w:t>15</w:t>
            </w:r>
          </w:p>
        </w:tc>
        <w:tc>
          <w:tcPr>
            <w:tcW w:w="553"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r>
        <w:rPr>
          <w:rFonts w:hint="eastAsia" w:ascii="仿宋" w:hAnsi="仿宋" w:eastAsia="仿宋" w:cs="仿宋"/>
          <w:b/>
          <w:sz w:val="24"/>
        </w:rPr>
        <w:t>注：投标人可按上述时间表的格式自行编制切合实际的具体时间表。</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13、售后服务方案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828"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bl>
    <w:p>
      <w:pPr>
        <w:autoSpaceDE w:val="0"/>
        <w:autoSpaceDN w:val="0"/>
        <w:rPr>
          <w:rFonts w:ascii="仿宋" w:hAnsi="仿宋" w:eastAsia="仿宋" w:cs="仿宋"/>
          <w:b/>
          <w:sz w:val="24"/>
        </w:rPr>
      </w:pPr>
      <w:r>
        <w:rPr>
          <w:rFonts w:hint="eastAsia" w:ascii="仿宋" w:hAnsi="仿宋" w:eastAsia="仿宋" w:cs="仿宋"/>
          <w:b/>
          <w:sz w:val="24"/>
        </w:rPr>
        <w:t>注：关于项目涉及的所有售后服务机构均在本表注明，包括投标人本单位和符合条件的第三方服务机构。</w:t>
      </w:r>
    </w:p>
    <w:p>
      <w:pPr>
        <w:autoSpaceDE w:val="0"/>
        <w:autoSpaceDN w:val="0"/>
        <w:rPr>
          <w:rFonts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41"/>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bl>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14、项目小组人员名单</w:t>
      </w:r>
    </w:p>
    <w:p>
      <w:pPr>
        <w:spacing w:line="360" w:lineRule="auto"/>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41"/>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4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附表C:本项目的项目负责人和小组人员社会保障资金记录情况表</w:t>
      </w:r>
      <w:r>
        <w:rPr>
          <w:rFonts w:hint="eastAsia" w:ascii="仿宋" w:hAnsi="仿宋" w:eastAsia="仿宋" w:cs="仿宋"/>
          <w:sz w:val="24"/>
        </w:rPr>
        <w:t>（以社保部门出具缴纳凭证作附件）</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15、</w:t>
      </w:r>
      <w:r>
        <w:rPr>
          <w:rFonts w:hint="eastAsia" w:ascii="仿宋" w:hAnsi="仿宋" w:eastAsia="仿宋" w:cs="仿宋"/>
          <w:b/>
          <w:kern w:val="0"/>
          <w:sz w:val="32"/>
          <w:szCs w:val="32"/>
          <w:lang w:val="zh-CN"/>
        </w:rPr>
        <w:t>优惠条件及特殊承诺</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18"/>
          <w:szCs w:val="18"/>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b/>
          <w:bCs/>
          <w:sz w:val="18"/>
          <w:szCs w:val="18"/>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pageBreakBefore/>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16、</w:t>
      </w:r>
      <w:r>
        <w:rPr>
          <w:rFonts w:hint="eastAsia" w:ascii="仿宋" w:hAnsi="仿宋" w:eastAsia="仿宋" w:cs="仿宋"/>
          <w:b/>
          <w:kern w:val="0"/>
          <w:sz w:val="32"/>
          <w:szCs w:val="32"/>
          <w:lang w:val="zh-CN"/>
        </w:rPr>
        <w:t>培训计划</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4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仿宋"/>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 w:hAnsi="仿宋" w:eastAsia="仿宋" w:cs="仿宋"/>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pPr>
        <w:numPr>
          <w:ilvl w:val="0"/>
          <w:numId w:val="11"/>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课程概要</w:t>
      </w:r>
    </w:p>
    <w:p>
      <w:pPr>
        <w:numPr>
          <w:ilvl w:val="0"/>
          <w:numId w:val="11"/>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课程目的</w:t>
      </w:r>
    </w:p>
    <w:p>
      <w:pPr>
        <w:numPr>
          <w:ilvl w:val="0"/>
          <w:numId w:val="11"/>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教学方式</w:t>
      </w:r>
    </w:p>
    <w:p>
      <w:pPr>
        <w:numPr>
          <w:ilvl w:val="0"/>
          <w:numId w:val="11"/>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先决条件</w:t>
      </w:r>
    </w:p>
    <w:p>
      <w:pPr>
        <w:numPr>
          <w:ilvl w:val="0"/>
          <w:numId w:val="11"/>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教材目录</w:t>
      </w:r>
    </w:p>
    <w:p>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17、验收方案</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jc w:val="center"/>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18、认为需要的</w:t>
      </w:r>
      <w:r>
        <w:rPr>
          <w:rFonts w:hint="eastAsia" w:ascii="仿宋" w:hAnsi="仿宋" w:eastAsia="仿宋" w:cs="仿宋"/>
          <w:b/>
          <w:kern w:val="0"/>
          <w:sz w:val="32"/>
          <w:szCs w:val="32"/>
          <w:lang w:val="zh-CN"/>
        </w:rPr>
        <w:t>其他商务技术（资信）文件或说明</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_x0000_s1026"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path/>
            <v:fill focussize="0,0"/>
            <v:stroke miterlimit="2"/>
            <v:imagedata o:title=""/>
            <o:lock v:ext="edit"/>
          </v:rect>
        </w:pict>
      </w:r>
      <w:r>
        <w:rPr>
          <w:rFonts w:ascii="仿宋" w:hAnsi="仿宋" w:eastAsia="仿宋" w:cs="仿宋"/>
          <w:b/>
          <w:bCs/>
          <w:sz w:val="24"/>
        </w:rPr>
        <w:pict>
          <v:rect id="_x0000_s1028" o:spid="_x0000_s1028"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path/>
            <v:fill focussize="0,0"/>
            <v:stroke miterlimit="2"/>
            <v:imagedata o:title=""/>
            <o:lock v:ext="edit"/>
          </v:rect>
        </w:pict>
      </w:r>
      <w:r>
        <w:rPr>
          <w:rFonts w:hint="eastAsia" w:ascii="仿宋" w:hAnsi="仿宋" w:eastAsia="仿宋" w:cs="仿宋"/>
          <w:sz w:val="24"/>
        </w:rPr>
        <w:t>投标单位法定名称章（印模）投标单位“XX专用章”（印模）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 w:hAnsi="仿宋" w:eastAsia="仿宋" w:cs="仿宋"/>
          <w:sz w:val="30"/>
          <w:szCs w:val="30"/>
        </w:rPr>
      </w:pPr>
      <w:r>
        <w:rPr>
          <w:rFonts w:hint="eastAsia" w:ascii="仿宋" w:hAnsi="仿宋" w:eastAsia="仿宋" w:cs="仿宋"/>
          <w:sz w:val="30"/>
          <w:szCs w:val="30"/>
        </w:rPr>
        <w:t xml:space="preserve">签字(签章)：                   公章：                      </w:t>
      </w:r>
    </w:p>
    <w:p>
      <w:pPr>
        <w:rPr>
          <w:rFonts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19、代理服务费支付承诺书</w:t>
      </w:r>
    </w:p>
    <w:p>
      <w:pPr>
        <w:jc w:val="center"/>
        <w:rPr>
          <w:rFonts w:ascii="仿宋" w:hAnsi="仿宋" w:eastAsia="仿宋" w:cs="仿宋"/>
          <w:b/>
          <w:bCs/>
          <w:sz w:val="30"/>
          <w:szCs w:val="30"/>
        </w:rPr>
      </w:pPr>
    </w:p>
    <w:p>
      <w:pPr>
        <w:jc w:val="center"/>
        <w:rPr>
          <w:rFonts w:ascii="仿宋" w:hAnsi="仿宋" w:eastAsia="仿宋" w:cs="仿宋"/>
          <w:szCs w:val="21"/>
        </w:rPr>
      </w:pPr>
      <w:r>
        <w:rPr>
          <w:rFonts w:hint="eastAsia" w:ascii="仿宋" w:hAnsi="仿宋" w:eastAsia="仿宋" w:cs="仿宋"/>
          <w:b/>
          <w:bCs/>
          <w:sz w:val="30"/>
          <w:szCs w:val="30"/>
        </w:rPr>
        <w:t>代理服务费支付承诺书</w:t>
      </w:r>
    </w:p>
    <w:p>
      <w:pPr>
        <w:snapToGrid w:val="0"/>
        <w:spacing w:before="50" w:after="50" w:line="360" w:lineRule="auto"/>
        <w:rPr>
          <w:rFonts w:ascii="仿宋" w:hAnsi="仿宋" w:eastAsia="仿宋" w:cs="仿宋"/>
          <w:spacing w:val="20"/>
          <w:sz w:val="24"/>
          <w:u w:val="single"/>
        </w:rPr>
      </w:pPr>
    </w:p>
    <w:p>
      <w:pPr>
        <w:spacing w:before="50" w:after="50" w:line="360" w:lineRule="auto"/>
        <w:contextualSpacing/>
        <w:rPr>
          <w:rFonts w:ascii="仿宋" w:hAnsi="仿宋" w:eastAsia="仿宋" w:cs="仿宋"/>
          <w:spacing w:val="20"/>
          <w:sz w:val="24"/>
        </w:rPr>
      </w:pPr>
      <w:r>
        <w:rPr>
          <w:rFonts w:hint="eastAsia" w:ascii="仿宋" w:hAnsi="仿宋" w:eastAsia="仿宋" w:cs="仿宋"/>
          <w:spacing w:val="20"/>
          <w:sz w:val="24"/>
        </w:rPr>
        <w:t xml:space="preserve">致： </w:t>
      </w:r>
    </w:p>
    <w:p>
      <w:pPr>
        <w:spacing w:before="50" w:after="50" w:line="360" w:lineRule="auto"/>
        <w:ind w:firstLine="630"/>
        <w:contextualSpacing/>
        <w:rPr>
          <w:rFonts w:ascii="仿宋" w:hAnsi="仿宋" w:eastAsia="仿宋" w:cs="仿宋"/>
          <w:spacing w:val="20"/>
          <w:sz w:val="24"/>
        </w:rPr>
      </w:pPr>
      <w:r>
        <w:rPr>
          <w:rFonts w:hint="eastAsia" w:ascii="仿宋" w:hAnsi="仿宋" w:eastAsia="仿宋" w:cs="仿宋"/>
          <w:spacing w:val="20"/>
          <w:sz w:val="24"/>
        </w:rPr>
        <w:t>我公司已认真阅读了招标文件（项目编号：          ）并在此承诺：</w:t>
      </w:r>
    </w:p>
    <w:p>
      <w:pPr>
        <w:spacing w:before="50" w:after="50" w:line="360" w:lineRule="auto"/>
        <w:ind w:firstLine="630"/>
        <w:contextualSpacing/>
        <w:rPr>
          <w:rFonts w:ascii="仿宋" w:hAnsi="仿宋" w:eastAsia="仿宋" w:cs="仿宋"/>
          <w:sz w:val="24"/>
        </w:rPr>
      </w:pPr>
      <w:r>
        <w:rPr>
          <w:rFonts w:hint="eastAsia" w:ascii="仿宋" w:hAnsi="仿宋" w:eastAsia="仿宋" w:cs="仿宋"/>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line="360" w:lineRule="auto"/>
        <w:rPr>
          <w:rFonts w:ascii="仿宋" w:hAnsi="仿宋" w:eastAsia="仿宋" w:cs="仿宋"/>
          <w:sz w:val="24"/>
          <w:szCs w:val="20"/>
        </w:rPr>
      </w:pPr>
      <w:r>
        <w:rPr>
          <w:rFonts w:hint="eastAsia" w:ascii="仿宋" w:hAnsi="仿宋" w:eastAsia="仿宋" w:cs="仿宋"/>
          <w:sz w:val="24"/>
        </w:rPr>
        <w:t>承诺方（投标人）法定名称：__________</w:t>
      </w:r>
      <w:r>
        <w:rPr>
          <w:rFonts w:hint="eastAsia" w:ascii="仿宋" w:hAnsi="仿宋" w:eastAsia="仿宋" w:cs="仿宋"/>
          <w:sz w:val="24"/>
          <w:u w:val="single"/>
        </w:rPr>
        <w:t>（盖章）</w:t>
      </w:r>
      <w:r>
        <w:rPr>
          <w:rFonts w:hint="eastAsia" w:ascii="仿宋" w:hAnsi="仿宋" w:eastAsia="仿宋" w:cs="仿宋"/>
          <w:sz w:val="24"/>
        </w:rPr>
        <w:t>_________</w:t>
      </w:r>
    </w:p>
    <w:p>
      <w:pPr>
        <w:snapToGrid w:val="0"/>
        <w:spacing w:line="360" w:lineRule="auto"/>
        <w:rPr>
          <w:rFonts w:ascii="仿宋" w:hAnsi="仿宋" w:eastAsia="仿宋" w:cs="仿宋"/>
          <w:sz w:val="24"/>
        </w:rPr>
      </w:pPr>
      <w:r>
        <w:rPr>
          <w:rFonts w:hint="eastAsia" w:ascii="仿宋" w:hAnsi="仿宋" w:eastAsia="仿宋" w:cs="仿宋"/>
          <w:sz w:val="24"/>
        </w:rPr>
        <w:t xml:space="preserve">承诺方（投标人）法定地址：___________________ </w:t>
      </w:r>
    </w:p>
    <w:p>
      <w:pPr>
        <w:snapToGrid w:val="0"/>
        <w:spacing w:before="50" w:after="50" w:line="360" w:lineRule="auto"/>
        <w:rPr>
          <w:rFonts w:ascii="仿宋" w:hAnsi="仿宋" w:eastAsia="仿宋" w:cs="仿宋"/>
          <w:sz w:val="24"/>
          <w:u w:val="single"/>
        </w:rPr>
      </w:pPr>
      <w:r>
        <w:rPr>
          <w:rFonts w:hint="eastAsia" w:ascii="仿宋" w:hAnsi="仿宋" w:eastAsia="仿宋" w:cs="仿宋"/>
          <w:sz w:val="24"/>
        </w:rPr>
        <w:t>联系电话：    联系传真：</w:t>
      </w:r>
    </w:p>
    <w:p>
      <w:pPr>
        <w:snapToGrid w:val="0"/>
        <w:spacing w:before="50" w:after="50" w:line="360" w:lineRule="auto"/>
        <w:rPr>
          <w:rFonts w:ascii="仿宋" w:hAnsi="仿宋" w:eastAsia="仿宋" w:cs="仿宋"/>
          <w:sz w:val="24"/>
        </w:rPr>
      </w:pPr>
      <w:r>
        <w:rPr>
          <w:rFonts w:hint="eastAsia" w:ascii="仿宋" w:hAnsi="仿宋" w:eastAsia="仿宋" w:cs="仿宋"/>
          <w:sz w:val="24"/>
        </w:rPr>
        <w:t>承诺日期：_____年___月___日</w:t>
      </w:r>
    </w:p>
    <w:p>
      <w:pPr>
        <w:rPr>
          <w:rFonts w:ascii="仿宋" w:hAnsi="仿宋" w:eastAsia="仿宋" w:cs="仿宋"/>
          <w:sz w:val="24"/>
        </w:rPr>
      </w:pPr>
    </w:p>
    <w:sectPr>
      <w:headerReference r:id="rId8" w:type="default"/>
      <w:footerReference r:id="rId9" w:type="default"/>
      <w:pgSz w:w="11905" w:h="16838"/>
      <w:pgMar w:top="1417" w:right="1417" w:bottom="1417" w:left="1417" w:header="850"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pStyle w:val="27"/>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华诚工程咨询集团有限公司                  招标文件招标编号:HCZB-022-009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华诚工程咨询集团有限公司                  招标文件招标编号:HCZB-022-009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华诚工程咨询集团有限公司                                                       HCZB-2022-009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华诚工程咨询集团有限公司                                                       HCZB-2022-009</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673BB"/>
    <w:multiLevelType w:val="singleLevel"/>
    <w:tmpl w:val="C05673BB"/>
    <w:lvl w:ilvl="0" w:tentative="0">
      <w:start w:val="1"/>
      <w:numFmt w:val="decimal"/>
      <w:lvlText w:val="%1."/>
      <w:lvlJc w:val="left"/>
      <w:pPr>
        <w:tabs>
          <w:tab w:val="left" w:pos="312"/>
        </w:tabs>
      </w:pPr>
    </w:lvl>
  </w:abstractNum>
  <w:abstractNum w:abstractNumId="1">
    <w:nsid w:val="E821B1A5"/>
    <w:multiLevelType w:val="singleLevel"/>
    <w:tmpl w:val="E821B1A5"/>
    <w:lvl w:ilvl="0" w:tentative="0">
      <w:start w:val="1"/>
      <w:numFmt w:val="chineseCounting"/>
      <w:suff w:val="nothing"/>
      <w:lvlText w:val="（%1）"/>
      <w:lvlJc w:val="left"/>
      <w:pPr>
        <w:ind w:left="-420" w:firstLine="420"/>
      </w:pPr>
      <w:rPr>
        <w:rFonts w:hint="eastAsia"/>
        <w:lang w:val="en-US"/>
      </w:rPr>
    </w:lvl>
  </w:abstractNum>
  <w:abstractNum w:abstractNumId="2">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3">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5">
    <w:nsid w:val="32195823"/>
    <w:multiLevelType w:val="singleLevel"/>
    <w:tmpl w:val="32195823"/>
    <w:lvl w:ilvl="0" w:tentative="0">
      <w:start w:val="1"/>
      <w:numFmt w:val="decimal"/>
      <w:suff w:val="nothing"/>
      <w:lvlText w:val="%1．"/>
      <w:lvlJc w:val="left"/>
      <w:pPr>
        <w:ind w:left="0" w:firstLine="400"/>
      </w:pPr>
      <w:rPr>
        <w:rFonts w:hint="default"/>
      </w:rPr>
    </w:lvl>
  </w:abstractNum>
  <w:abstractNum w:abstractNumId="6">
    <w:nsid w:val="55A64084"/>
    <w:multiLevelType w:val="singleLevel"/>
    <w:tmpl w:val="55A64084"/>
    <w:lvl w:ilvl="0" w:tentative="0">
      <w:start w:val="1"/>
      <w:numFmt w:val="chineseCounting"/>
      <w:suff w:val="space"/>
      <w:lvlText w:val="第%1部分"/>
      <w:lvlJc w:val="left"/>
      <w:rPr>
        <w:rFonts w:hint="eastAsia"/>
      </w:rPr>
    </w:lvl>
  </w:abstractNum>
  <w:abstractNum w:abstractNumId="7">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D883EFB"/>
    <w:multiLevelType w:val="multilevel"/>
    <w:tmpl w:val="5D883EFB"/>
    <w:lvl w:ilvl="0" w:tentative="0">
      <w:start w:val="1"/>
      <w:numFmt w:val="decimal"/>
      <w:lvlText w:val="%1."/>
      <w:legacy w:legacy="1" w:legacySpace="0" w:legacyIndent="425"/>
      <w:lvlJc w:val="left"/>
      <w:pPr>
        <w:ind w:left="425" w:hanging="425"/>
      </w:pPr>
    </w:lvl>
    <w:lvl w:ilvl="1" w:tentative="0">
      <w:start w:val="1"/>
      <w:numFmt w:val="decimal"/>
      <w:pStyle w:val="19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9">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0">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9"/>
  </w:num>
  <w:num w:numId="5">
    <w:abstractNumId w:val="8"/>
  </w:num>
  <w:num w:numId="6">
    <w:abstractNumId w:val="6"/>
  </w:num>
  <w:num w:numId="7">
    <w:abstractNumId w:val="10"/>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4ZmY1MjRkOGQ4YThhNDg4MTRjODMyNGQyMTExYTQifQ=="/>
  </w:docVars>
  <w:rsids>
    <w:rsidRoot w:val="00417C8A"/>
    <w:rsid w:val="00002EF8"/>
    <w:rsid w:val="00003B69"/>
    <w:rsid w:val="00005125"/>
    <w:rsid w:val="0000551C"/>
    <w:rsid w:val="00007AAB"/>
    <w:rsid w:val="00010C9A"/>
    <w:rsid w:val="00010FC1"/>
    <w:rsid w:val="0001278F"/>
    <w:rsid w:val="0002045E"/>
    <w:rsid w:val="00021D87"/>
    <w:rsid w:val="0002203D"/>
    <w:rsid w:val="0002468D"/>
    <w:rsid w:val="00025A9F"/>
    <w:rsid w:val="00026762"/>
    <w:rsid w:val="00031F75"/>
    <w:rsid w:val="000329A7"/>
    <w:rsid w:val="00033D7B"/>
    <w:rsid w:val="000402F5"/>
    <w:rsid w:val="00040A03"/>
    <w:rsid w:val="00047118"/>
    <w:rsid w:val="00047D3B"/>
    <w:rsid w:val="0005172F"/>
    <w:rsid w:val="000517D0"/>
    <w:rsid w:val="00051C47"/>
    <w:rsid w:val="000535F4"/>
    <w:rsid w:val="00056199"/>
    <w:rsid w:val="0005700A"/>
    <w:rsid w:val="0006049D"/>
    <w:rsid w:val="000614BF"/>
    <w:rsid w:val="0006344A"/>
    <w:rsid w:val="0006392C"/>
    <w:rsid w:val="000643A5"/>
    <w:rsid w:val="00065197"/>
    <w:rsid w:val="000657C6"/>
    <w:rsid w:val="00065EFB"/>
    <w:rsid w:val="00067FB2"/>
    <w:rsid w:val="000702AD"/>
    <w:rsid w:val="00074373"/>
    <w:rsid w:val="000751F9"/>
    <w:rsid w:val="00075850"/>
    <w:rsid w:val="0007656E"/>
    <w:rsid w:val="000812D0"/>
    <w:rsid w:val="00082DC1"/>
    <w:rsid w:val="00083E93"/>
    <w:rsid w:val="00083EB1"/>
    <w:rsid w:val="00087605"/>
    <w:rsid w:val="00092B23"/>
    <w:rsid w:val="000933A2"/>
    <w:rsid w:val="0009629C"/>
    <w:rsid w:val="00097421"/>
    <w:rsid w:val="00097868"/>
    <w:rsid w:val="0009797B"/>
    <w:rsid w:val="000A0868"/>
    <w:rsid w:val="000A1F26"/>
    <w:rsid w:val="000A3FC5"/>
    <w:rsid w:val="000A4017"/>
    <w:rsid w:val="000A5AC0"/>
    <w:rsid w:val="000B0284"/>
    <w:rsid w:val="000B14AE"/>
    <w:rsid w:val="000B1744"/>
    <w:rsid w:val="000B1D0B"/>
    <w:rsid w:val="000B2A94"/>
    <w:rsid w:val="000B625B"/>
    <w:rsid w:val="000C14CF"/>
    <w:rsid w:val="000C1F3C"/>
    <w:rsid w:val="000C3344"/>
    <w:rsid w:val="000D03E5"/>
    <w:rsid w:val="000D0E6C"/>
    <w:rsid w:val="000D110F"/>
    <w:rsid w:val="000D122E"/>
    <w:rsid w:val="000D1267"/>
    <w:rsid w:val="000D1D59"/>
    <w:rsid w:val="000D4D0E"/>
    <w:rsid w:val="000D716C"/>
    <w:rsid w:val="000E1C78"/>
    <w:rsid w:val="000E1C88"/>
    <w:rsid w:val="000E3723"/>
    <w:rsid w:val="000E4A4F"/>
    <w:rsid w:val="000E5C9B"/>
    <w:rsid w:val="000E6F8C"/>
    <w:rsid w:val="000E72A0"/>
    <w:rsid w:val="000F0D59"/>
    <w:rsid w:val="000F51A7"/>
    <w:rsid w:val="000F5EF4"/>
    <w:rsid w:val="000F7FA8"/>
    <w:rsid w:val="001023D9"/>
    <w:rsid w:val="00103B47"/>
    <w:rsid w:val="00104327"/>
    <w:rsid w:val="00104663"/>
    <w:rsid w:val="00104806"/>
    <w:rsid w:val="00104A07"/>
    <w:rsid w:val="0010763D"/>
    <w:rsid w:val="00111E93"/>
    <w:rsid w:val="00112B08"/>
    <w:rsid w:val="00114BF9"/>
    <w:rsid w:val="00114C81"/>
    <w:rsid w:val="00115363"/>
    <w:rsid w:val="00116EDA"/>
    <w:rsid w:val="0012018C"/>
    <w:rsid w:val="00120D86"/>
    <w:rsid w:val="00121BE7"/>
    <w:rsid w:val="0012490E"/>
    <w:rsid w:val="001259AD"/>
    <w:rsid w:val="00125D70"/>
    <w:rsid w:val="00126CDE"/>
    <w:rsid w:val="001324C0"/>
    <w:rsid w:val="00132EE2"/>
    <w:rsid w:val="001345B3"/>
    <w:rsid w:val="0013527E"/>
    <w:rsid w:val="00137525"/>
    <w:rsid w:val="0014024E"/>
    <w:rsid w:val="0014242C"/>
    <w:rsid w:val="0014545F"/>
    <w:rsid w:val="00145D25"/>
    <w:rsid w:val="00146801"/>
    <w:rsid w:val="00152844"/>
    <w:rsid w:val="00154591"/>
    <w:rsid w:val="00154E3A"/>
    <w:rsid w:val="00156402"/>
    <w:rsid w:val="00156633"/>
    <w:rsid w:val="00157269"/>
    <w:rsid w:val="0015771E"/>
    <w:rsid w:val="00157914"/>
    <w:rsid w:val="00157FB7"/>
    <w:rsid w:val="00160B0A"/>
    <w:rsid w:val="00161F66"/>
    <w:rsid w:val="00162DD9"/>
    <w:rsid w:val="001637A2"/>
    <w:rsid w:val="00163B9C"/>
    <w:rsid w:val="00165068"/>
    <w:rsid w:val="001657B2"/>
    <w:rsid w:val="00167505"/>
    <w:rsid w:val="00171701"/>
    <w:rsid w:val="0017455C"/>
    <w:rsid w:val="00174F52"/>
    <w:rsid w:val="001751A8"/>
    <w:rsid w:val="00180C15"/>
    <w:rsid w:val="0018130F"/>
    <w:rsid w:val="00181544"/>
    <w:rsid w:val="00182D73"/>
    <w:rsid w:val="0018376B"/>
    <w:rsid w:val="001841D9"/>
    <w:rsid w:val="00184C15"/>
    <w:rsid w:val="00185F55"/>
    <w:rsid w:val="001873DB"/>
    <w:rsid w:val="00187AB1"/>
    <w:rsid w:val="0019064E"/>
    <w:rsid w:val="00190DB7"/>
    <w:rsid w:val="00191263"/>
    <w:rsid w:val="00191BE8"/>
    <w:rsid w:val="00191EE1"/>
    <w:rsid w:val="00193494"/>
    <w:rsid w:val="00194583"/>
    <w:rsid w:val="001A0C24"/>
    <w:rsid w:val="001A15C0"/>
    <w:rsid w:val="001A4123"/>
    <w:rsid w:val="001A4A9D"/>
    <w:rsid w:val="001A6712"/>
    <w:rsid w:val="001A7E2A"/>
    <w:rsid w:val="001B2770"/>
    <w:rsid w:val="001B485F"/>
    <w:rsid w:val="001B4C51"/>
    <w:rsid w:val="001B589D"/>
    <w:rsid w:val="001B70E5"/>
    <w:rsid w:val="001B748B"/>
    <w:rsid w:val="001C07C7"/>
    <w:rsid w:val="001C4733"/>
    <w:rsid w:val="001C57F3"/>
    <w:rsid w:val="001C5AA3"/>
    <w:rsid w:val="001C6042"/>
    <w:rsid w:val="001C6A81"/>
    <w:rsid w:val="001C6EC1"/>
    <w:rsid w:val="001D0BED"/>
    <w:rsid w:val="001D24BB"/>
    <w:rsid w:val="001D30DD"/>
    <w:rsid w:val="001D3CEA"/>
    <w:rsid w:val="001D43F0"/>
    <w:rsid w:val="001D6ED7"/>
    <w:rsid w:val="001D76A1"/>
    <w:rsid w:val="001E3B20"/>
    <w:rsid w:val="001E4A9F"/>
    <w:rsid w:val="001F14C4"/>
    <w:rsid w:val="001F2767"/>
    <w:rsid w:val="001F429B"/>
    <w:rsid w:val="001F43C6"/>
    <w:rsid w:val="001F4C63"/>
    <w:rsid w:val="001F661E"/>
    <w:rsid w:val="001F7E31"/>
    <w:rsid w:val="00201062"/>
    <w:rsid w:val="0020236F"/>
    <w:rsid w:val="00204DA6"/>
    <w:rsid w:val="0020567D"/>
    <w:rsid w:val="002056F9"/>
    <w:rsid w:val="00205B7D"/>
    <w:rsid w:val="002062F2"/>
    <w:rsid w:val="0020786F"/>
    <w:rsid w:val="002102AD"/>
    <w:rsid w:val="00210450"/>
    <w:rsid w:val="002105F0"/>
    <w:rsid w:val="00213AC9"/>
    <w:rsid w:val="00214C2B"/>
    <w:rsid w:val="00214D48"/>
    <w:rsid w:val="0022062E"/>
    <w:rsid w:val="002212C4"/>
    <w:rsid w:val="0022186D"/>
    <w:rsid w:val="00223848"/>
    <w:rsid w:val="00223A5B"/>
    <w:rsid w:val="00224A52"/>
    <w:rsid w:val="002261D7"/>
    <w:rsid w:val="002266CD"/>
    <w:rsid w:val="0022698F"/>
    <w:rsid w:val="00230A8D"/>
    <w:rsid w:val="00231CB7"/>
    <w:rsid w:val="00233356"/>
    <w:rsid w:val="00235AC1"/>
    <w:rsid w:val="0023638E"/>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447"/>
    <w:rsid w:val="00267D7C"/>
    <w:rsid w:val="00270E20"/>
    <w:rsid w:val="00271324"/>
    <w:rsid w:val="00274B01"/>
    <w:rsid w:val="00274EFC"/>
    <w:rsid w:val="00275F7B"/>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04"/>
    <w:rsid w:val="002A5124"/>
    <w:rsid w:val="002A683A"/>
    <w:rsid w:val="002A6BAE"/>
    <w:rsid w:val="002A72A8"/>
    <w:rsid w:val="002A7EFA"/>
    <w:rsid w:val="002B0298"/>
    <w:rsid w:val="002B186A"/>
    <w:rsid w:val="002B1BA5"/>
    <w:rsid w:val="002B3711"/>
    <w:rsid w:val="002B4A4B"/>
    <w:rsid w:val="002B5650"/>
    <w:rsid w:val="002B6B66"/>
    <w:rsid w:val="002B78AF"/>
    <w:rsid w:val="002C0C85"/>
    <w:rsid w:val="002C2C53"/>
    <w:rsid w:val="002C3804"/>
    <w:rsid w:val="002C65F6"/>
    <w:rsid w:val="002C7AA4"/>
    <w:rsid w:val="002D2F86"/>
    <w:rsid w:val="002D5386"/>
    <w:rsid w:val="002D6849"/>
    <w:rsid w:val="002D6DC6"/>
    <w:rsid w:val="002D7C56"/>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40EC"/>
    <w:rsid w:val="00307917"/>
    <w:rsid w:val="00310479"/>
    <w:rsid w:val="00310AA4"/>
    <w:rsid w:val="0031167A"/>
    <w:rsid w:val="00316329"/>
    <w:rsid w:val="003214B7"/>
    <w:rsid w:val="00322583"/>
    <w:rsid w:val="00322E59"/>
    <w:rsid w:val="00323729"/>
    <w:rsid w:val="00323B52"/>
    <w:rsid w:val="00323E60"/>
    <w:rsid w:val="003250A1"/>
    <w:rsid w:val="0032789C"/>
    <w:rsid w:val="00327C7D"/>
    <w:rsid w:val="003302F0"/>
    <w:rsid w:val="00332DA4"/>
    <w:rsid w:val="00334D83"/>
    <w:rsid w:val="003371DD"/>
    <w:rsid w:val="00340D15"/>
    <w:rsid w:val="003413F9"/>
    <w:rsid w:val="0034305B"/>
    <w:rsid w:val="00347CAD"/>
    <w:rsid w:val="00350E72"/>
    <w:rsid w:val="00351EEF"/>
    <w:rsid w:val="0035254A"/>
    <w:rsid w:val="003565A0"/>
    <w:rsid w:val="003618CE"/>
    <w:rsid w:val="00365766"/>
    <w:rsid w:val="00365F56"/>
    <w:rsid w:val="003670EB"/>
    <w:rsid w:val="00367EAB"/>
    <w:rsid w:val="0037368A"/>
    <w:rsid w:val="00375107"/>
    <w:rsid w:val="0037517D"/>
    <w:rsid w:val="003822F9"/>
    <w:rsid w:val="00384E3C"/>
    <w:rsid w:val="00385323"/>
    <w:rsid w:val="0039130B"/>
    <w:rsid w:val="00391E7C"/>
    <w:rsid w:val="00392AD8"/>
    <w:rsid w:val="00393589"/>
    <w:rsid w:val="00393A4C"/>
    <w:rsid w:val="003949AE"/>
    <w:rsid w:val="003A137B"/>
    <w:rsid w:val="003A19D2"/>
    <w:rsid w:val="003A3963"/>
    <w:rsid w:val="003A546B"/>
    <w:rsid w:val="003A74F5"/>
    <w:rsid w:val="003B1CEB"/>
    <w:rsid w:val="003B24CA"/>
    <w:rsid w:val="003B2A7E"/>
    <w:rsid w:val="003B2B02"/>
    <w:rsid w:val="003B4EAE"/>
    <w:rsid w:val="003B774D"/>
    <w:rsid w:val="003B7907"/>
    <w:rsid w:val="003C46C5"/>
    <w:rsid w:val="003C4B74"/>
    <w:rsid w:val="003C527A"/>
    <w:rsid w:val="003C637D"/>
    <w:rsid w:val="003C7A48"/>
    <w:rsid w:val="003C7F20"/>
    <w:rsid w:val="003D10C3"/>
    <w:rsid w:val="003D1A22"/>
    <w:rsid w:val="003D3253"/>
    <w:rsid w:val="003D391F"/>
    <w:rsid w:val="003D7052"/>
    <w:rsid w:val="003D7E13"/>
    <w:rsid w:val="003E074D"/>
    <w:rsid w:val="003E0777"/>
    <w:rsid w:val="003E2D56"/>
    <w:rsid w:val="003E4007"/>
    <w:rsid w:val="003E5724"/>
    <w:rsid w:val="003E6C02"/>
    <w:rsid w:val="003F2982"/>
    <w:rsid w:val="003F4084"/>
    <w:rsid w:val="003F77E0"/>
    <w:rsid w:val="00400057"/>
    <w:rsid w:val="00400B4D"/>
    <w:rsid w:val="00400BD4"/>
    <w:rsid w:val="004014D1"/>
    <w:rsid w:val="004039C1"/>
    <w:rsid w:val="00403FEC"/>
    <w:rsid w:val="00404284"/>
    <w:rsid w:val="00407D88"/>
    <w:rsid w:val="004109FD"/>
    <w:rsid w:val="0041394C"/>
    <w:rsid w:val="00413B7A"/>
    <w:rsid w:val="0041460B"/>
    <w:rsid w:val="00414F64"/>
    <w:rsid w:val="0041771F"/>
    <w:rsid w:val="00417C8A"/>
    <w:rsid w:val="0042136D"/>
    <w:rsid w:val="00423BEF"/>
    <w:rsid w:val="00424C70"/>
    <w:rsid w:val="0042557D"/>
    <w:rsid w:val="00426003"/>
    <w:rsid w:val="00426CA3"/>
    <w:rsid w:val="00427B10"/>
    <w:rsid w:val="004350B7"/>
    <w:rsid w:val="004357E0"/>
    <w:rsid w:val="0043766D"/>
    <w:rsid w:val="00441896"/>
    <w:rsid w:val="00442935"/>
    <w:rsid w:val="0044422F"/>
    <w:rsid w:val="004443C5"/>
    <w:rsid w:val="00445C1C"/>
    <w:rsid w:val="00447789"/>
    <w:rsid w:val="00450F51"/>
    <w:rsid w:val="004513F6"/>
    <w:rsid w:val="00451D55"/>
    <w:rsid w:val="00457231"/>
    <w:rsid w:val="00457BF2"/>
    <w:rsid w:val="004600A6"/>
    <w:rsid w:val="00460793"/>
    <w:rsid w:val="0046142B"/>
    <w:rsid w:val="00461637"/>
    <w:rsid w:val="00463E5C"/>
    <w:rsid w:val="00464359"/>
    <w:rsid w:val="00465D0D"/>
    <w:rsid w:val="00467CFF"/>
    <w:rsid w:val="0047117D"/>
    <w:rsid w:val="00471407"/>
    <w:rsid w:val="00471DA5"/>
    <w:rsid w:val="00472E4E"/>
    <w:rsid w:val="0047483C"/>
    <w:rsid w:val="00474BED"/>
    <w:rsid w:val="00476C0B"/>
    <w:rsid w:val="00477EFE"/>
    <w:rsid w:val="00480630"/>
    <w:rsid w:val="004832BC"/>
    <w:rsid w:val="00485E04"/>
    <w:rsid w:val="00486B01"/>
    <w:rsid w:val="00487465"/>
    <w:rsid w:val="004939A7"/>
    <w:rsid w:val="00495C9D"/>
    <w:rsid w:val="0049681F"/>
    <w:rsid w:val="00497699"/>
    <w:rsid w:val="00497DB2"/>
    <w:rsid w:val="004A0174"/>
    <w:rsid w:val="004A236E"/>
    <w:rsid w:val="004A3418"/>
    <w:rsid w:val="004A403F"/>
    <w:rsid w:val="004A4133"/>
    <w:rsid w:val="004A51BA"/>
    <w:rsid w:val="004A5DF1"/>
    <w:rsid w:val="004A6677"/>
    <w:rsid w:val="004A7A78"/>
    <w:rsid w:val="004B0401"/>
    <w:rsid w:val="004B3B15"/>
    <w:rsid w:val="004B5136"/>
    <w:rsid w:val="004B5B9E"/>
    <w:rsid w:val="004B675E"/>
    <w:rsid w:val="004C0238"/>
    <w:rsid w:val="004C0EE6"/>
    <w:rsid w:val="004C30B9"/>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4899"/>
    <w:rsid w:val="004E7CD7"/>
    <w:rsid w:val="004F3734"/>
    <w:rsid w:val="004F69CA"/>
    <w:rsid w:val="004F7507"/>
    <w:rsid w:val="004F7995"/>
    <w:rsid w:val="004F7A8D"/>
    <w:rsid w:val="00503D74"/>
    <w:rsid w:val="005041C0"/>
    <w:rsid w:val="0050570A"/>
    <w:rsid w:val="0050629F"/>
    <w:rsid w:val="00513DE6"/>
    <w:rsid w:val="005144B2"/>
    <w:rsid w:val="00517733"/>
    <w:rsid w:val="005215F9"/>
    <w:rsid w:val="00522169"/>
    <w:rsid w:val="005230CA"/>
    <w:rsid w:val="0052340D"/>
    <w:rsid w:val="0052376F"/>
    <w:rsid w:val="00524FD6"/>
    <w:rsid w:val="00527442"/>
    <w:rsid w:val="00527E1C"/>
    <w:rsid w:val="00532937"/>
    <w:rsid w:val="00532D0F"/>
    <w:rsid w:val="005351C1"/>
    <w:rsid w:val="00536FBF"/>
    <w:rsid w:val="0054018C"/>
    <w:rsid w:val="005410BB"/>
    <w:rsid w:val="00544130"/>
    <w:rsid w:val="005459FE"/>
    <w:rsid w:val="00545F40"/>
    <w:rsid w:val="00553FE7"/>
    <w:rsid w:val="0055544C"/>
    <w:rsid w:val="00555780"/>
    <w:rsid w:val="00556840"/>
    <w:rsid w:val="00557737"/>
    <w:rsid w:val="0056065C"/>
    <w:rsid w:val="00565E32"/>
    <w:rsid w:val="00565EF8"/>
    <w:rsid w:val="00566709"/>
    <w:rsid w:val="00566FBC"/>
    <w:rsid w:val="0057066B"/>
    <w:rsid w:val="00570DFC"/>
    <w:rsid w:val="00572BAD"/>
    <w:rsid w:val="00573677"/>
    <w:rsid w:val="005738F4"/>
    <w:rsid w:val="00573BCB"/>
    <w:rsid w:val="00575CC2"/>
    <w:rsid w:val="00576529"/>
    <w:rsid w:val="00576EFE"/>
    <w:rsid w:val="005770CA"/>
    <w:rsid w:val="00581324"/>
    <w:rsid w:val="00582D8F"/>
    <w:rsid w:val="00585233"/>
    <w:rsid w:val="0058680D"/>
    <w:rsid w:val="00586C3A"/>
    <w:rsid w:val="005879E7"/>
    <w:rsid w:val="00590A70"/>
    <w:rsid w:val="00591190"/>
    <w:rsid w:val="00591584"/>
    <w:rsid w:val="00594CDD"/>
    <w:rsid w:val="005A3003"/>
    <w:rsid w:val="005A32FB"/>
    <w:rsid w:val="005A3E6E"/>
    <w:rsid w:val="005A7A4A"/>
    <w:rsid w:val="005B180C"/>
    <w:rsid w:val="005C2908"/>
    <w:rsid w:val="005C2B59"/>
    <w:rsid w:val="005C30CF"/>
    <w:rsid w:val="005C3154"/>
    <w:rsid w:val="005C3A22"/>
    <w:rsid w:val="005C54A7"/>
    <w:rsid w:val="005C6EE6"/>
    <w:rsid w:val="005C6F10"/>
    <w:rsid w:val="005D0155"/>
    <w:rsid w:val="005D2F62"/>
    <w:rsid w:val="005D375C"/>
    <w:rsid w:val="005D451A"/>
    <w:rsid w:val="005D6575"/>
    <w:rsid w:val="005D70ED"/>
    <w:rsid w:val="005E282B"/>
    <w:rsid w:val="005E33BD"/>
    <w:rsid w:val="005E4144"/>
    <w:rsid w:val="005E4CB0"/>
    <w:rsid w:val="005E5B57"/>
    <w:rsid w:val="005E68E7"/>
    <w:rsid w:val="005F510E"/>
    <w:rsid w:val="005F5691"/>
    <w:rsid w:val="005F78A5"/>
    <w:rsid w:val="00601F1E"/>
    <w:rsid w:val="006029F2"/>
    <w:rsid w:val="00604458"/>
    <w:rsid w:val="00605CCE"/>
    <w:rsid w:val="00606ED5"/>
    <w:rsid w:val="006070BD"/>
    <w:rsid w:val="006073C6"/>
    <w:rsid w:val="00607E60"/>
    <w:rsid w:val="006107F3"/>
    <w:rsid w:val="006120C0"/>
    <w:rsid w:val="00615BAF"/>
    <w:rsid w:val="00617775"/>
    <w:rsid w:val="00622201"/>
    <w:rsid w:val="006225C8"/>
    <w:rsid w:val="006225CB"/>
    <w:rsid w:val="00624516"/>
    <w:rsid w:val="00625199"/>
    <w:rsid w:val="006257E9"/>
    <w:rsid w:val="00625BC2"/>
    <w:rsid w:val="0062625D"/>
    <w:rsid w:val="006264DB"/>
    <w:rsid w:val="00630ADC"/>
    <w:rsid w:val="00630CF7"/>
    <w:rsid w:val="006351A3"/>
    <w:rsid w:val="00637770"/>
    <w:rsid w:val="006378C9"/>
    <w:rsid w:val="00642276"/>
    <w:rsid w:val="00643AA9"/>
    <w:rsid w:val="00643BDC"/>
    <w:rsid w:val="0064613F"/>
    <w:rsid w:val="006465FE"/>
    <w:rsid w:val="006467D7"/>
    <w:rsid w:val="00646E44"/>
    <w:rsid w:val="00651F43"/>
    <w:rsid w:val="006527F3"/>
    <w:rsid w:val="00652DCD"/>
    <w:rsid w:val="006541FB"/>
    <w:rsid w:val="006628E8"/>
    <w:rsid w:val="00665466"/>
    <w:rsid w:val="00665C19"/>
    <w:rsid w:val="00665CBD"/>
    <w:rsid w:val="00671A32"/>
    <w:rsid w:val="00672AC8"/>
    <w:rsid w:val="00675C4B"/>
    <w:rsid w:val="0067762D"/>
    <w:rsid w:val="00680B4E"/>
    <w:rsid w:val="006810E4"/>
    <w:rsid w:val="006814C4"/>
    <w:rsid w:val="006839B6"/>
    <w:rsid w:val="006843E1"/>
    <w:rsid w:val="006856F5"/>
    <w:rsid w:val="0068671B"/>
    <w:rsid w:val="00686CFF"/>
    <w:rsid w:val="00686F48"/>
    <w:rsid w:val="006872D9"/>
    <w:rsid w:val="00687DA3"/>
    <w:rsid w:val="0069160B"/>
    <w:rsid w:val="006936A5"/>
    <w:rsid w:val="006948E4"/>
    <w:rsid w:val="00694B34"/>
    <w:rsid w:val="00694B87"/>
    <w:rsid w:val="00694D00"/>
    <w:rsid w:val="006A1906"/>
    <w:rsid w:val="006A3D9E"/>
    <w:rsid w:val="006A4F05"/>
    <w:rsid w:val="006A69A8"/>
    <w:rsid w:val="006B183A"/>
    <w:rsid w:val="006B1904"/>
    <w:rsid w:val="006B1A97"/>
    <w:rsid w:val="006B4F54"/>
    <w:rsid w:val="006B6B67"/>
    <w:rsid w:val="006C002F"/>
    <w:rsid w:val="006C02F5"/>
    <w:rsid w:val="006C5FEF"/>
    <w:rsid w:val="006C7EB3"/>
    <w:rsid w:val="006D34FE"/>
    <w:rsid w:val="006D5227"/>
    <w:rsid w:val="006D629D"/>
    <w:rsid w:val="006E51D3"/>
    <w:rsid w:val="006E64A5"/>
    <w:rsid w:val="006E6C77"/>
    <w:rsid w:val="006E772C"/>
    <w:rsid w:val="006E797A"/>
    <w:rsid w:val="006F0A0C"/>
    <w:rsid w:val="006F19C6"/>
    <w:rsid w:val="006F1D8D"/>
    <w:rsid w:val="006F2510"/>
    <w:rsid w:val="006F3A0F"/>
    <w:rsid w:val="006F3BC8"/>
    <w:rsid w:val="007014C0"/>
    <w:rsid w:val="00702458"/>
    <w:rsid w:val="00704455"/>
    <w:rsid w:val="007047D8"/>
    <w:rsid w:val="00707395"/>
    <w:rsid w:val="007122EB"/>
    <w:rsid w:val="00715B09"/>
    <w:rsid w:val="0072144E"/>
    <w:rsid w:val="00721BF4"/>
    <w:rsid w:val="00722300"/>
    <w:rsid w:val="00722DF5"/>
    <w:rsid w:val="00725A2B"/>
    <w:rsid w:val="007266EE"/>
    <w:rsid w:val="00727382"/>
    <w:rsid w:val="0072764B"/>
    <w:rsid w:val="00727936"/>
    <w:rsid w:val="00727E2C"/>
    <w:rsid w:val="00727F6F"/>
    <w:rsid w:val="007327FF"/>
    <w:rsid w:val="007402C2"/>
    <w:rsid w:val="007402D5"/>
    <w:rsid w:val="00740EED"/>
    <w:rsid w:val="00741976"/>
    <w:rsid w:val="00741F19"/>
    <w:rsid w:val="00743134"/>
    <w:rsid w:val="007434A7"/>
    <w:rsid w:val="007435B2"/>
    <w:rsid w:val="00743C5C"/>
    <w:rsid w:val="00750795"/>
    <w:rsid w:val="0075094E"/>
    <w:rsid w:val="00751DF3"/>
    <w:rsid w:val="00752F32"/>
    <w:rsid w:val="0075304B"/>
    <w:rsid w:val="00757BAC"/>
    <w:rsid w:val="0076108E"/>
    <w:rsid w:val="00762B5C"/>
    <w:rsid w:val="00766FAE"/>
    <w:rsid w:val="007715B9"/>
    <w:rsid w:val="00771654"/>
    <w:rsid w:val="00772AC2"/>
    <w:rsid w:val="00773A2C"/>
    <w:rsid w:val="00775269"/>
    <w:rsid w:val="0077608C"/>
    <w:rsid w:val="007774FA"/>
    <w:rsid w:val="00777C1A"/>
    <w:rsid w:val="00777D9F"/>
    <w:rsid w:val="00777DF4"/>
    <w:rsid w:val="00777F21"/>
    <w:rsid w:val="00780272"/>
    <w:rsid w:val="007804F7"/>
    <w:rsid w:val="007809BE"/>
    <w:rsid w:val="00780D50"/>
    <w:rsid w:val="007814B9"/>
    <w:rsid w:val="0078178E"/>
    <w:rsid w:val="007822C3"/>
    <w:rsid w:val="00784810"/>
    <w:rsid w:val="00785B15"/>
    <w:rsid w:val="00787752"/>
    <w:rsid w:val="007910DD"/>
    <w:rsid w:val="0079174D"/>
    <w:rsid w:val="00793282"/>
    <w:rsid w:val="0079412B"/>
    <w:rsid w:val="00794E94"/>
    <w:rsid w:val="00794F1B"/>
    <w:rsid w:val="007A06F3"/>
    <w:rsid w:val="007A160C"/>
    <w:rsid w:val="007A179B"/>
    <w:rsid w:val="007A4FF4"/>
    <w:rsid w:val="007A5361"/>
    <w:rsid w:val="007A6CC8"/>
    <w:rsid w:val="007B0001"/>
    <w:rsid w:val="007B3695"/>
    <w:rsid w:val="007B58B1"/>
    <w:rsid w:val="007B5ADD"/>
    <w:rsid w:val="007B6A7E"/>
    <w:rsid w:val="007B7257"/>
    <w:rsid w:val="007C2503"/>
    <w:rsid w:val="007C2B7A"/>
    <w:rsid w:val="007C4BF9"/>
    <w:rsid w:val="007C5716"/>
    <w:rsid w:val="007D0823"/>
    <w:rsid w:val="007D1249"/>
    <w:rsid w:val="007D3E95"/>
    <w:rsid w:val="007D4361"/>
    <w:rsid w:val="007D506A"/>
    <w:rsid w:val="007D7005"/>
    <w:rsid w:val="007E3068"/>
    <w:rsid w:val="007E5F60"/>
    <w:rsid w:val="007E6C18"/>
    <w:rsid w:val="007E765C"/>
    <w:rsid w:val="007F0029"/>
    <w:rsid w:val="007F0976"/>
    <w:rsid w:val="007F168D"/>
    <w:rsid w:val="007F1749"/>
    <w:rsid w:val="007F3580"/>
    <w:rsid w:val="007F5965"/>
    <w:rsid w:val="007F5CEC"/>
    <w:rsid w:val="007F6983"/>
    <w:rsid w:val="007F79BA"/>
    <w:rsid w:val="00800AE2"/>
    <w:rsid w:val="00801A06"/>
    <w:rsid w:val="00802471"/>
    <w:rsid w:val="00803059"/>
    <w:rsid w:val="008030DC"/>
    <w:rsid w:val="008040CB"/>
    <w:rsid w:val="0080418D"/>
    <w:rsid w:val="008050DE"/>
    <w:rsid w:val="008070FB"/>
    <w:rsid w:val="00810D84"/>
    <w:rsid w:val="00811B05"/>
    <w:rsid w:val="008125CD"/>
    <w:rsid w:val="00813057"/>
    <w:rsid w:val="00813A0F"/>
    <w:rsid w:val="00815230"/>
    <w:rsid w:val="00816151"/>
    <w:rsid w:val="00817564"/>
    <w:rsid w:val="00817EB6"/>
    <w:rsid w:val="0082016A"/>
    <w:rsid w:val="00820ECE"/>
    <w:rsid w:val="0082176B"/>
    <w:rsid w:val="00821954"/>
    <w:rsid w:val="008219AD"/>
    <w:rsid w:val="00822072"/>
    <w:rsid w:val="00822430"/>
    <w:rsid w:val="008231ED"/>
    <w:rsid w:val="0082403F"/>
    <w:rsid w:val="008244BC"/>
    <w:rsid w:val="0082455A"/>
    <w:rsid w:val="008248BC"/>
    <w:rsid w:val="008249F4"/>
    <w:rsid w:val="00825C61"/>
    <w:rsid w:val="00827589"/>
    <w:rsid w:val="00827791"/>
    <w:rsid w:val="0083025C"/>
    <w:rsid w:val="00830F84"/>
    <w:rsid w:val="008310B0"/>
    <w:rsid w:val="008325F0"/>
    <w:rsid w:val="00832CA5"/>
    <w:rsid w:val="00834788"/>
    <w:rsid w:val="00836946"/>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5797"/>
    <w:rsid w:val="00886234"/>
    <w:rsid w:val="008863D4"/>
    <w:rsid w:val="00886634"/>
    <w:rsid w:val="00887B85"/>
    <w:rsid w:val="00890B37"/>
    <w:rsid w:val="00890DCD"/>
    <w:rsid w:val="00896670"/>
    <w:rsid w:val="00896BE8"/>
    <w:rsid w:val="00896ED5"/>
    <w:rsid w:val="00897A25"/>
    <w:rsid w:val="008A037C"/>
    <w:rsid w:val="008A17D1"/>
    <w:rsid w:val="008A251A"/>
    <w:rsid w:val="008A5161"/>
    <w:rsid w:val="008A6135"/>
    <w:rsid w:val="008A7376"/>
    <w:rsid w:val="008B3587"/>
    <w:rsid w:val="008B3818"/>
    <w:rsid w:val="008B43D4"/>
    <w:rsid w:val="008B470F"/>
    <w:rsid w:val="008B6655"/>
    <w:rsid w:val="008C0F39"/>
    <w:rsid w:val="008C3401"/>
    <w:rsid w:val="008C4226"/>
    <w:rsid w:val="008C4325"/>
    <w:rsid w:val="008C4B7C"/>
    <w:rsid w:val="008C4E5B"/>
    <w:rsid w:val="008C5CF0"/>
    <w:rsid w:val="008C764A"/>
    <w:rsid w:val="008D18D9"/>
    <w:rsid w:val="008D4AB1"/>
    <w:rsid w:val="008D7471"/>
    <w:rsid w:val="008D7B31"/>
    <w:rsid w:val="008E19EE"/>
    <w:rsid w:val="008E1A0D"/>
    <w:rsid w:val="008E316D"/>
    <w:rsid w:val="008E4B80"/>
    <w:rsid w:val="008E6364"/>
    <w:rsid w:val="008E7F7C"/>
    <w:rsid w:val="008F03D5"/>
    <w:rsid w:val="008F07DF"/>
    <w:rsid w:val="008F1A2E"/>
    <w:rsid w:val="008F526D"/>
    <w:rsid w:val="00900D76"/>
    <w:rsid w:val="00901100"/>
    <w:rsid w:val="0090286C"/>
    <w:rsid w:val="0090287D"/>
    <w:rsid w:val="009048AE"/>
    <w:rsid w:val="00906681"/>
    <w:rsid w:val="009072A8"/>
    <w:rsid w:val="00907BAD"/>
    <w:rsid w:val="00910AEC"/>
    <w:rsid w:val="00911FE1"/>
    <w:rsid w:val="00912BD2"/>
    <w:rsid w:val="009175CE"/>
    <w:rsid w:val="0092030F"/>
    <w:rsid w:val="009215A1"/>
    <w:rsid w:val="00921A52"/>
    <w:rsid w:val="009247EE"/>
    <w:rsid w:val="009250EF"/>
    <w:rsid w:val="00926541"/>
    <w:rsid w:val="00926E3F"/>
    <w:rsid w:val="009271D3"/>
    <w:rsid w:val="00927477"/>
    <w:rsid w:val="0093010E"/>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590D"/>
    <w:rsid w:val="00947BAD"/>
    <w:rsid w:val="00947FE6"/>
    <w:rsid w:val="00952269"/>
    <w:rsid w:val="00952CE1"/>
    <w:rsid w:val="00953507"/>
    <w:rsid w:val="009557D2"/>
    <w:rsid w:val="009568DF"/>
    <w:rsid w:val="0095792B"/>
    <w:rsid w:val="009626CD"/>
    <w:rsid w:val="009639DC"/>
    <w:rsid w:val="00963B11"/>
    <w:rsid w:val="0096450C"/>
    <w:rsid w:val="009700D6"/>
    <w:rsid w:val="00970329"/>
    <w:rsid w:val="00970F9E"/>
    <w:rsid w:val="009712BD"/>
    <w:rsid w:val="00974BCB"/>
    <w:rsid w:val="00975C87"/>
    <w:rsid w:val="00976585"/>
    <w:rsid w:val="009833C8"/>
    <w:rsid w:val="00984648"/>
    <w:rsid w:val="00986357"/>
    <w:rsid w:val="009924D5"/>
    <w:rsid w:val="009931AC"/>
    <w:rsid w:val="009931D0"/>
    <w:rsid w:val="00993E50"/>
    <w:rsid w:val="00995623"/>
    <w:rsid w:val="00995807"/>
    <w:rsid w:val="00995C94"/>
    <w:rsid w:val="0099637C"/>
    <w:rsid w:val="0099775A"/>
    <w:rsid w:val="00997ACE"/>
    <w:rsid w:val="009A2940"/>
    <w:rsid w:val="009A373E"/>
    <w:rsid w:val="009A5E9D"/>
    <w:rsid w:val="009A728E"/>
    <w:rsid w:val="009A74ED"/>
    <w:rsid w:val="009B0779"/>
    <w:rsid w:val="009B1146"/>
    <w:rsid w:val="009B206E"/>
    <w:rsid w:val="009B24E0"/>
    <w:rsid w:val="009B3A3E"/>
    <w:rsid w:val="009B55F5"/>
    <w:rsid w:val="009B7B41"/>
    <w:rsid w:val="009C17E3"/>
    <w:rsid w:val="009C221E"/>
    <w:rsid w:val="009C3B05"/>
    <w:rsid w:val="009C473A"/>
    <w:rsid w:val="009C4D5D"/>
    <w:rsid w:val="009C4F71"/>
    <w:rsid w:val="009C6549"/>
    <w:rsid w:val="009C725B"/>
    <w:rsid w:val="009C76D3"/>
    <w:rsid w:val="009C77E0"/>
    <w:rsid w:val="009D13D6"/>
    <w:rsid w:val="009D1860"/>
    <w:rsid w:val="009D3E5A"/>
    <w:rsid w:val="009D5067"/>
    <w:rsid w:val="009D5C27"/>
    <w:rsid w:val="009D5D43"/>
    <w:rsid w:val="009D744F"/>
    <w:rsid w:val="009E0132"/>
    <w:rsid w:val="009E0166"/>
    <w:rsid w:val="009E1AA0"/>
    <w:rsid w:val="009E2D6F"/>
    <w:rsid w:val="009E3C73"/>
    <w:rsid w:val="009E4458"/>
    <w:rsid w:val="009E6D86"/>
    <w:rsid w:val="009E7112"/>
    <w:rsid w:val="009F3AC5"/>
    <w:rsid w:val="009F3F77"/>
    <w:rsid w:val="009F51CF"/>
    <w:rsid w:val="009F55BF"/>
    <w:rsid w:val="009F5C24"/>
    <w:rsid w:val="009F5CDD"/>
    <w:rsid w:val="009F7C75"/>
    <w:rsid w:val="00A042F1"/>
    <w:rsid w:val="00A05568"/>
    <w:rsid w:val="00A0629A"/>
    <w:rsid w:val="00A10B9C"/>
    <w:rsid w:val="00A15C91"/>
    <w:rsid w:val="00A1715B"/>
    <w:rsid w:val="00A200B6"/>
    <w:rsid w:val="00A2031E"/>
    <w:rsid w:val="00A20F2A"/>
    <w:rsid w:val="00A216B1"/>
    <w:rsid w:val="00A22975"/>
    <w:rsid w:val="00A22F25"/>
    <w:rsid w:val="00A23624"/>
    <w:rsid w:val="00A23D3B"/>
    <w:rsid w:val="00A26379"/>
    <w:rsid w:val="00A270A3"/>
    <w:rsid w:val="00A27EE2"/>
    <w:rsid w:val="00A30D6F"/>
    <w:rsid w:val="00A34393"/>
    <w:rsid w:val="00A36348"/>
    <w:rsid w:val="00A36FB8"/>
    <w:rsid w:val="00A40FD5"/>
    <w:rsid w:val="00A41EAC"/>
    <w:rsid w:val="00A428D5"/>
    <w:rsid w:val="00A42B9E"/>
    <w:rsid w:val="00A44F6D"/>
    <w:rsid w:val="00A44FE5"/>
    <w:rsid w:val="00A4609C"/>
    <w:rsid w:val="00A472EC"/>
    <w:rsid w:val="00A5358B"/>
    <w:rsid w:val="00A53D4A"/>
    <w:rsid w:val="00A55F87"/>
    <w:rsid w:val="00A56E2E"/>
    <w:rsid w:val="00A63F66"/>
    <w:rsid w:val="00A67420"/>
    <w:rsid w:val="00A7154B"/>
    <w:rsid w:val="00A746F5"/>
    <w:rsid w:val="00A74AD9"/>
    <w:rsid w:val="00A74F5D"/>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4A9"/>
    <w:rsid w:val="00AA17DC"/>
    <w:rsid w:val="00AA6BF1"/>
    <w:rsid w:val="00AA7A18"/>
    <w:rsid w:val="00AB01E4"/>
    <w:rsid w:val="00AB1582"/>
    <w:rsid w:val="00AB29D3"/>
    <w:rsid w:val="00AB39F3"/>
    <w:rsid w:val="00AB3F35"/>
    <w:rsid w:val="00AB44CD"/>
    <w:rsid w:val="00AB44F1"/>
    <w:rsid w:val="00AB454D"/>
    <w:rsid w:val="00AC1694"/>
    <w:rsid w:val="00AC2B19"/>
    <w:rsid w:val="00AC3A1C"/>
    <w:rsid w:val="00AC3D35"/>
    <w:rsid w:val="00AC4A89"/>
    <w:rsid w:val="00AC6CEC"/>
    <w:rsid w:val="00AC7411"/>
    <w:rsid w:val="00AD0DBF"/>
    <w:rsid w:val="00AD5A99"/>
    <w:rsid w:val="00AD6ACB"/>
    <w:rsid w:val="00AE05FC"/>
    <w:rsid w:val="00AE1B40"/>
    <w:rsid w:val="00AE2ED6"/>
    <w:rsid w:val="00AF039F"/>
    <w:rsid w:val="00AF199C"/>
    <w:rsid w:val="00AF4A99"/>
    <w:rsid w:val="00AF5099"/>
    <w:rsid w:val="00AF6325"/>
    <w:rsid w:val="00AF7A6A"/>
    <w:rsid w:val="00B00F7A"/>
    <w:rsid w:val="00B012D5"/>
    <w:rsid w:val="00B0332B"/>
    <w:rsid w:val="00B03BEE"/>
    <w:rsid w:val="00B06CB0"/>
    <w:rsid w:val="00B077EB"/>
    <w:rsid w:val="00B11F7D"/>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15D4"/>
    <w:rsid w:val="00B517D8"/>
    <w:rsid w:val="00B55791"/>
    <w:rsid w:val="00B63318"/>
    <w:rsid w:val="00B665B5"/>
    <w:rsid w:val="00B66DC1"/>
    <w:rsid w:val="00B67101"/>
    <w:rsid w:val="00B706D0"/>
    <w:rsid w:val="00B73A67"/>
    <w:rsid w:val="00B76B6C"/>
    <w:rsid w:val="00B76F48"/>
    <w:rsid w:val="00B8043F"/>
    <w:rsid w:val="00B810F4"/>
    <w:rsid w:val="00B8308E"/>
    <w:rsid w:val="00B85012"/>
    <w:rsid w:val="00B91124"/>
    <w:rsid w:val="00B9180C"/>
    <w:rsid w:val="00B9298C"/>
    <w:rsid w:val="00B929F6"/>
    <w:rsid w:val="00B94480"/>
    <w:rsid w:val="00B97B7B"/>
    <w:rsid w:val="00B97BD6"/>
    <w:rsid w:val="00BA18A9"/>
    <w:rsid w:val="00BA2C2D"/>
    <w:rsid w:val="00BA4F14"/>
    <w:rsid w:val="00BA5161"/>
    <w:rsid w:val="00BB14F8"/>
    <w:rsid w:val="00BB1D3E"/>
    <w:rsid w:val="00BB20A2"/>
    <w:rsid w:val="00BB5269"/>
    <w:rsid w:val="00BC02D7"/>
    <w:rsid w:val="00BC058F"/>
    <w:rsid w:val="00BC1E6A"/>
    <w:rsid w:val="00BC3D6F"/>
    <w:rsid w:val="00BC500A"/>
    <w:rsid w:val="00BC57B1"/>
    <w:rsid w:val="00BC61AC"/>
    <w:rsid w:val="00BD0EBD"/>
    <w:rsid w:val="00BD20CF"/>
    <w:rsid w:val="00BD2AB1"/>
    <w:rsid w:val="00BD3984"/>
    <w:rsid w:val="00BD3B87"/>
    <w:rsid w:val="00BD4C35"/>
    <w:rsid w:val="00BE4CCA"/>
    <w:rsid w:val="00BE6FA5"/>
    <w:rsid w:val="00BF28ED"/>
    <w:rsid w:val="00BF4A9B"/>
    <w:rsid w:val="00BF4D63"/>
    <w:rsid w:val="00BF55E7"/>
    <w:rsid w:val="00C013D8"/>
    <w:rsid w:val="00C0150B"/>
    <w:rsid w:val="00C02786"/>
    <w:rsid w:val="00C036EC"/>
    <w:rsid w:val="00C04372"/>
    <w:rsid w:val="00C0598F"/>
    <w:rsid w:val="00C05D83"/>
    <w:rsid w:val="00C06B27"/>
    <w:rsid w:val="00C1042C"/>
    <w:rsid w:val="00C1171B"/>
    <w:rsid w:val="00C1389A"/>
    <w:rsid w:val="00C13CEC"/>
    <w:rsid w:val="00C13CF5"/>
    <w:rsid w:val="00C142D9"/>
    <w:rsid w:val="00C14BD8"/>
    <w:rsid w:val="00C17776"/>
    <w:rsid w:val="00C1781A"/>
    <w:rsid w:val="00C2059D"/>
    <w:rsid w:val="00C20DC8"/>
    <w:rsid w:val="00C23661"/>
    <w:rsid w:val="00C2561D"/>
    <w:rsid w:val="00C2741E"/>
    <w:rsid w:val="00C300F2"/>
    <w:rsid w:val="00C31EB2"/>
    <w:rsid w:val="00C320DF"/>
    <w:rsid w:val="00C329C3"/>
    <w:rsid w:val="00C34C64"/>
    <w:rsid w:val="00C35B77"/>
    <w:rsid w:val="00C35D54"/>
    <w:rsid w:val="00C408A4"/>
    <w:rsid w:val="00C4126C"/>
    <w:rsid w:val="00C42C0C"/>
    <w:rsid w:val="00C42C40"/>
    <w:rsid w:val="00C45D96"/>
    <w:rsid w:val="00C47F0A"/>
    <w:rsid w:val="00C55889"/>
    <w:rsid w:val="00C55E95"/>
    <w:rsid w:val="00C62563"/>
    <w:rsid w:val="00C6395F"/>
    <w:rsid w:val="00C642F8"/>
    <w:rsid w:val="00C649BC"/>
    <w:rsid w:val="00C66128"/>
    <w:rsid w:val="00C66BD5"/>
    <w:rsid w:val="00C66EE6"/>
    <w:rsid w:val="00C66FCB"/>
    <w:rsid w:val="00C670AB"/>
    <w:rsid w:val="00C71D3E"/>
    <w:rsid w:val="00C721C3"/>
    <w:rsid w:val="00C826A0"/>
    <w:rsid w:val="00C83068"/>
    <w:rsid w:val="00C83429"/>
    <w:rsid w:val="00C8410F"/>
    <w:rsid w:val="00C8512D"/>
    <w:rsid w:val="00C85A01"/>
    <w:rsid w:val="00C8637A"/>
    <w:rsid w:val="00C870A4"/>
    <w:rsid w:val="00C87C97"/>
    <w:rsid w:val="00C90ECA"/>
    <w:rsid w:val="00C93022"/>
    <w:rsid w:val="00C946D2"/>
    <w:rsid w:val="00C951D0"/>
    <w:rsid w:val="00CA285B"/>
    <w:rsid w:val="00CA4195"/>
    <w:rsid w:val="00CA45AE"/>
    <w:rsid w:val="00CA535D"/>
    <w:rsid w:val="00CA5747"/>
    <w:rsid w:val="00CA6080"/>
    <w:rsid w:val="00CA61D7"/>
    <w:rsid w:val="00CA70BF"/>
    <w:rsid w:val="00CA7348"/>
    <w:rsid w:val="00CA7986"/>
    <w:rsid w:val="00CB16E8"/>
    <w:rsid w:val="00CB2CE8"/>
    <w:rsid w:val="00CB364F"/>
    <w:rsid w:val="00CB394A"/>
    <w:rsid w:val="00CB7229"/>
    <w:rsid w:val="00CC0E83"/>
    <w:rsid w:val="00CC1D36"/>
    <w:rsid w:val="00CC4095"/>
    <w:rsid w:val="00CC5BDB"/>
    <w:rsid w:val="00CC6070"/>
    <w:rsid w:val="00CC718E"/>
    <w:rsid w:val="00CD1CAB"/>
    <w:rsid w:val="00CD3144"/>
    <w:rsid w:val="00CD3770"/>
    <w:rsid w:val="00CD3E5C"/>
    <w:rsid w:val="00CD5EDD"/>
    <w:rsid w:val="00CE2BA4"/>
    <w:rsid w:val="00CE3AD7"/>
    <w:rsid w:val="00CE4EFC"/>
    <w:rsid w:val="00CE50F5"/>
    <w:rsid w:val="00CF33C3"/>
    <w:rsid w:val="00CF33D2"/>
    <w:rsid w:val="00CF3AC6"/>
    <w:rsid w:val="00CF438E"/>
    <w:rsid w:val="00CF6074"/>
    <w:rsid w:val="00CF7F2A"/>
    <w:rsid w:val="00CF7F8F"/>
    <w:rsid w:val="00D019ED"/>
    <w:rsid w:val="00D0225D"/>
    <w:rsid w:val="00D026F7"/>
    <w:rsid w:val="00D03B6A"/>
    <w:rsid w:val="00D05597"/>
    <w:rsid w:val="00D05BBB"/>
    <w:rsid w:val="00D1373D"/>
    <w:rsid w:val="00D13ABF"/>
    <w:rsid w:val="00D16054"/>
    <w:rsid w:val="00D16316"/>
    <w:rsid w:val="00D200E4"/>
    <w:rsid w:val="00D2049A"/>
    <w:rsid w:val="00D213FC"/>
    <w:rsid w:val="00D24803"/>
    <w:rsid w:val="00D24ACD"/>
    <w:rsid w:val="00D25F92"/>
    <w:rsid w:val="00D268BA"/>
    <w:rsid w:val="00D311D4"/>
    <w:rsid w:val="00D322B6"/>
    <w:rsid w:val="00D32534"/>
    <w:rsid w:val="00D32B75"/>
    <w:rsid w:val="00D32C0A"/>
    <w:rsid w:val="00D32C17"/>
    <w:rsid w:val="00D340E0"/>
    <w:rsid w:val="00D353FF"/>
    <w:rsid w:val="00D402F9"/>
    <w:rsid w:val="00D434C3"/>
    <w:rsid w:val="00D44839"/>
    <w:rsid w:val="00D47043"/>
    <w:rsid w:val="00D47915"/>
    <w:rsid w:val="00D5093A"/>
    <w:rsid w:val="00D51479"/>
    <w:rsid w:val="00D55FFA"/>
    <w:rsid w:val="00D625F8"/>
    <w:rsid w:val="00D626F2"/>
    <w:rsid w:val="00D63D29"/>
    <w:rsid w:val="00D6421E"/>
    <w:rsid w:val="00D649AA"/>
    <w:rsid w:val="00D73372"/>
    <w:rsid w:val="00D73693"/>
    <w:rsid w:val="00D74A49"/>
    <w:rsid w:val="00D74BEC"/>
    <w:rsid w:val="00D754F3"/>
    <w:rsid w:val="00D75A07"/>
    <w:rsid w:val="00D80A4D"/>
    <w:rsid w:val="00D83294"/>
    <w:rsid w:val="00D832F2"/>
    <w:rsid w:val="00D83A4D"/>
    <w:rsid w:val="00D840D8"/>
    <w:rsid w:val="00D852B0"/>
    <w:rsid w:val="00D85827"/>
    <w:rsid w:val="00D85DCF"/>
    <w:rsid w:val="00D92EA4"/>
    <w:rsid w:val="00D93A13"/>
    <w:rsid w:val="00D949A2"/>
    <w:rsid w:val="00D94B21"/>
    <w:rsid w:val="00D9569D"/>
    <w:rsid w:val="00DA0B33"/>
    <w:rsid w:val="00DA1B47"/>
    <w:rsid w:val="00DA2036"/>
    <w:rsid w:val="00DA3FC7"/>
    <w:rsid w:val="00DA46E3"/>
    <w:rsid w:val="00DA4EC4"/>
    <w:rsid w:val="00DA55DB"/>
    <w:rsid w:val="00DA5953"/>
    <w:rsid w:val="00DA5BA5"/>
    <w:rsid w:val="00DA5CCE"/>
    <w:rsid w:val="00DA5D11"/>
    <w:rsid w:val="00DA662A"/>
    <w:rsid w:val="00DA7361"/>
    <w:rsid w:val="00DA7537"/>
    <w:rsid w:val="00DA7B21"/>
    <w:rsid w:val="00DA7BFE"/>
    <w:rsid w:val="00DB2FD1"/>
    <w:rsid w:val="00DB3137"/>
    <w:rsid w:val="00DB4CAF"/>
    <w:rsid w:val="00DB6503"/>
    <w:rsid w:val="00DB663C"/>
    <w:rsid w:val="00DC10A7"/>
    <w:rsid w:val="00DC168D"/>
    <w:rsid w:val="00DC2A50"/>
    <w:rsid w:val="00DC33B6"/>
    <w:rsid w:val="00DC63F9"/>
    <w:rsid w:val="00DD17E8"/>
    <w:rsid w:val="00DD29D3"/>
    <w:rsid w:val="00DD4B24"/>
    <w:rsid w:val="00DD5651"/>
    <w:rsid w:val="00DD6196"/>
    <w:rsid w:val="00DD64D2"/>
    <w:rsid w:val="00DE0474"/>
    <w:rsid w:val="00DE0E2E"/>
    <w:rsid w:val="00DE12F4"/>
    <w:rsid w:val="00DE1DFC"/>
    <w:rsid w:val="00DE208C"/>
    <w:rsid w:val="00DE53B2"/>
    <w:rsid w:val="00DE6B52"/>
    <w:rsid w:val="00DF13FF"/>
    <w:rsid w:val="00DF1553"/>
    <w:rsid w:val="00DF3FB1"/>
    <w:rsid w:val="00DF42AD"/>
    <w:rsid w:val="00DF4624"/>
    <w:rsid w:val="00DF4644"/>
    <w:rsid w:val="00DF46D3"/>
    <w:rsid w:val="00DF4743"/>
    <w:rsid w:val="00DF7B2B"/>
    <w:rsid w:val="00E01909"/>
    <w:rsid w:val="00E04E0A"/>
    <w:rsid w:val="00E04FDF"/>
    <w:rsid w:val="00E05A53"/>
    <w:rsid w:val="00E05F15"/>
    <w:rsid w:val="00E07D2B"/>
    <w:rsid w:val="00E10531"/>
    <w:rsid w:val="00E10877"/>
    <w:rsid w:val="00E10F29"/>
    <w:rsid w:val="00E1304F"/>
    <w:rsid w:val="00E13BC1"/>
    <w:rsid w:val="00E1419F"/>
    <w:rsid w:val="00E1468A"/>
    <w:rsid w:val="00E17315"/>
    <w:rsid w:val="00E17D79"/>
    <w:rsid w:val="00E20872"/>
    <w:rsid w:val="00E20A02"/>
    <w:rsid w:val="00E238C5"/>
    <w:rsid w:val="00E24CE9"/>
    <w:rsid w:val="00E261C5"/>
    <w:rsid w:val="00E32521"/>
    <w:rsid w:val="00E348B7"/>
    <w:rsid w:val="00E34C20"/>
    <w:rsid w:val="00E35D90"/>
    <w:rsid w:val="00E3742A"/>
    <w:rsid w:val="00E4159A"/>
    <w:rsid w:val="00E42DE4"/>
    <w:rsid w:val="00E45EE2"/>
    <w:rsid w:val="00E46623"/>
    <w:rsid w:val="00E46934"/>
    <w:rsid w:val="00E51C1B"/>
    <w:rsid w:val="00E52E4C"/>
    <w:rsid w:val="00E56E61"/>
    <w:rsid w:val="00E57296"/>
    <w:rsid w:val="00E622B2"/>
    <w:rsid w:val="00E633B5"/>
    <w:rsid w:val="00E644CD"/>
    <w:rsid w:val="00E65A9B"/>
    <w:rsid w:val="00E66135"/>
    <w:rsid w:val="00E715C6"/>
    <w:rsid w:val="00E720E4"/>
    <w:rsid w:val="00E7370C"/>
    <w:rsid w:val="00E76C25"/>
    <w:rsid w:val="00E775D2"/>
    <w:rsid w:val="00E77EC5"/>
    <w:rsid w:val="00E8010C"/>
    <w:rsid w:val="00E80AE9"/>
    <w:rsid w:val="00E82257"/>
    <w:rsid w:val="00E85789"/>
    <w:rsid w:val="00E9005A"/>
    <w:rsid w:val="00E90688"/>
    <w:rsid w:val="00E909D1"/>
    <w:rsid w:val="00E91461"/>
    <w:rsid w:val="00E91B94"/>
    <w:rsid w:val="00E93356"/>
    <w:rsid w:val="00EA0EAA"/>
    <w:rsid w:val="00EA357D"/>
    <w:rsid w:val="00EA37AB"/>
    <w:rsid w:val="00EA4736"/>
    <w:rsid w:val="00EA5BEE"/>
    <w:rsid w:val="00EA5D3F"/>
    <w:rsid w:val="00EA60CE"/>
    <w:rsid w:val="00EA62B8"/>
    <w:rsid w:val="00EA6B0D"/>
    <w:rsid w:val="00EB0AE3"/>
    <w:rsid w:val="00EB0BD9"/>
    <w:rsid w:val="00EB3246"/>
    <w:rsid w:val="00EB4FA7"/>
    <w:rsid w:val="00EB5222"/>
    <w:rsid w:val="00EB602F"/>
    <w:rsid w:val="00EB68EE"/>
    <w:rsid w:val="00EB7174"/>
    <w:rsid w:val="00EB7E69"/>
    <w:rsid w:val="00EC155E"/>
    <w:rsid w:val="00EC23C5"/>
    <w:rsid w:val="00EC2706"/>
    <w:rsid w:val="00EC287E"/>
    <w:rsid w:val="00EC3182"/>
    <w:rsid w:val="00EC35BE"/>
    <w:rsid w:val="00EC3F23"/>
    <w:rsid w:val="00EC57BD"/>
    <w:rsid w:val="00EC5AEE"/>
    <w:rsid w:val="00EC74CE"/>
    <w:rsid w:val="00EC7697"/>
    <w:rsid w:val="00EC77D6"/>
    <w:rsid w:val="00EC7AA0"/>
    <w:rsid w:val="00ED1F25"/>
    <w:rsid w:val="00ED23E5"/>
    <w:rsid w:val="00ED3A71"/>
    <w:rsid w:val="00ED758C"/>
    <w:rsid w:val="00EE06ED"/>
    <w:rsid w:val="00EE232E"/>
    <w:rsid w:val="00EE3209"/>
    <w:rsid w:val="00EE4212"/>
    <w:rsid w:val="00EE54FE"/>
    <w:rsid w:val="00EE55D8"/>
    <w:rsid w:val="00EE5E15"/>
    <w:rsid w:val="00EF03A2"/>
    <w:rsid w:val="00EF1A94"/>
    <w:rsid w:val="00EF20FA"/>
    <w:rsid w:val="00EF260C"/>
    <w:rsid w:val="00EF52D6"/>
    <w:rsid w:val="00EF5CBA"/>
    <w:rsid w:val="00EF6F61"/>
    <w:rsid w:val="00EF712E"/>
    <w:rsid w:val="00EF7E5B"/>
    <w:rsid w:val="00F00B43"/>
    <w:rsid w:val="00F0162F"/>
    <w:rsid w:val="00F01C96"/>
    <w:rsid w:val="00F0661F"/>
    <w:rsid w:val="00F12CBB"/>
    <w:rsid w:val="00F1355C"/>
    <w:rsid w:val="00F16306"/>
    <w:rsid w:val="00F226E8"/>
    <w:rsid w:val="00F2566F"/>
    <w:rsid w:val="00F30E51"/>
    <w:rsid w:val="00F31980"/>
    <w:rsid w:val="00F31AD0"/>
    <w:rsid w:val="00F33527"/>
    <w:rsid w:val="00F34656"/>
    <w:rsid w:val="00F3506F"/>
    <w:rsid w:val="00F35DF7"/>
    <w:rsid w:val="00F37F36"/>
    <w:rsid w:val="00F41632"/>
    <w:rsid w:val="00F4194E"/>
    <w:rsid w:val="00F42267"/>
    <w:rsid w:val="00F454C9"/>
    <w:rsid w:val="00F502E8"/>
    <w:rsid w:val="00F51AF2"/>
    <w:rsid w:val="00F5295B"/>
    <w:rsid w:val="00F55C7F"/>
    <w:rsid w:val="00F564F6"/>
    <w:rsid w:val="00F56AD8"/>
    <w:rsid w:val="00F57CCC"/>
    <w:rsid w:val="00F6137E"/>
    <w:rsid w:val="00F63771"/>
    <w:rsid w:val="00F63922"/>
    <w:rsid w:val="00F64B76"/>
    <w:rsid w:val="00F673BD"/>
    <w:rsid w:val="00F675E2"/>
    <w:rsid w:val="00F70C83"/>
    <w:rsid w:val="00F74CCF"/>
    <w:rsid w:val="00F75E0E"/>
    <w:rsid w:val="00F76826"/>
    <w:rsid w:val="00F76A15"/>
    <w:rsid w:val="00F77A72"/>
    <w:rsid w:val="00F8143A"/>
    <w:rsid w:val="00F82144"/>
    <w:rsid w:val="00F825E8"/>
    <w:rsid w:val="00F82E38"/>
    <w:rsid w:val="00F83C52"/>
    <w:rsid w:val="00F83D25"/>
    <w:rsid w:val="00F84A1B"/>
    <w:rsid w:val="00F85561"/>
    <w:rsid w:val="00F85A41"/>
    <w:rsid w:val="00F87203"/>
    <w:rsid w:val="00F87DA7"/>
    <w:rsid w:val="00F90A9D"/>
    <w:rsid w:val="00F91535"/>
    <w:rsid w:val="00F92229"/>
    <w:rsid w:val="00F92AB2"/>
    <w:rsid w:val="00F942DD"/>
    <w:rsid w:val="00F94983"/>
    <w:rsid w:val="00F95111"/>
    <w:rsid w:val="00F97C8E"/>
    <w:rsid w:val="00F97E58"/>
    <w:rsid w:val="00FA0AAD"/>
    <w:rsid w:val="00FA1DC1"/>
    <w:rsid w:val="00FA791B"/>
    <w:rsid w:val="00FB0E70"/>
    <w:rsid w:val="00FB1EA2"/>
    <w:rsid w:val="00FB1EB6"/>
    <w:rsid w:val="00FB1F05"/>
    <w:rsid w:val="00FB343F"/>
    <w:rsid w:val="00FB3826"/>
    <w:rsid w:val="00FB3989"/>
    <w:rsid w:val="00FB5FF6"/>
    <w:rsid w:val="00FB67DD"/>
    <w:rsid w:val="00FB748E"/>
    <w:rsid w:val="00FC02C4"/>
    <w:rsid w:val="00FC066F"/>
    <w:rsid w:val="00FC33BC"/>
    <w:rsid w:val="00FC44E4"/>
    <w:rsid w:val="00FC5B79"/>
    <w:rsid w:val="00FC7905"/>
    <w:rsid w:val="00FD0273"/>
    <w:rsid w:val="00FD7EAF"/>
    <w:rsid w:val="00FE5E89"/>
    <w:rsid w:val="00FE7260"/>
    <w:rsid w:val="00FE7DC3"/>
    <w:rsid w:val="00FF0866"/>
    <w:rsid w:val="00FF0CA9"/>
    <w:rsid w:val="00FF724C"/>
    <w:rsid w:val="00FF7BD2"/>
    <w:rsid w:val="023E7489"/>
    <w:rsid w:val="02D60E97"/>
    <w:rsid w:val="037A45C0"/>
    <w:rsid w:val="074804D3"/>
    <w:rsid w:val="08310F20"/>
    <w:rsid w:val="0A5F5B47"/>
    <w:rsid w:val="0ADC586B"/>
    <w:rsid w:val="0BCD7B2B"/>
    <w:rsid w:val="0D953DE4"/>
    <w:rsid w:val="0ED50098"/>
    <w:rsid w:val="0EF01B99"/>
    <w:rsid w:val="0EF47C3C"/>
    <w:rsid w:val="1318123A"/>
    <w:rsid w:val="134C274B"/>
    <w:rsid w:val="15325696"/>
    <w:rsid w:val="165A5D81"/>
    <w:rsid w:val="16F306AF"/>
    <w:rsid w:val="17255CAC"/>
    <w:rsid w:val="17920A47"/>
    <w:rsid w:val="1A4B0EF3"/>
    <w:rsid w:val="1C144564"/>
    <w:rsid w:val="1CBE0837"/>
    <w:rsid w:val="1D414606"/>
    <w:rsid w:val="1EFA1543"/>
    <w:rsid w:val="206C020A"/>
    <w:rsid w:val="211962E5"/>
    <w:rsid w:val="25C91C6F"/>
    <w:rsid w:val="27034987"/>
    <w:rsid w:val="28425D08"/>
    <w:rsid w:val="2A485ED1"/>
    <w:rsid w:val="2A4D74D2"/>
    <w:rsid w:val="2B515086"/>
    <w:rsid w:val="2B92276F"/>
    <w:rsid w:val="2D5A76C8"/>
    <w:rsid w:val="2D96319F"/>
    <w:rsid w:val="2E933762"/>
    <w:rsid w:val="2ECD6CBC"/>
    <w:rsid w:val="2EDB6FB6"/>
    <w:rsid w:val="30241758"/>
    <w:rsid w:val="32A52181"/>
    <w:rsid w:val="32B6615F"/>
    <w:rsid w:val="341D4D4A"/>
    <w:rsid w:val="35AD74EB"/>
    <w:rsid w:val="37DA5B2A"/>
    <w:rsid w:val="3BE76935"/>
    <w:rsid w:val="3CF61143"/>
    <w:rsid w:val="3DCD00FB"/>
    <w:rsid w:val="41146C25"/>
    <w:rsid w:val="419E4333"/>
    <w:rsid w:val="42D72B59"/>
    <w:rsid w:val="43743FA0"/>
    <w:rsid w:val="4405396B"/>
    <w:rsid w:val="4630260D"/>
    <w:rsid w:val="467D2A15"/>
    <w:rsid w:val="46E50622"/>
    <w:rsid w:val="46FF308C"/>
    <w:rsid w:val="4A510D04"/>
    <w:rsid w:val="4D622AFA"/>
    <w:rsid w:val="4E8D197D"/>
    <w:rsid w:val="4FEE0A81"/>
    <w:rsid w:val="507F6DB8"/>
    <w:rsid w:val="50BA2921"/>
    <w:rsid w:val="51246EEE"/>
    <w:rsid w:val="517174DB"/>
    <w:rsid w:val="52CF6267"/>
    <w:rsid w:val="530B6B1F"/>
    <w:rsid w:val="57A33EE6"/>
    <w:rsid w:val="57E40248"/>
    <w:rsid w:val="582F21E1"/>
    <w:rsid w:val="5A7B0394"/>
    <w:rsid w:val="5B6339F0"/>
    <w:rsid w:val="5C050DC5"/>
    <w:rsid w:val="5CC25011"/>
    <w:rsid w:val="5EAB17F0"/>
    <w:rsid w:val="5F6E0E89"/>
    <w:rsid w:val="62B032A8"/>
    <w:rsid w:val="645B7B26"/>
    <w:rsid w:val="653F7D14"/>
    <w:rsid w:val="664232A2"/>
    <w:rsid w:val="666344C6"/>
    <w:rsid w:val="684D1945"/>
    <w:rsid w:val="68E345F1"/>
    <w:rsid w:val="69B346B5"/>
    <w:rsid w:val="6B0246B4"/>
    <w:rsid w:val="6BE64386"/>
    <w:rsid w:val="6C332D06"/>
    <w:rsid w:val="6D873074"/>
    <w:rsid w:val="6EA77C40"/>
    <w:rsid w:val="70653E51"/>
    <w:rsid w:val="71110EAA"/>
    <w:rsid w:val="71AE1DA3"/>
    <w:rsid w:val="72E87C49"/>
    <w:rsid w:val="74366ACD"/>
    <w:rsid w:val="787528CF"/>
    <w:rsid w:val="796A1144"/>
    <w:rsid w:val="79FA5AB8"/>
    <w:rsid w:val="7DFBB8BB"/>
    <w:rsid w:val="7E9C6F8B"/>
    <w:rsid w:val="7EAF6DC9"/>
    <w:rsid w:val="7FA75CF2"/>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5"/>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6"/>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8"/>
    <w:qFormat/>
    <w:uiPriority w:val="0"/>
    <w:pPr>
      <w:keepNext/>
      <w:widowControl/>
      <w:numPr>
        <w:ilvl w:val="0"/>
        <w:numId w:val="4"/>
      </w:numPr>
      <w:jc w:val="left"/>
      <w:outlineLvl w:val="4"/>
    </w:pPr>
    <w:rPr>
      <w:kern w:val="0"/>
      <w:sz w:val="24"/>
      <w:szCs w:val="20"/>
    </w:rPr>
  </w:style>
  <w:style w:type="paragraph" w:styleId="8">
    <w:name w:val="heading 6"/>
    <w:basedOn w:val="1"/>
    <w:next w:val="1"/>
    <w:link w:val="59"/>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53"/>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1"/>
    <w:qFormat/>
    <w:uiPriority w:val="0"/>
    <w:pPr>
      <w:spacing w:line="360" w:lineRule="auto"/>
      <w:jc w:val="center"/>
    </w:pPr>
    <w:rPr>
      <w:rFonts w:ascii="Calibri" w:hAnsi="Calibri"/>
      <w:sz w:val="20"/>
      <w:szCs w:val="20"/>
    </w:rPr>
  </w:style>
  <w:style w:type="paragraph" w:styleId="15">
    <w:name w:val="Document Map"/>
    <w:basedOn w:val="1"/>
    <w:link w:val="119"/>
    <w:semiHidden/>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w:basedOn w:val="1"/>
    <w:next w:val="18"/>
    <w:link w:val="84"/>
    <w:qFormat/>
    <w:uiPriority w:val="0"/>
    <w:pPr>
      <w:spacing w:line="360" w:lineRule="auto"/>
    </w:pPr>
    <w:rPr>
      <w:rFonts w:eastAsia="仿宋_GB2312"/>
      <w:sz w:val="28"/>
    </w:rPr>
  </w:style>
  <w:style w:type="paragraph" w:styleId="18">
    <w:name w:val="Body Text First Indent"/>
    <w:basedOn w:val="17"/>
    <w:next w:val="1"/>
    <w:link w:val="203"/>
    <w:qFormat/>
    <w:uiPriority w:val="0"/>
    <w:pPr>
      <w:spacing w:after="120" w:line="240" w:lineRule="auto"/>
      <w:ind w:firstLine="420" w:firstLineChars="100"/>
    </w:pPr>
    <w:rPr>
      <w:rFonts w:eastAsia="宋体"/>
      <w:sz w:val="21"/>
    </w:rPr>
  </w:style>
  <w:style w:type="paragraph" w:styleId="19">
    <w:name w:val="Body Text Indent"/>
    <w:basedOn w:val="1"/>
    <w:link w:val="65"/>
    <w:qFormat/>
    <w:uiPriority w:val="0"/>
    <w:pPr>
      <w:spacing w:after="120"/>
      <w:ind w:left="420" w:leftChars="200"/>
    </w:p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3"/>
    <w:qFormat/>
    <w:uiPriority w:val="0"/>
    <w:rPr>
      <w:rFonts w:ascii="宋体" w:hAnsi="Courier New"/>
      <w:szCs w:val="20"/>
    </w:rPr>
  </w:style>
  <w:style w:type="paragraph" w:styleId="24">
    <w:name w:val="Date"/>
    <w:basedOn w:val="1"/>
    <w:next w:val="1"/>
    <w:link w:val="66"/>
    <w:qFormat/>
    <w:uiPriority w:val="0"/>
    <w:rPr>
      <w:rFonts w:ascii="楷体_GB2312" w:eastAsia="楷体_GB2312"/>
      <w:b/>
      <w:sz w:val="28"/>
      <w:szCs w:val="20"/>
    </w:rPr>
  </w:style>
  <w:style w:type="paragraph" w:styleId="25">
    <w:name w:val="Body Text Indent 2"/>
    <w:basedOn w:val="1"/>
    <w:link w:val="80"/>
    <w:qFormat/>
    <w:uiPriority w:val="0"/>
    <w:pPr>
      <w:spacing w:after="120" w:line="480" w:lineRule="auto"/>
      <w:ind w:left="420" w:leftChars="200"/>
    </w:pPr>
  </w:style>
  <w:style w:type="paragraph" w:styleId="26">
    <w:name w:val="Balloon Text"/>
    <w:basedOn w:val="1"/>
    <w:link w:val="199"/>
    <w:semiHidden/>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200"/>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2"/>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4"/>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2"/>
    <w:semiHidden/>
    <w:qFormat/>
    <w:uiPriority w:val="0"/>
    <w:pPr>
      <w:widowControl/>
      <w:spacing w:afterLines="50"/>
    </w:pPr>
    <w:rPr>
      <w:b/>
      <w:bCs/>
      <w:kern w:val="0"/>
      <w:sz w:val="24"/>
      <w:szCs w:val="20"/>
    </w:rPr>
  </w:style>
  <w:style w:type="paragraph" w:styleId="40">
    <w:name w:val="Body Text First Indent 2"/>
    <w:basedOn w:val="19"/>
    <w:link w:val="204"/>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表格文字"/>
    <w:basedOn w:val="1"/>
    <w:qFormat/>
    <w:uiPriority w:val="0"/>
    <w:pPr>
      <w:spacing w:before="25" w:after="25"/>
      <w:jc w:val="left"/>
    </w:pPr>
    <w:rPr>
      <w:bCs/>
      <w:spacing w:val="10"/>
      <w:kern w:val="0"/>
      <w:sz w:val="24"/>
      <w:szCs w:val="20"/>
    </w:rPr>
  </w:style>
  <w:style w:type="paragraph" w:customStyle="1" w:styleId="51">
    <w:name w:val="首行缩进"/>
    <w:basedOn w:val="1"/>
    <w:qFormat/>
    <w:uiPriority w:val="99"/>
    <w:pPr>
      <w:spacing w:line="360" w:lineRule="auto"/>
      <w:ind w:firstLine="480" w:firstLineChars="200"/>
    </w:pPr>
    <w:rPr>
      <w:sz w:val="24"/>
      <w:szCs w:val="22"/>
      <w:lang w:val="zh-CN"/>
    </w:rPr>
  </w:style>
  <w:style w:type="character" w:customStyle="1" w:styleId="52">
    <w:name w:val="标题 1 Char"/>
    <w:link w:val="2"/>
    <w:qFormat/>
    <w:uiPriority w:val="0"/>
    <w:rPr>
      <w:rFonts w:eastAsia="仿宋_GB2312"/>
      <w:b/>
      <w:kern w:val="44"/>
      <w:sz w:val="44"/>
      <w:lang w:val="en-US" w:eastAsia="zh-CN" w:bidi="ar-SA"/>
    </w:rPr>
  </w:style>
  <w:style w:type="character" w:customStyle="1" w:styleId="53">
    <w:name w:val="正文缩进 Char"/>
    <w:link w:val="4"/>
    <w:qFormat/>
    <w:uiPriority w:val="0"/>
    <w:rPr>
      <w:rFonts w:eastAsia="宋体"/>
      <w:kern w:val="2"/>
      <w:sz w:val="21"/>
      <w:szCs w:val="24"/>
      <w:lang w:val="en-US" w:eastAsia="zh-CN" w:bidi="ar-SA"/>
    </w:rPr>
  </w:style>
  <w:style w:type="paragraph" w:customStyle="1" w:styleId="54">
    <w:name w:val="_Style 15"/>
    <w:basedOn w:val="1"/>
    <w:qFormat/>
    <w:uiPriority w:val="0"/>
    <w:rPr>
      <w:rFonts w:ascii="Tahoma" w:hAnsi="Tahoma"/>
      <w:sz w:val="24"/>
      <w:szCs w:val="20"/>
    </w:rPr>
  </w:style>
  <w:style w:type="character" w:customStyle="1" w:styleId="55">
    <w:name w:val="标题 2 Char"/>
    <w:link w:val="3"/>
    <w:qFormat/>
    <w:uiPriority w:val="0"/>
    <w:rPr>
      <w:rFonts w:ascii="Arial" w:hAnsi="Arial" w:eastAsia="黑体"/>
      <w:b/>
      <w:kern w:val="2"/>
      <w:sz w:val="32"/>
      <w:lang w:val="en-US" w:eastAsia="zh-CN" w:bidi="ar-SA"/>
    </w:rPr>
  </w:style>
  <w:style w:type="character" w:customStyle="1" w:styleId="56">
    <w:name w:val="标题 3 Char"/>
    <w:link w:val="5"/>
    <w:qFormat/>
    <w:uiPriority w:val="0"/>
    <w:rPr>
      <w:rFonts w:eastAsia="仿宋_GB2312"/>
      <w:b/>
      <w:kern w:val="2"/>
      <w:sz w:val="32"/>
      <w:lang w:val="en-US" w:eastAsia="zh-CN" w:bidi="ar-SA"/>
    </w:rPr>
  </w:style>
  <w:style w:type="character" w:customStyle="1" w:styleId="57">
    <w:name w:val="标题 4 Char1"/>
    <w:link w:val="6"/>
    <w:qFormat/>
    <w:uiPriority w:val="0"/>
    <w:rPr>
      <w:rFonts w:ascii="Arial" w:hAnsi="Arial" w:eastAsia="黑体"/>
      <w:b/>
      <w:kern w:val="2"/>
      <w:sz w:val="28"/>
      <w:lang w:val="en-US" w:eastAsia="zh-CN" w:bidi="ar-SA"/>
    </w:rPr>
  </w:style>
  <w:style w:type="character" w:customStyle="1" w:styleId="58">
    <w:name w:val="标题 5 Char1"/>
    <w:link w:val="7"/>
    <w:qFormat/>
    <w:uiPriority w:val="0"/>
    <w:rPr>
      <w:rFonts w:eastAsia="宋体"/>
      <w:sz w:val="24"/>
      <w:lang w:val="en-US" w:eastAsia="zh-CN" w:bidi="ar-SA"/>
    </w:rPr>
  </w:style>
  <w:style w:type="character" w:customStyle="1" w:styleId="59">
    <w:name w:val="标题 6 Char1"/>
    <w:link w:val="8"/>
    <w:qFormat/>
    <w:uiPriority w:val="0"/>
    <w:rPr>
      <w:rFonts w:ascii="宋体" w:hAnsi="Arial" w:eastAsia="宋体"/>
      <w:sz w:val="24"/>
      <w:lang w:val="en-US" w:eastAsia="zh-CN" w:bidi="ar-SA"/>
    </w:rPr>
  </w:style>
  <w:style w:type="character" w:customStyle="1" w:styleId="60">
    <w:name w:val="标题 7 Char1"/>
    <w:link w:val="9"/>
    <w:qFormat/>
    <w:uiPriority w:val="0"/>
    <w:rPr>
      <w:rFonts w:ascii="宋体" w:hAnsi="Arial" w:eastAsia="宋体"/>
      <w:b/>
      <w:sz w:val="24"/>
      <w:lang w:val="en-US" w:eastAsia="zh-CN" w:bidi="ar-SA"/>
    </w:rPr>
  </w:style>
  <w:style w:type="character" w:customStyle="1" w:styleId="61">
    <w:name w:val="标题 8 Char1"/>
    <w:link w:val="10"/>
    <w:qFormat/>
    <w:uiPriority w:val="0"/>
    <w:rPr>
      <w:rFonts w:ascii="Arial" w:hAnsi="Arial" w:eastAsia="黑体"/>
      <w:sz w:val="24"/>
      <w:lang w:val="en-US" w:eastAsia="zh-CN" w:bidi="ar-SA"/>
    </w:rPr>
  </w:style>
  <w:style w:type="character" w:customStyle="1" w:styleId="62">
    <w:name w:val="标题 9 Char1"/>
    <w:link w:val="11"/>
    <w:qFormat/>
    <w:uiPriority w:val="0"/>
    <w:rPr>
      <w:rFonts w:ascii="Arial" w:hAnsi="Arial" w:eastAsia="黑体"/>
      <w:sz w:val="24"/>
      <w:lang w:val="en-US" w:eastAsia="zh-CN" w:bidi="ar-SA"/>
    </w:rPr>
  </w:style>
  <w:style w:type="character" w:customStyle="1" w:styleId="63">
    <w:name w:val="纯文本 Char"/>
    <w:link w:val="23"/>
    <w:qFormat/>
    <w:uiPriority w:val="0"/>
    <w:rPr>
      <w:rFonts w:ascii="宋体" w:hAnsi="Courier New" w:eastAsia="宋体"/>
      <w:kern w:val="2"/>
      <w:sz w:val="21"/>
      <w:lang w:val="en-US" w:eastAsia="zh-CN" w:bidi="ar-SA"/>
    </w:rPr>
  </w:style>
  <w:style w:type="paragraph" w:customStyle="1" w:styleId="64">
    <w:name w:val="表正文"/>
    <w:basedOn w:val="1"/>
    <w:next w:val="23"/>
    <w:qFormat/>
    <w:uiPriority w:val="0"/>
    <w:rPr>
      <w:rFonts w:ascii="宋体" w:hAnsi="Courier New"/>
      <w:szCs w:val="20"/>
    </w:rPr>
  </w:style>
  <w:style w:type="character" w:customStyle="1" w:styleId="65">
    <w:name w:val="正文文本缩进 Char"/>
    <w:link w:val="19"/>
    <w:qFormat/>
    <w:uiPriority w:val="0"/>
    <w:rPr>
      <w:rFonts w:eastAsia="宋体"/>
      <w:kern w:val="2"/>
      <w:sz w:val="21"/>
      <w:szCs w:val="24"/>
      <w:lang w:val="en-US" w:eastAsia="zh-CN" w:bidi="ar-SA"/>
    </w:rPr>
  </w:style>
  <w:style w:type="character" w:customStyle="1" w:styleId="66">
    <w:name w:val="日期 Char2"/>
    <w:link w:val="24"/>
    <w:qFormat/>
    <w:uiPriority w:val="0"/>
    <w:rPr>
      <w:rFonts w:ascii="楷体_GB2312" w:eastAsia="楷体_GB2312"/>
      <w:b/>
      <w:kern w:val="2"/>
      <w:sz w:val="28"/>
      <w:lang w:val="en-US" w:eastAsia="zh-CN" w:bidi="ar-SA"/>
    </w:rPr>
  </w:style>
  <w:style w:type="character" w:customStyle="1" w:styleId="67">
    <w:name w:val="页眉 Char1"/>
    <w:link w:val="28"/>
    <w:qFormat/>
    <w:uiPriority w:val="0"/>
    <w:rPr>
      <w:rFonts w:eastAsia="宋体"/>
      <w:kern w:val="2"/>
      <w:sz w:val="18"/>
      <w:szCs w:val="18"/>
      <w:lang w:val="en-US" w:eastAsia="zh-CN" w:bidi="ar-SA"/>
    </w:rPr>
  </w:style>
  <w:style w:type="character" w:customStyle="1" w:styleId="68">
    <w:name w:val="页脚 Char"/>
    <w:link w:val="27"/>
    <w:qFormat/>
    <w:locked/>
    <w:uiPriority w:val="0"/>
    <w:rPr>
      <w:rFonts w:eastAsia="宋体"/>
      <w:kern w:val="2"/>
      <w:sz w:val="18"/>
      <w:szCs w:val="18"/>
      <w:lang w:val="en-US" w:eastAsia="zh-CN" w:bidi="ar-SA"/>
    </w:rPr>
  </w:style>
  <w:style w:type="paragraph" w:customStyle="1" w:styleId="69">
    <w:name w:val="正文段"/>
    <w:basedOn w:val="1"/>
    <w:link w:val="70"/>
    <w:qFormat/>
    <w:uiPriority w:val="0"/>
    <w:pPr>
      <w:widowControl/>
      <w:snapToGrid w:val="0"/>
      <w:spacing w:afterLines="50"/>
      <w:ind w:firstLine="200" w:firstLineChars="200"/>
    </w:pPr>
    <w:rPr>
      <w:kern w:val="0"/>
      <w:sz w:val="24"/>
      <w:szCs w:val="20"/>
    </w:rPr>
  </w:style>
  <w:style w:type="character" w:customStyle="1" w:styleId="70">
    <w:name w:val="正文段 Char"/>
    <w:link w:val="69"/>
    <w:qFormat/>
    <w:uiPriority w:val="0"/>
    <w:rPr>
      <w:rFonts w:eastAsia="宋体"/>
      <w:sz w:val="24"/>
      <w:lang w:val="en-US" w:eastAsia="zh-CN" w:bidi="ar-SA"/>
    </w:rPr>
  </w:style>
  <w:style w:type="character" w:customStyle="1" w:styleId="71">
    <w:name w:val="批注文字 Char1"/>
    <w:link w:val="16"/>
    <w:qFormat/>
    <w:uiPriority w:val="0"/>
    <w:rPr>
      <w:rFonts w:eastAsia="宋体"/>
      <w:kern w:val="2"/>
      <w:sz w:val="21"/>
      <w:szCs w:val="24"/>
      <w:lang w:val="en-US" w:eastAsia="zh-CN" w:bidi="ar-SA"/>
    </w:rPr>
  </w:style>
  <w:style w:type="character" w:customStyle="1" w:styleId="72">
    <w:name w:val="正文文本 2 Char1"/>
    <w:link w:val="33"/>
    <w:qFormat/>
    <w:uiPriority w:val="0"/>
    <w:rPr>
      <w:rFonts w:ascii="隶书" w:eastAsia="隶书"/>
      <w:bCs/>
      <w:sz w:val="72"/>
      <w:szCs w:val="84"/>
      <w:lang w:val="en-US" w:eastAsia="zh-CN" w:bidi="ar-SA"/>
    </w:rPr>
  </w:style>
  <w:style w:type="paragraph" w:customStyle="1" w:styleId="73">
    <w:name w:val="Char"/>
    <w:basedOn w:val="1"/>
    <w:qFormat/>
    <w:uiPriority w:val="0"/>
    <w:rPr>
      <w:rFonts w:ascii="仿宋_GB2312" w:eastAsia="仿宋_GB2312"/>
      <w:b/>
      <w:sz w:val="32"/>
      <w:szCs w:val="32"/>
    </w:rPr>
  </w:style>
  <w:style w:type="paragraph" w:customStyle="1" w:styleId="74">
    <w:name w:val="Table Text"/>
    <w:link w:val="75"/>
    <w:qFormat/>
    <w:uiPriority w:val="0"/>
    <w:pPr>
      <w:snapToGrid w:val="0"/>
      <w:spacing w:before="80" w:after="80"/>
    </w:pPr>
    <w:rPr>
      <w:rFonts w:ascii="Arial" w:hAnsi="Arial" w:eastAsia="宋体" w:cs="Times New Roman"/>
      <w:sz w:val="18"/>
      <w:lang w:val="en-US" w:eastAsia="zh-CN" w:bidi="ar-SA"/>
    </w:rPr>
  </w:style>
  <w:style w:type="character" w:customStyle="1" w:styleId="75">
    <w:name w:val="Table Text Char1"/>
    <w:link w:val="74"/>
    <w:qFormat/>
    <w:uiPriority w:val="0"/>
    <w:rPr>
      <w:rFonts w:ascii="Arial" w:hAnsi="Arial"/>
      <w:sz w:val="18"/>
      <w:lang w:val="en-US" w:eastAsia="zh-CN" w:bidi="ar-SA"/>
    </w:rPr>
  </w:style>
  <w:style w:type="character" w:customStyle="1" w:styleId="76">
    <w:name w:val="正文（缩进2汉字） Char"/>
    <w:link w:val="77"/>
    <w:qFormat/>
    <w:uiPriority w:val="0"/>
    <w:rPr>
      <w:rFonts w:ascii="宋体"/>
      <w:kern w:val="2"/>
      <w:sz w:val="21"/>
      <w:lang w:bidi="ar-SA"/>
    </w:rPr>
  </w:style>
  <w:style w:type="paragraph" w:customStyle="1" w:styleId="77">
    <w:name w:val="正文（缩进2汉字）"/>
    <w:basedOn w:val="1"/>
    <w:link w:val="76"/>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8">
    <w:name w:val="Char111"/>
    <w:basedOn w:val="1"/>
    <w:qFormat/>
    <w:uiPriority w:val="0"/>
    <w:pPr>
      <w:tabs>
        <w:tab w:val="left" w:pos="432"/>
      </w:tabs>
      <w:spacing w:beforeLines="50" w:afterLines="50"/>
      <w:ind w:left="432" w:hanging="432"/>
      <w:jc w:val="center"/>
    </w:pPr>
    <w:rPr>
      <w:sz w:val="24"/>
    </w:rPr>
  </w:style>
  <w:style w:type="paragraph" w:customStyle="1" w:styleId="79">
    <w:name w:val="模板普通正文"/>
    <w:basedOn w:val="19"/>
    <w:qFormat/>
    <w:uiPriority w:val="0"/>
    <w:pPr>
      <w:spacing w:beforeLines="50" w:after="10" w:line="360" w:lineRule="auto"/>
      <w:ind w:left="0" w:leftChars="0" w:firstLine="175" w:firstLineChars="175"/>
      <w:jc w:val="left"/>
    </w:pPr>
    <w:rPr>
      <w:sz w:val="24"/>
    </w:rPr>
  </w:style>
  <w:style w:type="character" w:customStyle="1" w:styleId="80">
    <w:name w:val="正文文本缩进 2 Char1"/>
    <w:link w:val="25"/>
    <w:qFormat/>
    <w:locked/>
    <w:uiPriority w:val="0"/>
    <w:rPr>
      <w:rFonts w:eastAsia="宋体"/>
      <w:kern w:val="2"/>
      <w:sz w:val="21"/>
      <w:szCs w:val="24"/>
      <w:lang w:val="en-US" w:eastAsia="zh-CN" w:bidi="ar-SA"/>
    </w:rPr>
  </w:style>
  <w:style w:type="paragraph" w:customStyle="1" w:styleId="81">
    <w:name w:val="缺省文本"/>
    <w:basedOn w:val="1"/>
    <w:qFormat/>
    <w:uiPriority w:val="0"/>
    <w:pPr>
      <w:autoSpaceDE w:val="0"/>
      <w:autoSpaceDN w:val="0"/>
      <w:adjustRightInd w:val="0"/>
      <w:jc w:val="left"/>
    </w:pPr>
    <w:rPr>
      <w:kern w:val="0"/>
      <w:sz w:val="24"/>
    </w:rPr>
  </w:style>
  <w:style w:type="paragraph" w:customStyle="1" w:styleId="82">
    <w:name w:val="WW-正文文字缩进 2"/>
    <w:basedOn w:val="1"/>
    <w:qFormat/>
    <w:uiPriority w:val="0"/>
    <w:pPr>
      <w:suppressAutoHyphens/>
      <w:ind w:firstLine="420"/>
    </w:pPr>
    <w:rPr>
      <w:kern w:val="1"/>
      <w:szCs w:val="20"/>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正文文本 Char1"/>
    <w:link w:val="17"/>
    <w:qFormat/>
    <w:locked/>
    <w:uiPriority w:val="0"/>
    <w:rPr>
      <w:rFonts w:eastAsia="仿宋_GB2312"/>
      <w:kern w:val="2"/>
      <w:sz w:val="28"/>
      <w:szCs w:val="24"/>
      <w:lang w:val="en-US" w:eastAsia="zh-CN" w:bidi="ar-SA"/>
    </w:rPr>
  </w:style>
  <w:style w:type="paragraph" w:customStyle="1" w:styleId="85">
    <w:name w:val="项目排列"/>
    <w:basedOn w:val="1"/>
    <w:link w:val="86"/>
    <w:qFormat/>
    <w:uiPriority w:val="0"/>
    <w:pPr>
      <w:tabs>
        <w:tab w:val="left" w:pos="900"/>
      </w:tabs>
      <w:spacing w:beforeLines="50" w:afterLines="50" w:line="300" w:lineRule="auto"/>
      <w:ind w:left="900" w:hanging="420"/>
    </w:pPr>
    <w:rPr>
      <w:sz w:val="24"/>
    </w:rPr>
  </w:style>
  <w:style w:type="character" w:customStyle="1" w:styleId="86">
    <w:name w:val="项目排列 Char"/>
    <w:link w:val="85"/>
    <w:qFormat/>
    <w:uiPriority w:val="0"/>
    <w:rPr>
      <w:kern w:val="2"/>
      <w:sz w:val="24"/>
      <w:szCs w:val="24"/>
    </w:rPr>
  </w:style>
  <w:style w:type="character" w:customStyle="1" w:styleId="87">
    <w:name w:val="style21"/>
    <w:qFormat/>
    <w:uiPriority w:val="0"/>
    <w:rPr>
      <w:sz w:val="15"/>
      <w:szCs w:val="15"/>
    </w:rPr>
  </w:style>
  <w:style w:type="paragraph" w:customStyle="1" w:styleId="88">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9">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Char1"/>
    <w:basedOn w:val="1"/>
    <w:qFormat/>
    <w:uiPriority w:val="0"/>
    <w:rPr>
      <w:szCs w:val="20"/>
    </w:rPr>
  </w:style>
  <w:style w:type="paragraph" w:customStyle="1" w:styleId="91">
    <w:name w:val="列出段落1"/>
    <w:basedOn w:val="1"/>
    <w:qFormat/>
    <w:uiPriority w:val="0"/>
    <w:pPr>
      <w:ind w:firstLine="420" w:firstLineChars="200"/>
    </w:pPr>
    <w:rPr>
      <w:rFonts w:ascii="Calibri" w:hAnsi="Calibri"/>
      <w:szCs w:val="22"/>
    </w:rPr>
  </w:style>
  <w:style w:type="paragraph" w:customStyle="1" w:styleId="92">
    <w:name w:val="默认段落字体 Para Char Char Char Char"/>
    <w:basedOn w:val="1"/>
    <w:qFormat/>
    <w:uiPriority w:val="0"/>
  </w:style>
  <w:style w:type="paragraph" w:customStyle="1" w:styleId="93">
    <w:name w:val="Char Char Char1 Char Char Char1 Char Char Char Char"/>
    <w:basedOn w:val="1"/>
    <w:qFormat/>
    <w:uiPriority w:val="0"/>
  </w:style>
  <w:style w:type="character" w:customStyle="1" w:styleId="94">
    <w:name w:val="font1"/>
    <w:qFormat/>
    <w:uiPriority w:val="0"/>
    <w:rPr>
      <w:color w:val="999999"/>
      <w:sz w:val="18"/>
      <w:szCs w:val="18"/>
      <w:u w:val="none"/>
    </w:rPr>
  </w:style>
  <w:style w:type="paragraph" w:customStyle="1" w:styleId="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 Char Char Char Char Char Char Char Char"/>
    <w:basedOn w:val="1"/>
    <w:qFormat/>
    <w:uiPriority w:val="0"/>
    <w:rPr>
      <w:rFonts w:ascii="Tahoma" w:hAnsi="Tahoma"/>
      <w:sz w:val="24"/>
      <w:szCs w:val="20"/>
    </w:rPr>
  </w:style>
  <w:style w:type="character" w:customStyle="1" w:styleId="97">
    <w:name w:val="apple-style-span"/>
    <w:basedOn w:val="43"/>
    <w:qFormat/>
    <w:uiPriority w:val="0"/>
  </w:style>
  <w:style w:type="paragraph" w:customStyle="1" w:styleId="98">
    <w:name w:val="正文无缩进"/>
    <w:basedOn w:val="1"/>
    <w:link w:val="99"/>
    <w:qFormat/>
    <w:uiPriority w:val="0"/>
    <w:pPr>
      <w:spacing w:line="360" w:lineRule="auto"/>
    </w:pPr>
    <w:rPr>
      <w:rFonts w:ascii="宋体"/>
      <w:color w:val="000000"/>
      <w:sz w:val="24"/>
    </w:rPr>
  </w:style>
  <w:style w:type="character" w:customStyle="1" w:styleId="99">
    <w:name w:val="正文无缩进 Char"/>
    <w:link w:val="98"/>
    <w:qFormat/>
    <w:uiPriority w:val="0"/>
    <w:rPr>
      <w:rFonts w:ascii="宋体" w:eastAsia="宋体"/>
      <w:color w:val="000000"/>
      <w:kern w:val="2"/>
      <w:sz w:val="24"/>
      <w:szCs w:val="24"/>
      <w:lang w:val="en-US" w:eastAsia="zh-CN" w:bidi="ar-SA"/>
    </w:rPr>
  </w:style>
  <w:style w:type="paragraph" w:customStyle="1" w:styleId="10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1">
    <w:name w:val="ca-3"/>
    <w:basedOn w:val="43"/>
    <w:qFormat/>
    <w:uiPriority w:val="0"/>
  </w:style>
  <w:style w:type="paragraph" w:customStyle="1" w:styleId="102">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3">
    <w:name w:val="表格 Char Char"/>
    <w:link w:val="104"/>
    <w:qFormat/>
    <w:locked/>
    <w:uiPriority w:val="0"/>
    <w:rPr>
      <w:rFonts w:ascii="宋体" w:hAnsi="宋体" w:eastAsia="宋体"/>
      <w:lang w:val="en-US" w:eastAsia="zh-CN" w:bidi="ar-SA"/>
    </w:rPr>
  </w:style>
  <w:style w:type="paragraph" w:customStyle="1" w:styleId="104">
    <w:name w:val="表格"/>
    <w:basedOn w:val="1"/>
    <w:link w:val="103"/>
    <w:qFormat/>
    <w:uiPriority w:val="0"/>
    <w:pPr>
      <w:snapToGrid w:val="0"/>
      <w:ind w:firstLine="42" w:firstLineChars="21"/>
    </w:pPr>
    <w:rPr>
      <w:rFonts w:ascii="宋体" w:hAnsi="宋体"/>
      <w:kern w:val="0"/>
      <w:sz w:val="20"/>
      <w:szCs w:val="20"/>
    </w:rPr>
  </w:style>
  <w:style w:type="paragraph" w:customStyle="1" w:styleId="105">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6">
    <w:name w:val="Char Char1 Char Char Char Char Char Char"/>
    <w:basedOn w:val="1"/>
    <w:qFormat/>
    <w:uiPriority w:val="0"/>
    <w:pPr>
      <w:widowControl/>
      <w:spacing w:after="160" w:line="240" w:lineRule="exact"/>
      <w:jc w:val="left"/>
    </w:pPr>
  </w:style>
  <w:style w:type="character" w:customStyle="1" w:styleId="107">
    <w:name w:val="Char Char"/>
    <w:qFormat/>
    <w:uiPriority w:val="0"/>
    <w:rPr>
      <w:rFonts w:hint="eastAsia" w:ascii="宋体" w:hAnsi="Courier New" w:eastAsia="宋体"/>
      <w:kern w:val="2"/>
      <w:sz w:val="21"/>
      <w:lang w:val="en-US" w:eastAsia="zh-CN" w:bidi="ar-SA"/>
    </w:rPr>
  </w:style>
  <w:style w:type="character" w:customStyle="1" w:styleId="108">
    <w:name w:val="style51"/>
    <w:qFormat/>
    <w:uiPriority w:val="0"/>
    <w:rPr>
      <w:sz w:val="21"/>
      <w:szCs w:val="21"/>
    </w:rPr>
  </w:style>
  <w:style w:type="paragraph" w:customStyle="1" w:styleId="109">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0">
    <w:name w:val="标准文本"/>
    <w:basedOn w:val="1"/>
    <w:link w:val="111"/>
    <w:qFormat/>
    <w:uiPriority w:val="0"/>
    <w:pPr>
      <w:spacing w:line="360" w:lineRule="auto"/>
      <w:ind w:firstLine="480" w:firstLineChars="200"/>
    </w:pPr>
    <w:rPr>
      <w:rFonts w:cs="宋体"/>
      <w:sz w:val="24"/>
      <w:szCs w:val="20"/>
    </w:rPr>
  </w:style>
  <w:style w:type="character" w:customStyle="1" w:styleId="111">
    <w:name w:val="标准文本 Char"/>
    <w:link w:val="110"/>
    <w:qFormat/>
    <w:uiPriority w:val="0"/>
    <w:rPr>
      <w:rFonts w:eastAsia="宋体" w:cs="宋体"/>
      <w:kern w:val="2"/>
      <w:sz w:val="24"/>
      <w:lang w:val="en-US" w:eastAsia="zh-CN" w:bidi="ar-SA"/>
    </w:rPr>
  </w:style>
  <w:style w:type="paragraph" w:customStyle="1" w:styleId="1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自定义正文"/>
    <w:basedOn w:val="1"/>
    <w:link w:val="114"/>
    <w:qFormat/>
    <w:uiPriority w:val="0"/>
    <w:pPr>
      <w:spacing w:line="480" w:lineRule="exact"/>
      <w:ind w:firstLine="200" w:firstLineChars="200"/>
      <w:jc w:val="left"/>
    </w:pPr>
    <w:rPr>
      <w:rFonts w:ascii="仿宋_GB2312" w:eastAsia="仿宋_GB2312"/>
      <w:sz w:val="28"/>
    </w:rPr>
  </w:style>
  <w:style w:type="character" w:customStyle="1" w:styleId="114">
    <w:name w:val="自定义正文 Char"/>
    <w:link w:val="113"/>
    <w:qFormat/>
    <w:uiPriority w:val="0"/>
    <w:rPr>
      <w:rFonts w:ascii="仿宋_GB2312" w:eastAsia="仿宋_GB2312"/>
      <w:kern w:val="2"/>
      <w:sz w:val="28"/>
      <w:szCs w:val="24"/>
      <w:lang w:val="en-US" w:eastAsia="zh-CN" w:bidi="ar-SA"/>
    </w:rPr>
  </w:style>
  <w:style w:type="paragraph" w:customStyle="1" w:styleId="115">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6">
    <w:name w:val="自定义表格文字"/>
    <w:basedOn w:val="1"/>
    <w:qFormat/>
    <w:uiPriority w:val="0"/>
    <w:pPr>
      <w:spacing w:before="60" w:after="60" w:line="320" w:lineRule="exact"/>
      <w:jc w:val="left"/>
    </w:pPr>
    <w:rPr>
      <w:rFonts w:ascii="宋体" w:eastAsia="楷体_GB2312"/>
    </w:rPr>
  </w:style>
  <w:style w:type="paragraph" w:customStyle="1" w:styleId="117">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9">
    <w:name w:val="文档结构图 Char"/>
    <w:link w:val="15"/>
    <w:semiHidden/>
    <w:qFormat/>
    <w:uiPriority w:val="0"/>
    <w:rPr>
      <w:rFonts w:eastAsia="宋体"/>
      <w:kern w:val="2"/>
      <w:sz w:val="21"/>
      <w:szCs w:val="24"/>
      <w:lang w:val="en-US" w:eastAsia="zh-CN" w:bidi="ar-SA"/>
    </w:rPr>
  </w:style>
  <w:style w:type="character" w:customStyle="1" w:styleId="120">
    <w:name w:val="Char Char12"/>
    <w:qFormat/>
    <w:uiPriority w:val="0"/>
    <w:rPr>
      <w:rFonts w:ascii="宋体" w:hAnsi="Courier New" w:eastAsia="宋体"/>
      <w:kern w:val="2"/>
      <w:sz w:val="21"/>
      <w:lang w:val="en-US" w:eastAsia="zh-CN" w:bidi="ar-SA"/>
    </w:rPr>
  </w:style>
  <w:style w:type="character" w:customStyle="1" w:styleId="121">
    <w:name w:val="H4 Char"/>
    <w:qFormat/>
    <w:uiPriority w:val="0"/>
    <w:rPr>
      <w:rFonts w:ascii="宋体" w:hAnsi="宋体" w:eastAsia="黑体"/>
      <w:b/>
      <w:bCs/>
      <w:color w:val="000000"/>
      <w:spacing w:val="-4"/>
      <w:kern w:val="2"/>
      <w:sz w:val="24"/>
      <w:szCs w:val="30"/>
      <w:lang w:val="en-US" w:eastAsia="zh-CN" w:bidi="ar-SA"/>
    </w:rPr>
  </w:style>
  <w:style w:type="character" w:customStyle="1" w:styleId="122">
    <w:name w:val="H5 Char"/>
    <w:qFormat/>
    <w:uiPriority w:val="0"/>
    <w:rPr>
      <w:rFonts w:ascii="Arial" w:hAnsi="Arial" w:eastAsia="宋体"/>
      <w:sz w:val="24"/>
      <w:lang w:val="en-US" w:eastAsia="zh-CN" w:bidi="ar-SA"/>
    </w:rPr>
  </w:style>
  <w:style w:type="character" w:customStyle="1" w:styleId="123">
    <w:name w:val="Char Char8"/>
    <w:qFormat/>
    <w:uiPriority w:val="0"/>
    <w:rPr>
      <w:rFonts w:ascii="宋体" w:eastAsia="宋体"/>
      <w:kern w:val="2"/>
      <w:sz w:val="28"/>
      <w:lang w:val="en-US" w:eastAsia="zh-CN" w:bidi="ar-SA"/>
    </w:rPr>
  </w:style>
  <w:style w:type="character" w:customStyle="1" w:styleId="124">
    <w:name w:val="Char Char7"/>
    <w:qFormat/>
    <w:uiPriority w:val="0"/>
    <w:rPr>
      <w:rFonts w:eastAsia="仿宋_GB2312"/>
      <w:kern w:val="2"/>
      <w:sz w:val="24"/>
      <w:szCs w:val="24"/>
      <w:lang w:val="en-US" w:eastAsia="zh-CN" w:bidi="ar-SA"/>
    </w:rPr>
  </w:style>
  <w:style w:type="paragraph" w:customStyle="1" w:styleId="125">
    <w:name w:val="表内文字"/>
    <w:basedOn w:val="1"/>
    <w:qFormat/>
    <w:uiPriority w:val="0"/>
    <w:pPr>
      <w:jc w:val="center"/>
    </w:pPr>
    <w:rPr>
      <w:color w:val="FF0000"/>
      <w:kern w:val="0"/>
      <w:sz w:val="24"/>
    </w:rPr>
  </w:style>
  <w:style w:type="character" w:customStyle="1" w:styleId="126">
    <w:name w:val="Char Char3"/>
    <w:qFormat/>
    <w:uiPriority w:val="0"/>
    <w:rPr>
      <w:rFonts w:eastAsia="仿宋_GB2312"/>
      <w:kern w:val="2"/>
      <w:sz w:val="28"/>
      <w:szCs w:val="24"/>
      <w:lang w:val="en-US" w:eastAsia="zh-CN" w:bidi="ar-SA"/>
    </w:rPr>
  </w:style>
  <w:style w:type="paragraph" w:customStyle="1" w:styleId="127">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8">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1">
    <w:name w:val="项目1"/>
    <w:basedOn w:val="1"/>
    <w:qFormat/>
    <w:uiPriority w:val="0"/>
    <w:pPr>
      <w:tabs>
        <w:tab w:val="left" w:pos="840"/>
      </w:tabs>
      <w:spacing w:after="60"/>
      <w:ind w:left="840" w:hanging="420"/>
    </w:pPr>
    <w:rPr>
      <w:rFonts w:ascii="宋体"/>
      <w:spacing w:val="4"/>
      <w:szCs w:val="20"/>
    </w:rPr>
  </w:style>
  <w:style w:type="paragraph" w:customStyle="1" w:styleId="132">
    <w:name w:val="编10号"/>
    <w:basedOn w:val="1"/>
    <w:qFormat/>
    <w:uiPriority w:val="0"/>
    <w:pPr>
      <w:tabs>
        <w:tab w:val="left" w:pos="1620"/>
      </w:tabs>
      <w:ind w:left="1620" w:hanging="360"/>
    </w:pPr>
  </w:style>
  <w:style w:type="paragraph" w:customStyle="1" w:styleId="133">
    <w:name w:val="段"/>
    <w:basedOn w:val="1"/>
    <w:qFormat/>
    <w:uiPriority w:val="0"/>
    <w:pPr>
      <w:ind w:firstLine="425"/>
    </w:pPr>
    <w:rPr>
      <w:rFonts w:ascii="宋体"/>
      <w:szCs w:val="20"/>
    </w:rPr>
  </w:style>
  <w:style w:type="paragraph" w:customStyle="1" w:styleId="134">
    <w:name w:val="Char Char Char Char"/>
    <w:basedOn w:val="1"/>
    <w:qFormat/>
    <w:uiPriority w:val="0"/>
    <w:pPr>
      <w:widowControl/>
      <w:spacing w:after="160" w:line="240" w:lineRule="exact"/>
      <w:jc w:val="left"/>
    </w:pPr>
    <w:rPr>
      <w:kern w:val="0"/>
      <w:sz w:val="24"/>
    </w:rPr>
  </w:style>
  <w:style w:type="paragraph" w:customStyle="1" w:styleId="135">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6">
    <w:name w:val="bulletintext1"/>
    <w:qFormat/>
    <w:uiPriority w:val="0"/>
    <w:rPr>
      <w:rFonts w:hint="eastAsia" w:ascii="宋体" w:hAnsi="宋体" w:eastAsia="宋体"/>
      <w:sz w:val="18"/>
      <w:szCs w:val="18"/>
    </w:rPr>
  </w:style>
  <w:style w:type="paragraph" w:customStyle="1" w:styleId="137">
    <w:name w:val="Char1 Char Char Char Char Char Char"/>
    <w:basedOn w:val="1"/>
    <w:qFormat/>
    <w:uiPriority w:val="0"/>
    <w:rPr>
      <w:rFonts w:ascii="Tahoma" w:hAnsi="Tahoma"/>
      <w:sz w:val="24"/>
      <w:szCs w:val="20"/>
    </w:rPr>
  </w:style>
  <w:style w:type="paragraph" w:customStyle="1" w:styleId="138">
    <w:name w:val="Char Char2 Char Char Char Char"/>
    <w:basedOn w:val="15"/>
    <w:qFormat/>
    <w:uiPriority w:val="0"/>
    <w:rPr>
      <w:rFonts w:ascii="Tahoma" w:hAnsi="Tahoma"/>
      <w:sz w:val="24"/>
    </w:rPr>
  </w:style>
  <w:style w:type="paragraph" w:customStyle="1" w:styleId="139">
    <w:name w:val="Char Char Char"/>
    <w:basedOn w:val="15"/>
    <w:qFormat/>
    <w:uiPriority w:val="0"/>
    <w:rPr>
      <w:rFonts w:ascii="Tahoma" w:hAnsi="Tahoma"/>
      <w:sz w:val="24"/>
    </w:rPr>
  </w:style>
  <w:style w:type="paragraph" w:customStyle="1" w:styleId="140">
    <w:name w:val="正文缩进 New"/>
    <w:basedOn w:val="1"/>
    <w:qFormat/>
    <w:uiPriority w:val="0"/>
    <w:pPr>
      <w:ind w:firstLine="420" w:firstLineChars="200"/>
    </w:pPr>
    <w:rPr>
      <w:szCs w:val="20"/>
    </w:rPr>
  </w:style>
  <w:style w:type="paragraph" w:customStyle="1" w:styleId="141">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2">
    <w:name w:val="tpc_content1"/>
    <w:qFormat/>
    <w:uiPriority w:val="0"/>
    <w:rPr>
      <w:sz w:val="20"/>
      <w:szCs w:val="20"/>
    </w:rPr>
  </w:style>
  <w:style w:type="character" w:customStyle="1" w:styleId="143">
    <w:name w:val="Char Char11"/>
    <w:qFormat/>
    <w:uiPriority w:val="0"/>
    <w:rPr>
      <w:b/>
      <w:kern w:val="44"/>
      <w:sz w:val="44"/>
    </w:rPr>
  </w:style>
  <w:style w:type="character" w:customStyle="1" w:styleId="144">
    <w:name w:val="Char Char10"/>
    <w:qFormat/>
    <w:uiPriority w:val="0"/>
    <w:rPr>
      <w:b/>
      <w:kern w:val="2"/>
      <w:sz w:val="28"/>
      <w:szCs w:val="28"/>
    </w:rPr>
  </w:style>
  <w:style w:type="character" w:customStyle="1" w:styleId="145">
    <w:name w:val="Char Char9"/>
    <w:qFormat/>
    <w:uiPriority w:val="0"/>
    <w:rPr>
      <w:b/>
      <w:kern w:val="2"/>
      <w:sz w:val="24"/>
      <w:szCs w:val="24"/>
    </w:rPr>
  </w:style>
  <w:style w:type="paragraph" w:customStyle="1" w:styleId="146">
    <w:name w:val="Char Char Char 字元 字元"/>
    <w:basedOn w:val="1"/>
    <w:qFormat/>
    <w:uiPriority w:val="0"/>
    <w:pPr>
      <w:spacing w:line="360" w:lineRule="auto"/>
      <w:ind w:firstLine="200" w:firstLineChars="200"/>
    </w:pPr>
    <w:rPr>
      <w:szCs w:val="20"/>
    </w:rPr>
  </w:style>
  <w:style w:type="paragraph" w:customStyle="1" w:styleId="14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9">
    <w:name w:val="style11"/>
    <w:qFormat/>
    <w:uiPriority w:val="0"/>
    <w:rPr>
      <w:b/>
      <w:bCs/>
      <w:color w:val="FF0000"/>
    </w:rPr>
  </w:style>
  <w:style w:type="character" w:customStyle="1" w:styleId="150">
    <w:name w:val="info"/>
    <w:basedOn w:val="43"/>
    <w:qFormat/>
    <w:uiPriority w:val="0"/>
  </w:style>
  <w:style w:type="paragraph" w:customStyle="1" w:styleId="151">
    <w:name w:val="样式 正文缩进 + 首行缩进:  2 字符"/>
    <w:basedOn w:val="4"/>
    <w:link w:val="152"/>
    <w:qFormat/>
    <w:uiPriority w:val="0"/>
    <w:pPr>
      <w:spacing w:line="360" w:lineRule="auto"/>
      <w:ind w:firstLine="480"/>
    </w:pPr>
    <w:rPr>
      <w:rFonts w:ascii="宋体" w:hAnsi="宋体"/>
      <w:color w:val="000000"/>
      <w:kern w:val="0"/>
      <w:sz w:val="24"/>
      <w:szCs w:val="20"/>
    </w:rPr>
  </w:style>
  <w:style w:type="character" w:customStyle="1" w:styleId="152">
    <w:name w:val="样式 正文缩进 + 首行缩进:  2 字符 Char"/>
    <w:link w:val="151"/>
    <w:qFormat/>
    <w:locked/>
    <w:uiPriority w:val="0"/>
    <w:rPr>
      <w:rFonts w:ascii="宋体" w:hAnsi="宋体" w:eastAsia="宋体"/>
      <w:color w:val="000000"/>
      <w:sz w:val="24"/>
      <w:lang w:bidi="ar-SA"/>
    </w:rPr>
  </w:style>
  <w:style w:type="paragraph" w:customStyle="1" w:styleId="153">
    <w:name w:val="正文2"/>
    <w:basedOn w:val="1"/>
    <w:link w:val="154"/>
    <w:qFormat/>
    <w:uiPriority w:val="0"/>
    <w:pPr>
      <w:spacing w:before="156" w:line="360" w:lineRule="auto"/>
      <w:ind w:firstLine="510" w:firstLineChars="200"/>
    </w:pPr>
    <w:rPr>
      <w:sz w:val="24"/>
      <w:szCs w:val="20"/>
    </w:rPr>
  </w:style>
  <w:style w:type="character" w:customStyle="1" w:styleId="154">
    <w:name w:val="正文2 Char"/>
    <w:link w:val="153"/>
    <w:qFormat/>
    <w:uiPriority w:val="0"/>
    <w:rPr>
      <w:rFonts w:eastAsia="宋体"/>
      <w:kern w:val="2"/>
      <w:sz w:val="24"/>
      <w:lang w:val="en-US" w:eastAsia="zh-CN" w:bidi="ar-SA"/>
    </w:rPr>
  </w:style>
  <w:style w:type="paragraph" w:customStyle="1" w:styleId="155">
    <w:name w:val="p0"/>
    <w:basedOn w:val="1"/>
    <w:qFormat/>
    <w:uiPriority w:val="0"/>
    <w:pPr>
      <w:widowControl/>
    </w:pPr>
    <w:rPr>
      <w:kern w:val="0"/>
      <w:szCs w:val="21"/>
    </w:rPr>
  </w:style>
  <w:style w:type="character" w:customStyle="1" w:styleId="156">
    <w:name w:val="param-name"/>
    <w:basedOn w:val="43"/>
    <w:qFormat/>
    <w:uiPriority w:val="0"/>
  </w:style>
  <w:style w:type="character" w:customStyle="1" w:styleId="157">
    <w:name w:val="日期 Char"/>
    <w:qFormat/>
    <w:uiPriority w:val="0"/>
    <w:rPr>
      <w:rFonts w:ascii="楷体_GB2312" w:eastAsia="楷体_GB2312"/>
      <w:b/>
      <w:kern w:val="2"/>
      <w:sz w:val="28"/>
      <w:lang w:val="en-US" w:eastAsia="zh-CN" w:bidi="ar-SA"/>
    </w:rPr>
  </w:style>
  <w:style w:type="character" w:customStyle="1" w:styleId="158">
    <w:name w:val="标题 4 Char"/>
    <w:qFormat/>
    <w:uiPriority w:val="0"/>
    <w:rPr>
      <w:rFonts w:ascii="Arial" w:hAnsi="Arial" w:eastAsia="黑体"/>
      <w:b/>
      <w:kern w:val="2"/>
      <w:sz w:val="28"/>
      <w:lang w:val="en-US" w:eastAsia="zh-CN" w:bidi="ar-SA"/>
    </w:rPr>
  </w:style>
  <w:style w:type="character" w:customStyle="1" w:styleId="159">
    <w:name w:val="标题 6 Char"/>
    <w:qFormat/>
    <w:uiPriority w:val="0"/>
    <w:rPr>
      <w:rFonts w:ascii="宋体" w:hAnsi="Arial" w:eastAsia="宋体"/>
      <w:sz w:val="24"/>
      <w:lang w:val="en-US" w:eastAsia="zh-CN" w:bidi="ar-SA"/>
    </w:rPr>
  </w:style>
  <w:style w:type="character" w:customStyle="1" w:styleId="160">
    <w:name w:val="标题 8 Char"/>
    <w:qFormat/>
    <w:uiPriority w:val="0"/>
    <w:rPr>
      <w:rFonts w:ascii="Arial" w:hAnsi="Arial" w:eastAsia="黑体"/>
      <w:sz w:val="24"/>
      <w:lang w:val="en-US" w:eastAsia="zh-CN" w:bidi="ar-SA"/>
    </w:rPr>
  </w:style>
  <w:style w:type="character" w:customStyle="1" w:styleId="161">
    <w:name w:val="标题 9 Char"/>
    <w:qFormat/>
    <w:uiPriority w:val="0"/>
    <w:rPr>
      <w:rFonts w:ascii="Arial" w:hAnsi="Arial" w:eastAsia="黑体"/>
      <w:sz w:val="24"/>
      <w:lang w:val="en-US" w:eastAsia="zh-CN" w:bidi="ar-SA"/>
    </w:rPr>
  </w:style>
  <w:style w:type="character" w:customStyle="1" w:styleId="162">
    <w:name w:val="标题 5 Char"/>
    <w:qFormat/>
    <w:uiPriority w:val="0"/>
    <w:rPr>
      <w:rFonts w:eastAsia="宋体"/>
      <w:sz w:val="24"/>
      <w:lang w:val="en-US" w:eastAsia="zh-CN" w:bidi="ar-SA"/>
    </w:rPr>
  </w:style>
  <w:style w:type="character" w:customStyle="1" w:styleId="163">
    <w:name w:val="正文文本 Char"/>
    <w:qFormat/>
    <w:locked/>
    <w:uiPriority w:val="0"/>
    <w:rPr>
      <w:rFonts w:eastAsia="仿宋_GB2312"/>
      <w:kern w:val="2"/>
      <w:sz w:val="28"/>
      <w:szCs w:val="24"/>
      <w:lang w:val="en-US" w:eastAsia="zh-CN" w:bidi="ar-SA"/>
    </w:rPr>
  </w:style>
  <w:style w:type="character" w:customStyle="1" w:styleId="164">
    <w:name w:val="正文文本缩进 2 Char"/>
    <w:qFormat/>
    <w:locked/>
    <w:uiPriority w:val="0"/>
    <w:rPr>
      <w:rFonts w:eastAsia="宋体"/>
      <w:kern w:val="2"/>
      <w:sz w:val="21"/>
      <w:szCs w:val="24"/>
      <w:lang w:val="en-US" w:eastAsia="zh-CN" w:bidi="ar-SA"/>
    </w:rPr>
  </w:style>
  <w:style w:type="character" w:customStyle="1" w:styleId="165">
    <w:name w:val="正文文本 2 Char"/>
    <w:qFormat/>
    <w:uiPriority w:val="0"/>
    <w:rPr>
      <w:rFonts w:ascii="隶书" w:eastAsia="隶书"/>
      <w:bCs/>
      <w:sz w:val="72"/>
      <w:szCs w:val="84"/>
      <w:lang w:val="en-US" w:eastAsia="zh-CN" w:bidi="ar-SA"/>
    </w:rPr>
  </w:style>
  <w:style w:type="character" w:customStyle="1" w:styleId="166">
    <w:name w:val="标题 7 Char"/>
    <w:qFormat/>
    <w:uiPriority w:val="0"/>
    <w:rPr>
      <w:rFonts w:ascii="宋体" w:hAnsi="Arial" w:eastAsia="宋体"/>
      <w:b/>
      <w:sz w:val="24"/>
      <w:lang w:val="en-US" w:eastAsia="zh-CN" w:bidi="ar-SA"/>
    </w:rPr>
  </w:style>
  <w:style w:type="character" w:customStyle="1" w:styleId="167">
    <w:name w:val="页眉 Char"/>
    <w:qFormat/>
    <w:uiPriority w:val="99"/>
    <w:rPr>
      <w:rFonts w:eastAsia="宋体"/>
      <w:kern w:val="2"/>
      <w:sz w:val="18"/>
      <w:szCs w:val="18"/>
      <w:lang w:val="en-US" w:eastAsia="zh-CN" w:bidi="ar-SA"/>
    </w:rPr>
  </w:style>
  <w:style w:type="character" w:customStyle="1" w:styleId="168">
    <w:name w:val="批注文字 Char"/>
    <w:qFormat/>
    <w:uiPriority w:val="99"/>
    <w:rPr>
      <w:rFonts w:eastAsia="宋体"/>
      <w:kern w:val="2"/>
      <w:sz w:val="21"/>
      <w:szCs w:val="24"/>
      <w:lang w:val="en-US" w:eastAsia="zh-CN" w:bidi="ar-SA"/>
    </w:rPr>
  </w:style>
  <w:style w:type="character" w:customStyle="1" w:styleId="169">
    <w:name w:val="汇视源正文 Char"/>
    <w:link w:val="170"/>
    <w:qFormat/>
    <w:uiPriority w:val="0"/>
    <w:rPr>
      <w:rFonts w:cs="宋体"/>
      <w:kern w:val="2"/>
      <w:sz w:val="24"/>
      <w:lang w:val="en-US" w:eastAsia="zh-CN" w:bidi="ar-SA"/>
    </w:rPr>
  </w:style>
  <w:style w:type="paragraph" w:customStyle="1" w:styleId="170">
    <w:name w:val="汇视源正文"/>
    <w:link w:val="169"/>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1">
    <w:name w:val="样式 列表编号 + 段后: 0.5 行"/>
    <w:basedOn w:val="13"/>
    <w:qFormat/>
    <w:uiPriority w:val="0"/>
    <w:pPr>
      <w:tabs>
        <w:tab w:val="left" w:pos="840"/>
      </w:tabs>
      <w:spacing w:afterLines="0"/>
      <w:ind w:left="425" w:hanging="425"/>
    </w:pPr>
    <w:rPr>
      <w:rFonts w:cs="宋体"/>
    </w:rPr>
  </w:style>
  <w:style w:type="paragraph" w:customStyle="1" w:styleId="172">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3">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4">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5">
    <w:name w:val="Date Char"/>
    <w:qFormat/>
    <w:locked/>
    <w:uiPriority w:val="0"/>
    <w:rPr>
      <w:rFonts w:ascii="宋体"/>
      <w:sz w:val="21"/>
      <w:lang w:val="zh-CN"/>
    </w:rPr>
  </w:style>
  <w:style w:type="character" w:customStyle="1" w:styleId="176">
    <w:name w:val="Normal Indent Char"/>
    <w:qFormat/>
    <w:locked/>
    <w:uiPriority w:val="0"/>
    <w:rPr>
      <w:rFonts w:ascii="宋体" w:eastAsia="宋体"/>
      <w:snapToGrid w:val="0"/>
      <w:color w:val="000000"/>
      <w:kern w:val="28"/>
      <w:sz w:val="28"/>
    </w:rPr>
  </w:style>
  <w:style w:type="character" w:customStyle="1" w:styleId="177">
    <w:name w:val="Plain Text Char"/>
    <w:qFormat/>
    <w:locked/>
    <w:uiPriority w:val="0"/>
    <w:rPr>
      <w:rFonts w:ascii="宋体" w:hAnsi="Courier New" w:eastAsia="宋体"/>
      <w:snapToGrid w:val="0"/>
      <w:sz w:val="21"/>
    </w:rPr>
  </w:style>
  <w:style w:type="character" w:customStyle="1" w:styleId="178">
    <w:name w:val="日期 Char1"/>
    <w:qFormat/>
    <w:uiPriority w:val="0"/>
    <w:rPr>
      <w:rFonts w:ascii="Times New Roman" w:hAnsi="Times New Roman" w:eastAsia="宋体" w:cs="Times New Roman"/>
      <w:sz w:val="24"/>
      <w:szCs w:val="24"/>
    </w:rPr>
  </w:style>
  <w:style w:type="character" w:customStyle="1" w:styleId="179">
    <w:name w:val="纯文本 Char1"/>
    <w:link w:val="180"/>
    <w:qFormat/>
    <w:uiPriority w:val="0"/>
    <w:rPr>
      <w:rFonts w:ascii="宋体" w:hAnsi="Courier New" w:eastAsia="宋体" w:cs="Courier New"/>
      <w:sz w:val="21"/>
      <w:szCs w:val="21"/>
    </w:rPr>
  </w:style>
  <w:style w:type="paragraph" w:customStyle="1" w:styleId="180">
    <w:name w:val="纯文本1"/>
    <w:basedOn w:val="1"/>
    <w:link w:val="179"/>
    <w:qFormat/>
    <w:uiPriority w:val="0"/>
    <w:rPr>
      <w:rFonts w:ascii="宋体" w:hAnsi="Courier New" w:cs="Courier New"/>
      <w:kern w:val="0"/>
      <w:szCs w:val="21"/>
    </w:rPr>
  </w:style>
  <w:style w:type="paragraph" w:customStyle="1" w:styleId="1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2">
    <w:name w:val="列出段落112"/>
    <w:basedOn w:val="1"/>
    <w:link w:val="207"/>
    <w:qFormat/>
    <w:uiPriority w:val="0"/>
    <w:pPr>
      <w:adjustRightInd w:val="0"/>
      <w:spacing w:line="360" w:lineRule="auto"/>
      <w:ind w:firstLine="200" w:firstLineChars="200"/>
    </w:pPr>
    <w:rPr>
      <w:rFonts w:eastAsia="楷体_GB2312" w:cs="Lucida Sans"/>
      <w:sz w:val="24"/>
    </w:rPr>
  </w:style>
  <w:style w:type="paragraph" w:customStyle="1" w:styleId="183">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4">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5">
    <w:name w:val="Header Char"/>
    <w:qFormat/>
    <w:locked/>
    <w:uiPriority w:val="0"/>
    <w:rPr>
      <w:rFonts w:ascii="Times New Roman" w:hAnsi="Times New Roman" w:eastAsia="宋体" w:cs="Times New Roman"/>
      <w:sz w:val="18"/>
      <w:szCs w:val="18"/>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7">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8">
    <w:name w:val="Comment Text Char"/>
    <w:qFormat/>
    <w:locked/>
    <w:uiPriority w:val="0"/>
    <w:rPr>
      <w:rFonts w:ascii="Times New Roman" w:hAnsi="Times New Roman" w:eastAsia="宋体" w:cs="Times New Roman"/>
      <w:kern w:val="0"/>
      <w:sz w:val="24"/>
      <w:szCs w:val="24"/>
      <w:lang w:val="zh-CN" w:eastAsia="zh-CN"/>
    </w:rPr>
  </w:style>
  <w:style w:type="paragraph" w:customStyle="1" w:styleId="189">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1">
    <w:name w:val="Char Char Char Char1"/>
    <w:basedOn w:val="1"/>
    <w:qFormat/>
    <w:uiPriority w:val="0"/>
    <w:rPr>
      <w:rFonts w:ascii="Tahoma" w:hAnsi="Tahoma"/>
      <w:sz w:val="24"/>
      <w:szCs w:val="20"/>
    </w:rPr>
  </w:style>
  <w:style w:type="paragraph" w:customStyle="1" w:styleId="192">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3">
    <w:name w:val="样式5"/>
    <w:basedOn w:val="1"/>
    <w:next w:val="194"/>
    <w:qFormat/>
    <w:uiPriority w:val="0"/>
    <w:pPr>
      <w:adjustRightInd w:val="0"/>
      <w:spacing w:line="440" w:lineRule="exact"/>
      <w:ind w:left="2" w:firstLine="480" w:firstLineChars="200"/>
    </w:pPr>
    <w:rPr>
      <w:rFonts w:ascii="仿宋_GB2312" w:hAnsi="仿宋" w:eastAsia="仿宋_GB2312"/>
      <w:sz w:val="24"/>
    </w:rPr>
  </w:style>
  <w:style w:type="paragraph" w:customStyle="1" w:styleId="194">
    <w:name w:val="正文文字 8"/>
    <w:next w:val="1"/>
    <w:qFormat/>
    <w:uiPriority w:val="0"/>
    <w:pPr>
      <w:widowControl w:val="0"/>
      <w:numPr>
        <w:ilvl w:val="1"/>
        <w:numId w:val="5"/>
      </w:numPr>
      <w:ind w:left="805"/>
      <w:jc w:val="both"/>
    </w:pPr>
    <w:rPr>
      <w:rFonts w:ascii="Times New Roman" w:hAnsi="Times New Roman" w:eastAsia="宋体" w:cs="Times New Roman"/>
      <w:kern w:val="2"/>
      <w:sz w:val="16"/>
      <w:lang w:val="en-US" w:eastAsia="zh-CN" w:bidi="ar-SA"/>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character" w:customStyle="1" w:styleId="198">
    <w:name w:val="特点 Char2"/>
    <w:qFormat/>
    <w:uiPriority w:val="0"/>
    <w:rPr>
      <w:rFonts w:ascii="Times New Roman" w:hAnsi="Times New Roman" w:eastAsia="宋体" w:cs="Times New Roman"/>
      <w:szCs w:val="24"/>
    </w:rPr>
  </w:style>
  <w:style w:type="character" w:customStyle="1" w:styleId="199">
    <w:name w:val="批注框文本 Char"/>
    <w:basedOn w:val="43"/>
    <w:link w:val="26"/>
    <w:semiHidden/>
    <w:qFormat/>
    <w:uiPriority w:val="0"/>
    <w:rPr>
      <w:kern w:val="2"/>
      <w:sz w:val="18"/>
      <w:szCs w:val="18"/>
    </w:rPr>
  </w:style>
  <w:style w:type="character" w:customStyle="1" w:styleId="200">
    <w:name w:val="正文文本缩进 3 Char"/>
    <w:basedOn w:val="43"/>
    <w:link w:val="31"/>
    <w:qFormat/>
    <w:uiPriority w:val="0"/>
    <w:rPr>
      <w:kern w:val="2"/>
      <w:sz w:val="16"/>
      <w:szCs w:val="16"/>
    </w:rPr>
  </w:style>
  <w:style w:type="character" w:customStyle="1" w:styleId="201">
    <w:name w:val="HTML 预设格式 Char"/>
    <w:basedOn w:val="43"/>
    <w:link w:val="35"/>
    <w:qFormat/>
    <w:uiPriority w:val="0"/>
    <w:rPr>
      <w:rFonts w:ascii="黑体" w:hAnsi="Courier New" w:eastAsia="黑体" w:cs="Courier New"/>
    </w:rPr>
  </w:style>
  <w:style w:type="character" w:customStyle="1" w:styleId="202">
    <w:name w:val="批注主题 Char"/>
    <w:basedOn w:val="168"/>
    <w:link w:val="39"/>
    <w:semiHidden/>
    <w:qFormat/>
    <w:uiPriority w:val="0"/>
    <w:rPr>
      <w:rFonts w:eastAsia="宋体"/>
      <w:b/>
      <w:bCs/>
      <w:kern w:val="2"/>
      <w:sz w:val="24"/>
      <w:szCs w:val="24"/>
      <w:lang w:val="en-US" w:eastAsia="zh-CN" w:bidi="ar-SA"/>
    </w:rPr>
  </w:style>
  <w:style w:type="character" w:customStyle="1" w:styleId="203">
    <w:name w:val="正文首行缩进 Char"/>
    <w:basedOn w:val="163"/>
    <w:link w:val="18"/>
    <w:qFormat/>
    <w:uiPriority w:val="0"/>
    <w:rPr>
      <w:rFonts w:eastAsia="仿宋_GB2312"/>
      <w:kern w:val="2"/>
      <w:sz w:val="21"/>
      <w:szCs w:val="24"/>
      <w:lang w:val="en-US" w:eastAsia="zh-CN" w:bidi="ar-SA"/>
    </w:rPr>
  </w:style>
  <w:style w:type="character" w:customStyle="1" w:styleId="204">
    <w:name w:val="正文首行缩进 2 Char"/>
    <w:basedOn w:val="65"/>
    <w:link w:val="40"/>
    <w:qFormat/>
    <w:uiPriority w:val="0"/>
    <w:rPr>
      <w:rFonts w:eastAsia="宋体"/>
      <w:kern w:val="2"/>
      <w:sz w:val="21"/>
      <w:szCs w:val="24"/>
      <w:lang w:val="en-US" w:eastAsia="zh-CN" w:bidi="ar-SA"/>
    </w:rPr>
  </w:style>
  <w:style w:type="paragraph" w:customStyle="1" w:styleId="205">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6">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7">
    <w:name w:val="列出段落 Char"/>
    <w:link w:val="182"/>
    <w:qFormat/>
    <w:uiPriority w:val="0"/>
    <w:rPr>
      <w:rFonts w:eastAsia="楷体_GB2312" w:cs="Lucida Sans"/>
      <w:kern w:val="2"/>
      <w:sz w:val="24"/>
      <w:szCs w:val="24"/>
    </w:rPr>
  </w:style>
  <w:style w:type="paragraph" w:customStyle="1" w:styleId="208">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9">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0">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1">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2">
    <w:name w:val="正文缩进2格"/>
    <w:basedOn w:val="1"/>
    <w:link w:val="213"/>
    <w:qFormat/>
    <w:uiPriority w:val="0"/>
    <w:pPr>
      <w:spacing w:line="600" w:lineRule="exact"/>
      <w:ind w:firstLine="639" w:firstLineChars="206"/>
    </w:pPr>
    <w:rPr>
      <w:rFonts w:ascii="仿宋_GB2312" w:hAnsi="宋体" w:eastAsia="仿宋_GB2312"/>
      <w:kern w:val="0"/>
      <w:sz w:val="31"/>
      <w:szCs w:val="20"/>
    </w:rPr>
  </w:style>
  <w:style w:type="character" w:customStyle="1" w:styleId="213">
    <w:name w:val="正文缩进2格 Char"/>
    <w:link w:val="212"/>
    <w:qFormat/>
    <w:uiPriority w:val="0"/>
    <w:rPr>
      <w:rFonts w:ascii="仿宋_GB2312" w:hAnsi="宋体" w:eastAsia="仿宋_GB2312"/>
      <w:sz w:val="31"/>
    </w:rPr>
  </w:style>
  <w:style w:type="paragraph" w:customStyle="1" w:styleId="21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5">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6">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7">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9">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正文1级"/>
    <w:link w:val="253"/>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3">
    <w:name w:val="正文1级 Char Char"/>
    <w:link w:val="252"/>
    <w:qFormat/>
    <w:uiPriority w:val="0"/>
    <w:rPr>
      <w:bCs/>
      <w:kern w:val="44"/>
      <w:sz w:val="24"/>
      <w:szCs w:val="44"/>
    </w:rPr>
  </w:style>
  <w:style w:type="character" w:customStyle="1" w:styleId="254">
    <w:name w:val="Char Char1"/>
    <w:qFormat/>
    <w:uiPriority w:val="0"/>
    <w:rPr>
      <w:rFonts w:ascii="宋体" w:hAnsi="Courier New" w:eastAsia="宋体"/>
      <w:kern w:val="2"/>
      <w:sz w:val="21"/>
      <w:lang w:val="en-US" w:eastAsia="zh-CN" w:bidi="ar-SA"/>
    </w:rPr>
  </w:style>
  <w:style w:type="paragraph" w:customStyle="1" w:styleId="255">
    <w:name w:val="列出段落2"/>
    <w:basedOn w:val="1"/>
    <w:qFormat/>
    <w:uiPriority w:val="34"/>
    <w:pPr>
      <w:spacing w:line="440" w:lineRule="exact"/>
      <w:ind w:firstLine="420" w:firstLineChars="200"/>
    </w:pPr>
    <w:rPr>
      <w:rFonts w:eastAsia="仿宋_GB2312"/>
      <w:sz w:val="24"/>
    </w:rPr>
  </w:style>
  <w:style w:type="paragraph" w:customStyle="1" w:styleId="256">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7">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列出段落21"/>
    <w:basedOn w:val="1"/>
    <w:qFormat/>
    <w:uiPriority w:val="0"/>
    <w:pPr>
      <w:ind w:firstLine="420" w:firstLineChars="200"/>
    </w:pPr>
    <w:rPr>
      <w:rFonts w:ascii="Calibri" w:hAnsi="Calibri"/>
      <w:szCs w:val="22"/>
    </w:rPr>
  </w:style>
  <w:style w:type="paragraph" w:customStyle="1" w:styleId="259">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1">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_Style 151"/>
    <w:basedOn w:val="1"/>
    <w:qFormat/>
    <w:uiPriority w:val="0"/>
    <w:rPr>
      <w:rFonts w:ascii="Tahoma" w:hAnsi="Tahoma"/>
      <w:sz w:val="24"/>
      <w:szCs w:val="20"/>
    </w:rPr>
  </w:style>
  <w:style w:type="paragraph" w:customStyle="1" w:styleId="265">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6">
    <w:name w:val="font01"/>
    <w:basedOn w:val="43"/>
    <w:qFormat/>
    <w:uiPriority w:val="0"/>
    <w:rPr>
      <w:rFonts w:hint="eastAsia" w:ascii="宋体" w:hAnsi="宋体" w:eastAsia="宋体" w:cs="宋体"/>
      <w:color w:val="000000"/>
      <w:sz w:val="22"/>
      <w:szCs w:val="22"/>
      <w:u w:val="none"/>
    </w:rPr>
  </w:style>
  <w:style w:type="character" w:customStyle="1" w:styleId="267">
    <w:name w:val="font11"/>
    <w:basedOn w:val="43"/>
    <w:qFormat/>
    <w:uiPriority w:val="0"/>
    <w:rPr>
      <w:rFonts w:hint="eastAsia" w:ascii="宋体" w:hAnsi="宋体" w:eastAsia="宋体" w:cs="宋体"/>
      <w:color w:val="FF0000"/>
      <w:sz w:val="22"/>
      <w:szCs w:val="22"/>
      <w:u w:val="none"/>
    </w:rPr>
  </w:style>
  <w:style w:type="character" w:customStyle="1" w:styleId="268">
    <w:name w:val="font41"/>
    <w:basedOn w:val="43"/>
    <w:qFormat/>
    <w:uiPriority w:val="0"/>
    <w:rPr>
      <w:rFonts w:hint="default" w:ascii="等线" w:hAnsi="等线" w:eastAsia="等线" w:cs="等线"/>
      <w:color w:val="FF0000"/>
      <w:sz w:val="22"/>
      <w:szCs w:val="22"/>
      <w:u w:val="none"/>
    </w:rPr>
  </w:style>
  <w:style w:type="character" w:customStyle="1" w:styleId="269">
    <w:name w:val="font21"/>
    <w:basedOn w:val="43"/>
    <w:qFormat/>
    <w:uiPriority w:val="0"/>
    <w:rPr>
      <w:rFonts w:hint="default" w:ascii="等线" w:hAnsi="等线" w:eastAsia="等线" w:cs="等线"/>
      <w:color w:val="000000"/>
      <w:sz w:val="22"/>
      <w:szCs w:val="22"/>
      <w:u w:val="none"/>
    </w:rPr>
  </w:style>
  <w:style w:type="character" w:customStyle="1" w:styleId="270">
    <w:name w:val="font51"/>
    <w:basedOn w:val="43"/>
    <w:qFormat/>
    <w:uiPriority w:val="0"/>
    <w:rPr>
      <w:rFonts w:hint="default" w:ascii="等线" w:hAnsi="等线" w:eastAsia="等线" w:cs="等线"/>
      <w:color w:val="FF0000"/>
      <w:sz w:val="22"/>
      <w:szCs w:val="22"/>
      <w:u w:val="none"/>
    </w:rPr>
  </w:style>
  <w:style w:type="character" w:customStyle="1" w:styleId="271">
    <w:name w:val="font61"/>
    <w:basedOn w:val="43"/>
    <w:qFormat/>
    <w:uiPriority w:val="0"/>
    <w:rPr>
      <w:rFonts w:hint="default" w:ascii="等线" w:hAnsi="等线" w:eastAsia="等线" w:cs="等线"/>
      <w:color w:val="000000"/>
      <w:sz w:val="22"/>
      <w:szCs w:val="22"/>
      <w:u w:val="none"/>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7">
    <w:name w:val="未处理的提及1"/>
    <w:basedOn w:val="43"/>
    <w:semiHidden/>
    <w:unhideWhenUsed/>
    <w:qFormat/>
    <w:uiPriority w:val="99"/>
    <w:rPr>
      <w:color w:val="605E5C"/>
      <w:shd w:val="clear" w:color="auto" w:fill="E1DFDD"/>
    </w:rPr>
  </w:style>
  <w:style w:type="paragraph" w:customStyle="1" w:styleId="278">
    <w:name w:val="p15"/>
    <w:basedOn w:val="1"/>
    <w:qFormat/>
    <w:uiPriority w:val="0"/>
    <w:pPr>
      <w:widowControl/>
      <w:adjustRightInd w:val="0"/>
    </w:pPr>
    <w:rPr>
      <w:rFonts w:ascii="宋体" w:hAnsi="宋体" w:cs="宋体"/>
      <w:kern w:val="0"/>
      <w:sz w:val="20"/>
      <w:szCs w:val="20"/>
    </w:rPr>
  </w:style>
  <w:style w:type="character" w:customStyle="1" w:styleId="279">
    <w:name w:val="bookmark-item"/>
    <w:basedOn w:val="43"/>
    <w:qFormat/>
    <w:uiPriority w:val="0"/>
  </w:style>
  <w:style w:type="paragraph" w:customStyle="1" w:styleId="280">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1">
    <w:name w:val="题注 Char"/>
    <w:link w:val="14"/>
    <w:qFormat/>
    <w:uiPriority w:val="0"/>
    <w:rPr>
      <w:rFonts w:ascii="Calibri" w:hAnsi="Calibri"/>
      <w:kern w:val="2"/>
    </w:rPr>
  </w:style>
  <w:style w:type="paragraph" w:customStyle="1" w:styleId="282">
    <w:name w:val="索引 11"/>
    <w:basedOn w:val="1"/>
    <w:next w:val="1"/>
    <w:qFormat/>
    <w:uiPriority w:val="99"/>
    <w:pPr>
      <w:spacing w:line="360" w:lineRule="auto"/>
    </w:pPr>
    <w:rPr>
      <w:rFonts w:ascii="仿宋_GB2312" w:eastAsia="仿宋_GB2312"/>
      <w:sz w:val="24"/>
      <w:szCs w:val="20"/>
    </w:rPr>
  </w:style>
  <w:style w:type="paragraph" w:customStyle="1" w:styleId="283">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4">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5">
    <w:name w:val="页脚 Char2"/>
    <w:qFormat/>
    <w:locked/>
    <w:uiPriority w:val="99"/>
    <w:rPr>
      <w:kern w:val="2"/>
      <w:sz w:val="18"/>
      <w:szCs w:val="18"/>
    </w:rPr>
  </w:style>
  <w:style w:type="character" w:customStyle="1" w:styleId="286">
    <w:name w:val="页眉 Char2"/>
    <w:qFormat/>
    <w:uiPriority w:val="99"/>
    <w:rPr>
      <w:kern w:val="2"/>
      <w:sz w:val="18"/>
      <w:szCs w:val="18"/>
    </w:rPr>
  </w:style>
  <w:style w:type="paragraph" w:customStyle="1" w:styleId="287">
    <w:name w:val="样式3"/>
    <w:basedOn w:val="23"/>
    <w:qFormat/>
    <w:uiPriority w:val="99"/>
    <w:pPr>
      <w:spacing w:line="240" w:lineRule="atLeast"/>
      <w:outlineLvl w:val="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FA05-8F8D-4AD3-BE54-CD80ED4929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34523</Words>
  <Characters>36234</Characters>
  <Lines>283</Lines>
  <Paragraphs>79</Paragraphs>
  <TotalTime>6</TotalTime>
  <ScaleCrop>false</ScaleCrop>
  <LinksUpToDate>false</LinksUpToDate>
  <CharactersWithSpaces>38170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2022-06-30T01:21:00Z</dcterms:created>
  <dc:creator>USER</dc:creator>
  <cp:lastModifiedBy>ASUS</cp:lastModifiedBy>
  <cp:lastPrinted>2022-02-14T11:21:00Z</cp:lastPrinted>
  <dcterms:modified xsi:type="dcterms:W3CDTF">2022-11-17T07:29:13Z</dcterms:modified>
  <dc:title>绍兴文理学院计算机机房设备及录播系统供货项目</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B7F5DE0BB68444A793E7089D1AFFA8AB</vt:lpwstr>
  </property>
</Properties>
</file>