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u w:val="single"/>
        </w:rPr>
      </w:pP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w:t>
      </w: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患者疾病诊后精细化管理外包服务项目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b/>
          <w:sz w:val="36"/>
          <w:szCs w:val="36"/>
        </w:rPr>
      </w:pPr>
    </w:p>
    <w:p>
      <w:pPr>
        <w:jc w:val="center"/>
        <w:rPr>
          <w:rFonts w:ascii="仿宋" w:hAnsi="仿宋" w:eastAsia="仿宋" w:cs="仿宋"/>
          <w:b/>
          <w:sz w:val="28"/>
          <w:szCs w:val="28"/>
        </w:rPr>
      </w:pPr>
    </w:p>
    <w:p>
      <w:pPr>
        <w:jc w:val="center"/>
        <w:rPr>
          <w:rFonts w:ascii="仿宋" w:hAnsi="仿宋" w:eastAsia="仿宋" w:cs="仿宋"/>
          <w:b/>
          <w:sz w:val="28"/>
          <w:szCs w:val="28"/>
        </w:rPr>
      </w:pPr>
    </w:p>
    <w:p>
      <w:pPr>
        <w:jc w:val="center"/>
        <w:rPr>
          <w:rFonts w:ascii="仿宋" w:hAnsi="仿宋" w:eastAsia="仿宋" w:cs="仿宋"/>
          <w:b/>
          <w:sz w:val="28"/>
          <w:szCs w:val="28"/>
        </w:rPr>
      </w:pPr>
      <w:r>
        <w:rPr>
          <w:rFonts w:hint="eastAsia" w:ascii="仿宋" w:hAnsi="仿宋" w:eastAsia="仿宋" w:cs="仿宋"/>
          <w:b/>
          <w:sz w:val="28"/>
          <w:szCs w:val="28"/>
        </w:rPr>
        <w:t>招标编号:HCZB-022-009</w:t>
      </w:r>
    </w:p>
    <w:p>
      <w:pPr>
        <w:pStyle w:val="2"/>
        <w:numPr>
          <w:ilvl w:val="0"/>
          <w:numId w:val="0"/>
        </w:numPr>
        <w:rPr>
          <w:rFonts w:ascii="仿宋" w:hAnsi="仿宋" w:eastAsia="仿宋" w:cs="仿宋"/>
          <w:sz w:val="20"/>
          <w:szCs w:val="6"/>
        </w:rPr>
      </w:pP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621040175"/>
              </w:rPr>
              <w:t>监督单</w:t>
            </w:r>
            <w:r>
              <w:rPr>
                <w:rFonts w:hint="eastAsia" w:ascii="仿宋" w:hAnsi="仿宋" w:eastAsia="仿宋" w:cs="仿宋"/>
                <w:spacing w:val="1"/>
                <w:kern w:val="0"/>
                <w:sz w:val="28"/>
                <w:szCs w:val="28"/>
                <w:fitText w:val="1680" w:id="62104017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仿宋" w:hAnsi="仿宋" w:eastAsia="仿宋" w:cs="仿宋"/>
          <w:b/>
          <w:sz w:val="44"/>
          <w:szCs w:val="44"/>
        </w:rPr>
      </w:pPr>
    </w:p>
    <w:p>
      <w:pPr>
        <w:rPr>
          <w:rFonts w:ascii="仿宋" w:hAnsi="仿宋" w:eastAsia="仿宋" w:cs="仿宋"/>
          <w:b/>
          <w:sz w:val="44"/>
          <w:szCs w:val="44"/>
        </w:rPr>
      </w:pPr>
      <w:r>
        <w:rPr>
          <w:rFonts w:hint="eastAsia" w:ascii="仿宋" w:hAnsi="仿宋" w:eastAsia="仿宋" w:cs="仿宋"/>
          <w:b/>
          <w:sz w:val="44"/>
          <w:szCs w:val="44"/>
        </w:rPr>
        <w:br w:type="page"/>
      </w: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numPr>
          <w:ilvl w:val="0"/>
          <w:numId w:val="6"/>
        </w:numPr>
        <w:jc w:val="center"/>
        <w:rPr>
          <w:rFonts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项目编号：HCZB-2022-009</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项目名称：绍兴市人民医院患者疾病诊后精细化管理外包服务项目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预算金额（元）：/</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最高限价（元）：/</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标项名称:绍兴市人民医院患者疾病诊后精细化管理外包服务项目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数量:1项</w:t>
            </w:r>
            <w:r>
              <w:rPr>
                <w:rFonts w:hint="eastAsia" w:ascii="仿宋" w:hAnsi="仿宋" w:eastAsia="仿宋" w:cs="仿宋"/>
                <w:szCs w:val="24"/>
              </w:rPr>
              <w:br w:type="textWrapping"/>
            </w:r>
            <w:r>
              <w:rPr>
                <w:rFonts w:hint="eastAsia" w:ascii="仿宋" w:hAnsi="仿宋" w:eastAsia="仿宋" w:cs="仿宋"/>
                <w:szCs w:val="24"/>
              </w:rPr>
              <w:t>  预算金额（元）:/</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482"/>
              <w:rPr>
                <w:rFonts w:ascii="仿宋" w:hAnsi="仿宋" w:eastAsia="仿宋" w:cs="仿宋"/>
                <w:b/>
                <w:bCs/>
                <w:szCs w:val="24"/>
              </w:rPr>
            </w:pPr>
            <w:r>
              <w:rPr>
                <w:rFonts w:hint="eastAsia" w:ascii="仿宋" w:hAnsi="仿宋" w:eastAsia="仿宋" w:cs="仿宋"/>
                <w:b/>
                <w:bCs/>
                <w:szCs w:val="24"/>
              </w:rPr>
              <w:t>本项目（否）接受联合体投标。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69"/>
              <w:spacing w:afterLines="0" w:line="440" w:lineRule="exact"/>
              <w:ind w:firstLine="422"/>
              <w:rPr>
                <w:rFonts w:ascii="仿宋" w:hAnsi="仿宋" w:eastAsia="仿宋" w:cs="仿宋"/>
                <w:b/>
                <w:bCs/>
                <w:szCs w:val="24"/>
              </w:rPr>
            </w:pPr>
            <w:sdt>
              <w:sdtPr>
                <w:rPr>
                  <w:rFonts w:hint="eastAsia" w:ascii="仿宋" w:hAnsi="仿宋" w:eastAsia="仿宋" w:cs="仿宋"/>
                  <w:b/>
                  <w:bCs/>
                  <w:sz w:val="21"/>
                  <w:szCs w:val="21"/>
                </w:rPr>
                <w:id w:val="725337177"/>
              </w:sdtPr>
              <w:sdtEndPr>
                <w:rPr>
                  <w:rFonts w:hint="eastAsia" w:ascii="仿宋" w:hAnsi="仿宋" w:eastAsia="仿宋" w:cs="仿宋"/>
                  <w:b/>
                  <w:bCs/>
                  <w:sz w:val="21"/>
                  <w:szCs w:val="21"/>
                </w:rPr>
              </w:sdtEndPr>
              <w:sdtContent>
                <w:r>
                  <w:rPr>
                    <w:rFonts w:hint="eastAsia" w:ascii="仿宋" w:hAnsi="仿宋" w:eastAsia="仿宋" w:cs="仿宋"/>
                    <w:b/>
                    <w:bCs/>
                  </w:rPr>
                  <w:sym w:font="Wingdings" w:char="00FE"/>
                </w:r>
              </w:sdtContent>
            </w:sdt>
            <w:r>
              <w:rPr>
                <w:rFonts w:hint="eastAsia" w:ascii="仿宋" w:hAnsi="仿宋" w:eastAsia="仿宋" w:cs="仿宋"/>
                <w:b/>
                <w:bCs/>
              </w:rPr>
              <w:t>无；</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9"/>
              <w:numPr>
                <w:ilvl w:val="0"/>
                <w:numId w:val="7"/>
              </w:numPr>
              <w:spacing w:afterLines="0" w:line="440" w:lineRule="exact"/>
              <w:ind w:firstLine="480"/>
              <w:rPr>
                <w:rFonts w:ascii="仿宋" w:hAnsi="仿宋" w:eastAsia="仿宋" w:cs="仿宋"/>
                <w:szCs w:val="24"/>
              </w:rPr>
            </w:pPr>
            <w:r>
              <w:rPr>
                <w:rFonts w:hint="eastAsia" w:ascii="仿宋" w:hAnsi="仿宋" w:eastAsia="仿宋" w:cs="仿宋"/>
                <w:szCs w:val="24"/>
              </w:rPr>
              <w:t>本项目的特定资格要求：无</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2022</w:t>
            </w:r>
            <w:r>
              <w:rPr>
                <w:rFonts w:hint="eastAsia" w:ascii="仿宋" w:hAnsi="仿宋" w:eastAsia="仿宋" w:cs="仿宋"/>
                <w:sz w:val="24"/>
              </w:rPr>
              <w:t>年月日上午8:30—11:30；下午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w:t>
            </w:r>
            <w:r>
              <w:rPr>
                <w:rFonts w:hint="eastAsia" w:ascii="仿宋" w:hAnsi="仿宋" w:eastAsia="仿宋" w:cs="仿宋"/>
                <w:b/>
                <w:bCs/>
                <w:sz w:val="24"/>
              </w:rPr>
              <w:t>（格式见第六部分附件）</w:t>
            </w:r>
            <w:r>
              <w:rPr>
                <w:rFonts w:hint="eastAsia" w:ascii="仿宋" w:hAnsi="仿宋" w:eastAsia="仿宋" w:cs="仿宋"/>
                <w:sz w:val="24"/>
              </w:rPr>
              <w:t>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五、供应商应于</w:t>
            </w:r>
            <w:r>
              <w:rPr>
                <w:rFonts w:hint="eastAsia" w:ascii="仿宋" w:hAnsi="仿宋" w:eastAsia="仿宋" w:cs="仿宋"/>
                <w:sz w:val="24"/>
                <w:u w:val="single"/>
              </w:rPr>
              <w:t>2022</w:t>
            </w:r>
            <w:r>
              <w:rPr>
                <w:rFonts w:hint="eastAsia" w:ascii="仿宋" w:hAnsi="仿宋" w:eastAsia="仿宋" w:cs="仿宋"/>
                <w:sz w:val="24"/>
              </w:rPr>
              <w:t>年月日</w:t>
            </w:r>
            <w:r>
              <w:rPr>
                <w:rFonts w:hint="eastAsia" w:ascii="仿宋" w:hAnsi="仿宋" w:eastAsia="仿宋" w:cs="仿宋"/>
                <w:sz w:val="24"/>
                <w:u w:val="single"/>
              </w:rPr>
              <w:t>14:30</w:t>
            </w:r>
            <w:r>
              <w:rPr>
                <w:rFonts w:hint="eastAsia" w:ascii="仿宋" w:hAnsi="仿宋" w:eastAsia="仿宋" w:cs="仿宋"/>
                <w:sz w:val="24"/>
              </w:rPr>
              <w:t xml:space="preserve">（北京时间）以前将投标文件密封送交到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hAnsi="仿宋" w:eastAsia="仿宋" w:cs="仿宋"/>
                <w:sz w:val="24"/>
                <w:u w:val="single"/>
              </w:rPr>
              <w:t>投标截止时间</w:t>
            </w:r>
            <w:r>
              <w:rPr>
                <w:rFonts w:hint="eastAsia" w:ascii="仿宋" w:hAnsi="仿宋" w:eastAsia="仿宋" w:cs="仿宋"/>
                <w:sz w:val="24"/>
              </w:rPr>
              <w:t>前未收到投标文件，则作自动放弃投标处理，由投标供应商自行承担责任，邮寄地址：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投标截止时间</w:t>
            </w:r>
            <w:r>
              <w:rPr>
                <w:rFonts w:hint="eastAsia" w:ascii="仿宋" w:hAnsi="仿宋" w:eastAsia="仿宋" w:cs="仿宋"/>
                <w:sz w:val="24"/>
              </w:rPr>
              <w:t>前将投标文件密封送交，</w:t>
            </w:r>
            <w:r>
              <w:rPr>
                <w:rFonts w:hint="eastAsia" w:ascii="仿宋" w:hAnsi="仿宋" w:eastAsia="仿宋" w:cs="仿宋"/>
                <w:b/>
                <w:bCs/>
                <w:sz w:val="24"/>
              </w:rPr>
              <w:t>未获取招标文件送达或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ascii="仿宋" w:hAnsi="仿宋" w:eastAsia="仿宋" w:cs="仿宋"/>
                <w:color w:val="FF0000"/>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sz w:val="24"/>
              </w:rPr>
              <w:t>，绍兴市卫健委官网：http://sxws.sx.gov.cn/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项目联系人（询问）：朱美丽</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4"/>
                <w:highlight w:val="none"/>
              </w:rPr>
              <w:t>13429550782</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陈志良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color w:val="000000" w:themeColor="text1"/>
                <w:szCs w:val="24"/>
              </w:rPr>
              <w:t>0575-88358821</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3.同级采购监督管理部门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8279" w:type="dxa"/>
            <w:vAlign w:val="center"/>
          </w:tcPr>
          <w:p>
            <w:pPr>
              <w:rPr>
                <w:rFonts w:ascii="仿宋" w:hAnsi="仿宋" w:eastAsia="仿宋" w:cs="仿宋"/>
              </w:rPr>
            </w:pPr>
          </w:p>
        </w:tc>
      </w:tr>
    </w:tbl>
    <w:p>
      <w:pPr>
        <w:widowControl/>
        <w:jc w:val="center"/>
        <w:rPr>
          <w:rFonts w:ascii="仿宋" w:hAnsi="仿宋" w:eastAsia="仿宋" w:cs="仿宋"/>
          <w:kern w:val="0"/>
          <w:sz w:val="24"/>
        </w:rPr>
      </w:pPr>
      <w:r>
        <w:rPr>
          <w:rFonts w:hint="eastAsia" w:ascii="仿宋" w:hAnsi="仿宋" w:eastAsia="仿宋" w:cs="仿宋"/>
          <w:kern w:val="0"/>
          <w:sz w:val="24"/>
        </w:rPr>
        <w:t xml:space="preserve">                            公告时间：2022年 月 日</w:t>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87485638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rPr>
            </w:pPr>
            <w:r>
              <w:rPr>
                <w:rFonts w:hint="eastAsia" w:ascii="仿宋" w:hAnsi="仿宋" w:eastAsia="仿宋" w:cs="仿宋"/>
              </w:rPr>
              <w:t>方案讲解演示：</w:t>
            </w:r>
          </w:p>
          <w:p>
            <w:pPr>
              <w:spacing w:line="440" w:lineRule="exact"/>
              <w:rPr>
                <w:rFonts w:ascii="仿宋" w:hAnsi="仿宋" w:eastAsia="仿宋" w:cs="仿宋"/>
              </w:rPr>
            </w:pPr>
            <w:sdt>
              <w:sdtPr>
                <w:rPr>
                  <w:rFonts w:hint="eastAsia" w:ascii="仿宋" w:hAnsi="仿宋" w:eastAsia="仿宋" w:cs="仿宋"/>
                </w:rPr>
                <w:id w:val="801731539"/>
              </w:sdtPr>
              <w:sdtEndPr>
                <w:rPr>
                  <w:rFonts w:hint="eastAsia" w:ascii="仿宋" w:hAnsi="仿宋" w:eastAsia="仿宋" w:cs="仿宋"/>
                </w:rPr>
              </w:sdtEndPr>
              <w:sdtContent>
                <w:sdt>
                  <w:sdtPr>
                    <w:rPr>
                      <w:rFonts w:hint="eastAsia" w:ascii="仿宋" w:hAnsi="仿宋" w:eastAsia="仿宋" w:cs="仿宋"/>
                    </w:rPr>
                    <w:id w:val="-1281644016"/>
                  </w:sdtPr>
                  <w:sdtEndPr>
                    <w:rPr>
                      <w:rFonts w:hint="eastAsia" w:ascii="仿宋" w:hAnsi="仿宋" w:eastAsia="仿宋" w:cs="仿宋"/>
                    </w:rPr>
                  </w:sdtEndPr>
                  <w:sdtContent>
                    <w:r>
                      <w:rPr>
                        <w:rFonts w:hint="eastAsia" w:ascii="仿宋" w:hAnsi="仿宋" w:eastAsia="仿宋" w:cs="仿宋"/>
                      </w:rPr>
                      <w:sym w:font="Wingdings" w:char="00A8"/>
                    </w:r>
                  </w:sdtContent>
                </w:sdt>
              </w:sdtContent>
            </w:sdt>
            <w:r>
              <w:rPr>
                <w:rFonts w:hint="eastAsia" w:ascii="仿宋" w:hAnsi="仿宋" w:eastAsia="仿宋" w:cs="仿宋"/>
              </w:rPr>
              <w:t>A无方案讲解演示。</w:t>
            </w:r>
          </w:p>
          <w:p>
            <w:pPr>
              <w:spacing w:line="440" w:lineRule="exact"/>
              <w:rPr>
                <w:rFonts w:ascii="仿宋" w:hAnsi="仿宋" w:eastAsia="仿宋" w:cs="仿宋"/>
              </w:rPr>
            </w:pPr>
            <w:r>
              <w:rPr>
                <w:rFonts w:hint="eastAsia" w:ascii="仿宋" w:hAnsi="仿宋" w:eastAsia="仿宋" w:cs="仿宋"/>
              </w:rPr>
              <w:sym w:font="Wingdings 2" w:char="0052"/>
            </w:r>
            <w:r>
              <w:rPr>
                <w:rFonts w:hint="eastAsia" w:ascii="仿宋" w:hAnsi="仿宋" w:eastAsia="仿宋" w:cs="仿宋"/>
              </w:rPr>
              <w:t>B有方案讲解演示：</w:t>
            </w:r>
          </w:p>
          <w:p>
            <w:pPr>
              <w:spacing w:line="440" w:lineRule="exact"/>
              <w:ind w:firstLine="420" w:firstLineChars="200"/>
              <w:rPr>
                <w:rFonts w:ascii="仿宋" w:hAnsi="仿宋" w:eastAsia="仿宋" w:cs="仿宋"/>
              </w:rPr>
            </w:pPr>
            <w:r>
              <w:rPr>
                <w:rFonts w:hint="eastAsia" w:ascii="仿宋" w:hAnsi="仿宋" w:eastAsia="仿宋" w:cs="仿宋"/>
              </w:rPr>
              <w:t>在评标时安排每个投标人进行方案讲解演示，讲解演示结束后按要求解答评标委员会的提问。</w:t>
            </w:r>
          </w:p>
          <w:p>
            <w:pPr>
              <w:spacing w:line="440" w:lineRule="exact"/>
              <w:rPr>
                <w:rFonts w:ascii="仿宋" w:hAnsi="仿宋" w:eastAsia="仿宋" w:cs="仿宋"/>
              </w:rPr>
            </w:pPr>
            <w:r>
              <w:rPr>
                <w:rFonts w:hint="eastAsia" w:ascii="仿宋" w:hAnsi="仿宋" w:eastAsia="仿宋" w:cs="仿宋"/>
              </w:rPr>
              <w:t>讲解演示设备：讲解演示所需设备由投标人自行准备。</w:t>
            </w:r>
          </w:p>
          <w:p>
            <w:pPr>
              <w:spacing w:line="440" w:lineRule="exact"/>
              <w:rPr>
                <w:rFonts w:ascii="仿宋" w:hAnsi="仿宋" w:eastAsia="仿宋" w:cs="仿宋"/>
              </w:rPr>
            </w:pPr>
            <w:r>
              <w:rPr>
                <w:rFonts w:hint="eastAsia" w:ascii="仿宋" w:hAnsi="仿宋" w:eastAsia="仿宋" w:cs="仿宋"/>
              </w:rPr>
              <w:t>讲解演示时间：每个投标人讲解演示前的调试准备时间不超过15分钟，讲解演示时间不超过15分钟，不包含评标委员会提问解答时间。</w:t>
            </w:r>
          </w:p>
          <w:p>
            <w:pPr>
              <w:spacing w:line="440" w:lineRule="exact"/>
              <w:rPr>
                <w:rFonts w:ascii="仿宋" w:hAnsi="仿宋" w:eastAsia="仿宋" w:cs="仿宋"/>
              </w:rPr>
            </w:pPr>
            <w:r>
              <w:rPr>
                <w:rFonts w:hint="eastAsia" w:ascii="仿宋" w:hAnsi="仿宋" w:eastAsia="仿宋" w:cs="仿宋"/>
              </w:rPr>
              <w:t>讲解演示次序：以投标人报名的先后顺序为准。</w:t>
            </w:r>
          </w:p>
          <w:p>
            <w:pPr>
              <w:spacing w:line="440" w:lineRule="exact"/>
              <w:rPr>
                <w:rFonts w:ascii="仿宋" w:hAnsi="仿宋" w:eastAsia="仿宋" w:cs="仿宋"/>
              </w:rPr>
            </w:pPr>
            <w:r>
              <w:rPr>
                <w:rFonts w:hint="eastAsia" w:ascii="仿宋" w:hAnsi="仿宋" w:eastAsia="仿宋" w:cs="仿宋"/>
              </w:rPr>
              <w:t>注：（1）参加演示的投标人人数不超过2人。不得派遣有中高风险地区旅居史的代表参加本次演示；</w:t>
            </w:r>
          </w:p>
          <w:p>
            <w:pPr>
              <w:spacing w:line="440" w:lineRule="exact"/>
              <w:rPr>
                <w:rFonts w:ascii="仿宋" w:hAnsi="仿宋" w:eastAsia="仿宋" w:cs="仿宋"/>
              </w:rPr>
            </w:pPr>
            <w:r>
              <w:rPr>
                <w:rFonts w:hint="eastAsia" w:ascii="仿宋" w:hAnsi="仿宋" w:eastAsia="仿宋" w:cs="仿宋"/>
              </w:rPr>
              <w:t>（2）投标人拟派省外演示代表的需提供当地48H核酸阴性证明，同时到绍后于绍兴本地核酸检测机构进行检测；</w:t>
            </w:r>
          </w:p>
          <w:p>
            <w:pPr>
              <w:spacing w:line="440" w:lineRule="exact"/>
              <w:rPr>
                <w:rFonts w:ascii="仿宋" w:hAnsi="仿宋" w:eastAsia="仿宋" w:cs="仿宋"/>
              </w:rPr>
            </w:pPr>
            <w:r>
              <w:rPr>
                <w:rFonts w:hint="eastAsia" w:ascii="仿宋" w:hAnsi="仿宋" w:eastAsia="仿宋" w:cs="仿宋"/>
              </w:rPr>
              <w:t>(3)投标人拟派省内演示代表的需提供3日内核酸阴性证明。</w:t>
            </w:r>
          </w:p>
          <w:p>
            <w:pPr>
              <w:spacing w:line="440" w:lineRule="exact"/>
              <w:rPr>
                <w:rFonts w:ascii="仿宋" w:hAnsi="仿宋" w:eastAsia="仿宋" w:cs="仿宋"/>
              </w:rPr>
            </w:pPr>
            <w:r>
              <w:rPr>
                <w:rFonts w:hint="eastAsia" w:ascii="仿宋" w:hAnsi="仿宋" w:eastAsia="仿宋" w:cs="仿宋"/>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A货物类，单一产品或核心产品为：。</w:t>
            </w:r>
          </w:p>
          <w:p>
            <w:pPr>
              <w:snapToGrid w:val="0"/>
              <w:spacing w:line="440" w:lineRule="exact"/>
              <w:rPr>
                <w:rFonts w:ascii="仿宋" w:hAnsi="仿宋" w:eastAsia="仿宋" w:cs="仿宋"/>
                <w:sz w:val="24"/>
              </w:rPr>
            </w:pPr>
            <w:sdt>
              <w:sdtPr>
                <w:rPr>
                  <w:rFonts w:hint="eastAsia" w:ascii="仿宋" w:hAnsi="仿宋" w:eastAsia="仿宋" w:cs="仿宋"/>
                  <w:sz w:val="24"/>
                </w:rPr>
                <w:id w:val="118727868"/>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sdt>
              <w:sdtPr>
                <w:rPr>
                  <w:rFonts w:hint="eastAsia" w:ascii="仿宋" w:hAnsi="仿宋" w:eastAsia="仿宋" w:cs="仿宋"/>
                  <w:sz w:val="24"/>
                </w:rPr>
                <w:id w:val="474885559"/>
              </w:sdtPr>
              <w:sdtEndPr>
                <w:rPr>
                  <w:rFonts w:hint="eastAsia" w:ascii="仿宋" w:hAnsi="仿宋" w:eastAsia="仿宋" w:cs="仿宋"/>
                  <w:sz w:val="24"/>
                </w:rPr>
              </w:sdtEndPr>
              <w:sdtContent/>
            </w:sdt>
            <w:r>
              <w:rPr>
                <w:rFonts w:hint="eastAsia" w:ascii="仿宋" w:hAnsi="仿宋" w:eastAsia="仿宋" w:cs="仿宋"/>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软件和信息技术服务业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rPr>
              <w:t>，</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采购代理服务费：</w:t>
            </w:r>
          </w:p>
          <w:p>
            <w:pPr>
              <w:ind w:firstLine="480" w:firstLineChars="200"/>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（1）招标代理服务费</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2000元整；</w:t>
            </w:r>
          </w:p>
          <w:p>
            <w:pPr>
              <w:ind w:firstLine="480" w:firstLineChars="200"/>
              <w:rPr>
                <w:rFonts w:ascii="仿宋" w:hAnsi="仿宋" w:eastAsia="仿宋" w:cs="仿宋"/>
                <w:color w:val="auto"/>
                <w:sz w:val="24"/>
              </w:rPr>
            </w:pPr>
            <w:r>
              <w:rPr>
                <w:rFonts w:hint="eastAsia" w:ascii="仿宋" w:hAnsi="仿宋" w:eastAsia="仿宋" w:cs="仿宋"/>
                <w:color w:val="auto"/>
                <w:sz w:val="24"/>
              </w:rPr>
              <w:t>（2）招标代理服务费的交纳方式：</w:t>
            </w:r>
          </w:p>
          <w:p>
            <w:pPr>
              <w:ind w:firstLine="480" w:firstLineChars="200"/>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ind w:firstLine="480" w:firstLineChars="200"/>
              <w:rPr>
                <w:rFonts w:ascii="仿宋" w:hAnsi="仿宋" w:eastAsia="仿宋" w:cs="仿宋"/>
                <w:color w:val="auto"/>
                <w:sz w:val="24"/>
              </w:rPr>
            </w:pPr>
            <w:r>
              <w:rPr>
                <w:rFonts w:hint="eastAsia" w:ascii="仿宋" w:hAnsi="仿宋" w:eastAsia="仿宋" w:cs="仿宋"/>
                <w:color w:val="auto"/>
                <w:sz w:val="24"/>
              </w:rPr>
              <w:t>公司名称：</w:t>
            </w:r>
          </w:p>
          <w:p>
            <w:pPr>
              <w:ind w:firstLine="480" w:firstLineChars="200"/>
              <w:rPr>
                <w:rFonts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ascii="仿宋" w:hAnsi="仿宋" w:eastAsia="仿宋" w:cs="仿宋"/>
          <w:sz w:val="24"/>
        </w:rPr>
      </w:pPr>
      <w:r>
        <w:rPr>
          <w:rFonts w:hint="eastAsia" w:ascii="仿宋" w:hAnsi="仿宋" w:eastAsia="仿宋" w:cs="仿宋"/>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3"/>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3"/>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highlight w:val="none"/>
        </w:rPr>
      </w:pPr>
      <w:bookmarkStart w:id="174" w:name="_GoBack"/>
      <w:r>
        <w:rPr>
          <w:rFonts w:hint="eastAsia" w:ascii="仿宋" w:hAnsi="仿宋" w:eastAsia="仿宋" w:cs="仿宋"/>
          <w:b w:val="0"/>
          <w:sz w:val="24"/>
          <w:highlight w:val="none"/>
        </w:rPr>
        <w:t>2.1.3中小企业声明函（如有，格式见第六部分附件）；</w:t>
      </w:r>
    </w:p>
    <w:bookmarkEnd w:id="174"/>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2.2.5供应商</w:t>
      </w:r>
      <w:r>
        <w:rPr>
          <w:rFonts w:hint="eastAsia" w:ascii="仿宋" w:hAnsi="仿宋" w:eastAsia="仿宋" w:cs="仿宋"/>
          <w:sz w:val="24"/>
        </w:rPr>
        <w:t>特定资格条件（如项目要求）的有关证明材料（复印件）；</w:t>
      </w:r>
    </w:p>
    <w:p>
      <w:pPr>
        <w:pStyle w:val="23"/>
        <w:snapToGrid w:val="0"/>
        <w:spacing w:line="440" w:lineRule="exact"/>
        <w:rPr>
          <w:rFonts w:ascii="仿宋" w:hAnsi="仿宋" w:eastAsia="仿宋" w:cs="仿宋"/>
          <w:sz w:val="24"/>
          <w:lang w:val="zh-CN"/>
        </w:rPr>
      </w:pPr>
      <w:bookmarkStart w:id="3" w:name="_Hlt68073093"/>
      <w:bookmarkEnd w:id="3"/>
      <w:bookmarkStart w:id="4" w:name="_Hlt68403820"/>
      <w:bookmarkEnd w:id="4"/>
      <w:bookmarkStart w:id="5" w:name="_Hlt68072998"/>
      <w:bookmarkEnd w:id="5"/>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10</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2.2.14</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5</w:t>
      </w:r>
      <w:r>
        <w:rPr>
          <w:rFonts w:hint="eastAsia" w:ascii="仿宋" w:hAnsi="仿宋" w:eastAsia="仿宋" w:cs="仿宋"/>
          <w:kern w:val="0"/>
          <w:sz w:val="24"/>
          <w:lang w:val="zh-CN"/>
        </w:rPr>
        <w:t>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2.2.16</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7</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2.2.20中小企业声明函（如有）；</w:t>
      </w:r>
    </w:p>
    <w:p>
      <w:pPr>
        <w:snapToGrid w:val="0"/>
        <w:spacing w:line="440" w:lineRule="exact"/>
        <w:jc w:val="left"/>
        <w:rPr>
          <w:rFonts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 w:hAnsi="仿宋" w:eastAsia="仿宋" w:cs="仿宋"/>
          <w:b/>
        </w:rPr>
      </w:pPr>
      <w:r>
        <w:rPr>
          <w:rFonts w:hint="eastAsia" w:ascii="仿宋" w:hAnsi="仿宋" w:eastAsia="仿宋" w:cs="仿宋"/>
        </w:rPr>
        <w:t>2.2.24代理服务费支付承诺书。</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776"/>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pacing w:line="480" w:lineRule="exact"/>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8.投标文件的澄清</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五、授予合同</w:t>
      </w:r>
    </w:p>
    <w:p>
      <w:pPr>
        <w:pStyle w:val="13"/>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ascii="仿宋" w:hAnsi="仿宋" w:eastAsia="仿宋" w:cs="仿宋"/>
        </w:rPr>
        <w:t>http://www.312000.net/</w:t>
      </w:r>
      <w:r>
        <w:rPr>
          <w:rFonts w:hint="eastAsia" w:ascii="仿宋" w:hAnsi="仿宋" w:eastAsia="仿宋" w:cs="仿宋"/>
        </w:rPr>
        <w:fldChar w:fldCharType="end"/>
      </w:r>
      <w:r>
        <w:rPr>
          <w:rFonts w:hint="eastAsia" w:ascii="仿宋" w:hAnsi="仿宋" w:eastAsia="仿宋" w:cs="仿宋"/>
        </w:rPr>
        <w:t>，绍兴市卫健委官网http://sxws.sx.gov.cn/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ascii="仿宋" w:hAnsi="仿宋" w:eastAsia="仿宋" w:cs="仿宋"/>
        </w:rPr>
      </w:pPr>
      <w:r>
        <w:rPr>
          <w:rFonts w:hint="eastAsia" w:ascii="仿宋" w:hAnsi="仿宋" w:eastAsia="仿宋" w:cs="仿宋"/>
        </w:rPr>
        <w:br w:type="page"/>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4"/>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9" w:name="_Toc151354173"/>
      <w:bookmarkStart w:id="10" w:name="_Toc81372787"/>
      <w:bookmarkStart w:id="11" w:name="_Toc80157775"/>
      <w:bookmarkStart w:id="12" w:name="_Toc81372964"/>
      <w:bookmarkStart w:id="13" w:name="_Toc84325981"/>
      <w:r>
        <w:rPr>
          <w:rFonts w:hint="eastAsia" w:ascii="仿宋" w:hAnsi="仿宋" w:eastAsia="仿宋" w:cs="仿宋"/>
          <w:b/>
          <w:sz w:val="24"/>
        </w:rPr>
        <w:t>8.招标项目采购需求：</w:t>
      </w:r>
    </w:p>
    <w:p>
      <w:pPr>
        <w:spacing w:line="440" w:lineRule="exact"/>
        <w:ind w:right="420"/>
        <w:rPr>
          <w:rFonts w:ascii="仿宋" w:hAnsi="仿宋" w:eastAsia="仿宋" w:cs="仿宋"/>
          <w:b/>
          <w:bCs/>
          <w:sz w:val="24"/>
        </w:rPr>
      </w:pPr>
      <w:r>
        <w:rPr>
          <w:rFonts w:hint="eastAsia" w:ascii="仿宋" w:hAnsi="仿宋" w:eastAsia="仿宋" w:cs="仿宋"/>
          <w:b/>
          <w:bCs/>
          <w:sz w:val="24"/>
          <w:bdr w:val="single" w:color="auto" w:sz="4" w:space="0"/>
        </w:rPr>
        <w:t>01标</w:t>
      </w:r>
      <w:bookmarkStart w:id="14" w:name="_Toc32678"/>
      <w:bookmarkStart w:id="15" w:name="_Toc7206"/>
      <w:r>
        <w:rPr>
          <w:rFonts w:hint="eastAsia" w:ascii="仿宋" w:hAnsi="仿宋" w:eastAsia="仿宋" w:cs="仿宋"/>
          <w:b/>
          <w:bCs/>
          <w:sz w:val="24"/>
        </w:rPr>
        <w:t>绍兴市人民医院患者疾病诊后精细化管理外包服务项目服务期限：2年</w:t>
      </w:r>
    </w:p>
    <w:bookmarkEnd w:id="14"/>
    <w:bookmarkEnd w:id="15"/>
    <w:p>
      <w:pPr>
        <w:snapToGrid w:val="0"/>
        <w:spacing w:line="440" w:lineRule="exact"/>
        <w:jc w:val="left"/>
        <w:rPr>
          <w:rFonts w:ascii="仿宋" w:hAnsi="仿宋" w:eastAsia="仿宋" w:cs="仿宋"/>
          <w:b/>
          <w:sz w:val="24"/>
        </w:rPr>
      </w:pPr>
      <w:r>
        <w:rPr>
          <w:rFonts w:hint="eastAsia" w:ascii="仿宋" w:hAnsi="仿宋" w:eastAsia="仿宋" w:cs="仿宋"/>
          <w:b/>
          <w:sz w:val="24"/>
        </w:rPr>
        <w:t>一、</w:t>
      </w:r>
      <w:r>
        <w:rPr>
          <w:rFonts w:hint="eastAsia" w:ascii="仿宋" w:hAnsi="仿宋" w:eastAsia="仿宋" w:cs="仿宋"/>
          <w:sz w:val="24"/>
        </w:rPr>
        <w:t>项目背景</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采购人为响应国家健康中国号召，拟于2022年在全院实施新型的针对诊后、院后患者疾病精细化管理服务流程，建立以健康教练技术为核心、以提供患者线上线下+院内院外的疾病管理、复诊管理、用药指导、居家康复指导、病情症状异常干预等疾病精细化管理服务，极大提升医疗质量和患者满意度，在患者中赢得较好的口碑。</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我院围绕患者就医感受，对服务流程、技术项目、医疗设施等做了多项优化；通过融合先进的理念，引进和培育医学专家，着力发展核心技术，引入先进的医疗手段，改善基础设施和医疗设备，持续改进医疗质量，不断优化医疗服务流程，提升患者就医体验，把“以患者为中心”的核心价值观做实，目标是打造一所让员工满意、让患者舒心、颇具品质与安全的现代化国际型的医院。院内服务流程目前进行了多次整合和完善，已经达到了一个非常高的服务程度。</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2016年10月，中共中央、国务院印发了《“健康中国2030”规划纲要》，纲要提出了四项主要遵循的原则，首先是健康优先，要创新健康的发展模式，其次是改革创新，要坚持政府主导，促进全民健康的制度和体系，还有科学发展，就是要遵循健康领域发展规律，坚持防治结合、预防为主。公平公正就是要缩小服务之间的不平等，要缩小这样的差距。随着《“健康中国2030”规划纲要》的发布和医改政策纵深发展，实施健康中国战略，是新时代健康卫生工作的纲领。多项控费医改政策的逐步落地，中国医疗服务行业下一阶段的重点是多维度地均衡医疗资源，全面推行分级诊疗。同时，在保证全民基本医疗服务的前提下，推动发展多样化、个性化的医疗服务，鼓励医疗服务市场化创新。为此，2018年04月28日国务院办公厅发布了《关于促进“互联网+医疗健康”发展的意见（国办发〔2018〕26号）》，意见指出：在发展“互联网+”医疗服务方面，将允许依托医疗机构发展互联网医院。医疗机构可以使用互联网医院作为第二名称，在实体医院的基础上，允许在线开展部分常见病、慢性病复诊。支持医疗卫生机构、符合条件的第三方机构搭建互联网信息平台，开展远程医疗、健康咨询、健康管理服务。意见中还特别提出：要重塑大健康管理模式，实现“我的健康我能管”。在“互联网+”的助力下，健康管理正逐步迈向个性化、精确化。通过建立物联网数据采集平台，居民可通过智能手机、平板电脑、腕表等移动设备或相关应用，全面记录个人运动、生理数据。通过建立健康管理平台，依托网站、手机客户端等载体，家庭医生可随时与签约患者进行交流，为签约居民提供在线健康咨询、预约转诊、慢性病随访、延伸处方等服务，真正发挥家庭医生的健康“守门人”作用。借助云大物移等先进技术，居民在家中就可通过网络完成健康咨询、寻找合适的医生，并在医生的辅助下更好地进行自我健康管理和康复。</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2019年1月30日国务院办公厅关于加强三级公立医院绩效考核工作的意见（国办发〔2019〕4号），明确指出：要求推动三级公立医院在发展方式上由规模扩张型转向质量效益型，在管理模式上有粗放的行政化管理转向全方位的绩效管理，同时也明确指出了关于患者满意度、医务人员满意度等绩效指标，这对医院患者诊后管理的工作再次提出了新要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2019年3月5日国家卫生健康委办公厅《关于印发医院智慧服务分级评估标准体系（试行）的通知》发布了《国家卫生健康委关于医院智慧服务分级评估标准体系》，在全国全面推广智慧医院服务分级评估工作，智慧医院的服务等级评审要求提出患者在一定区域内的医院、基层医疗机构以及居家产生的医疗健康信息能够互联互通，医院能够联合其他机构，为患者提供全生命周期、精准化的智慧医疗健康服务，同时明确了诊后患者反馈、诊后患者管理、家庭服务作为重要的考核指标。</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2019年7月15日，国务院办公厅发布《关于实施健康中国行动的意见》，并印发健康中国行动组织实施和考核方案，意见还据此提出了15个健康中国专项行动计划，其中10个专项行动的要求（健康知识普及行动、合理膳食行动、全民健身行动、心理健康促进 行动、妇幼健康促进行动、老年健康促进行动、心脑血管疾病防治行动、癌症防治行动、慢性呼吸系统疾病防治行动、糖尿病防治行动）与智慧医院的建设和患者诊后管理紧密相关。</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采购人为响应习近平总书记提出的“健康中国”号召，紧密适应医保控费的新医改的大背景，拟在全院实施新型的针对主要的慢性病种、恶性肿瘤、日间手术等具有诊后疾病管理价值的相关病种：如糖尿病、高血压、慢阻肺、脑梗死、冠心病等主要慢性病以及肺癌、乳腺癌、前列腺癌、宫颈癌、急性淋性白血病等恶性肿瘤，腹腔镜、宫腔镜、胆囊切除术等各种日间手术术后相关的患者提供诊后精细化疾病健康管理服务，切实解决患者诊后居家期间的康复管理问题，建立以可穿戴健康监测技术为核心、以提供全程远程健康监测服务和院内院外医疗及预防为一体的患者诊后疾病精细化健康管理服务模式，极大提升各类疾病的诊后健康管理质量，以期达到帮助患者尽快康复的同时，降低患者医疗费用支出，节省医保基金中占大头支出的慢性病的费用支出，最终提升患者对医院的满意度、达到多方共赢的目标。</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二、项目建设目标</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对医院所有纳入精细化管理服务的门诊、住院患者及体检人群提供疾病精细化管理服务，包括组建一支疾病精细化管理的个案管理师团队和医学团队，对具有疾病精细化管理价值的病种进行全面梳理，编制疾病管理路径，并提供患者拓展、疾病管理、复诊管理、用药指导、居家康复指导、病情症状异常干预等疾病精细化管理服务。</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健康教练技术为核心，提供诊后全程健康监测服务，辅助探索建立医、防一体的500多种具有高度管理价值的疾病及术后患者的远程健康管理服务模式，打造全国互联网+诊后疾病管理及互联网医院创新服务运营的绍兴新模式，</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大幅提升患者对医院的满意度和获得感，改善医患之间的情感交互，塑造医院亲民的良好形象，通过优质的专科随访工作和疾病诊后管理服务工作的开展，在患者中赢得良好口碑，通过优异的诊后患者管理服务来大幅提升我院在本区域内的竞争力，把“以病人为中心”的核心价值观做到极致。</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三、项目实施范围</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1、实施区域：绍兴市人民医院</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实施人群：恶性肿瘤、手术治疗、冠心病、慢阻肺、脑梗死、脑卒中、高血压、糖尿病、胃溃疡等常见病、慢性病和重疾类患者、术后患者等具有诊后疾病精细化管理价值的所有病种的门诊、住院患者人群和检后高危人群。</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四、项目概况</w:t>
      </w:r>
    </w:p>
    <w:p>
      <w:pPr>
        <w:numPr>
          <w:ilvl w:val="0"/>
          <w:numId w:val="9"/>
        </w:numPr>
        <w:spacing w:line="400" w:lineRule="exact"/>
        <w:rPr>
          <w:rFonts w:ascii="仿宋" w:hAnsi="仿宋" w:eastAsia="仿宋" w:cs="仿宋"/>
          <w:b/>
          <w:sz w:val="24"/>
        </w:rPr>
      </w:pPr>
      <w:r>
        <w:rPr>
          <w:rFonts w:hint="eastAsia" w:ascii="仿宋" w:hAnsi="仿宋" w:eastAsia="仿宋" w:cs="仿宋"/>
          <w:b/>
          <w:sz w:val="24"/>
        </w:rPr>
        <w:t>采购一览表</w:t>
      </w:r>
    </w:p>
    <w:tbl>
      <w:tblPr>
        <w:tblStyle w:val="41"/>
        <w:tblW w:w="8290"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76"/>
        <w:gridCol w:w="521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b/>
                <w:bCs/>
                <w:color w:val="000000"/>
                <w:kern w:val="0"/>
                <w:sz w:val="24"/>
              </w:rPr>
            </w:pPr>
            <w:bookmarkStart w:id="16" w:name="OLE_LINK1"/>
            <w:r>
              <w:rPr>
                <w:rFonts w:hint="eastAsia" w:ascii="仿宋" w:hAnsi="仿宋" w:eastAsia="仿宋" w:cs="仿宋"/>
                <w:b/>
                <w:bCs/>
                <w:color w:val="000000"/>
                <w:kern w:val="0"/>
                <w:sz w:val="24"/>
              </w:rPr>
              <w:t>序号</w:t>
            </w:r>
          </w:p>
        </w:tc>
        <w:tc>
          <w:tcPr>
            <w:tcW w:w="1276" w:type="dxa"/>
            <w:vAlign w:val="center"/>
          </w:tcPr>
          <w:p>
            <w:pPr>
              <w:spacing w:line="360" w:lineRule="auto"/>
              <w:jc w:val="center"/>
              <w:rPr>
                <w:rFonts w:ascii="仿宋" w:hAnsi="仿宋" w:eastAsia="仿宋" w:cs="仿宋"/>
                <w:b/>
                <w:bCs/>
                <w:color w:val="000000"/>
                <w:kern w:val="0"/>
                <w:sz w:val="24"/>
              </w:rPr>
            </w:pPr>
            <w:r>
              <w:rPr>
                <w:rFonts w:hint="eastAsia" w:ascii="仿宋" w:hAnsi="仿宋" w:eastAsia="仿宋" w:cs="仿宋"/>
                <w:b/>
                <w:bCs/>
                <w:color w:val="000000"/>
                <w:kern w:val="0"/>
                <w:sz w:val="24"/>
              </w:rPr>
              <w:t>项目名称</w:t>
            </w:r>
          </w:p>
        </w:tc>
        <w:tc>
          <w:tcPr>
            <w:tcW w:w="5219" w:type="dxa"/>
            <w:vAlign w:val="center"/>
          </w:tcPr>
          <w:p>
            <w:pPr>
              <w:spacing w:line="360" w:lineRule="auto"/>
              <w:jc w:val="center"/>
              <w:rPr>
                <w:rFonts w:ascii="仿宋" w:hAnsi="仿宋" w:eastAsia="仿宋" w:cs="仿宋"/>
                <w:b/>
                <w:bCs/>
                <w:color w:val="000000"/>
                <w:kern w:val="0"/>
                <w:sz w:val="24"/>
              </w:rPr>
            </w:pPr>
            <w:r>
              <w:rPr>
                <w:rFonts w:hint="eastAsia" w:ascii="仿宋" w:hAnsi="仿宋" w:eastAsia="仿宋" w:cs="仿宋"/>
                <w:b/>
                <w:bCs/>
                <w:color w:val="000000"/>
                <w:kern w:val="0"/>
                <w:sz w:val="24"/>
              </w:rPr>
              <w:t>项目内涵</w:t>
            </w:r>
          </w:p>
        </w:tc>
        <w:tc>
          <w:tcPr>
            <w:tcW w:w="1101" w:type="dxa"/>
            <w:vAlign w:val="center"/>
          </w:tcPr>
          <w:p>
            <w:pPr>
              <w:spacing w:line="360" w:lineRule="auto"/>
              <w:jc w:val="center"/>
              <w:rPr>
                <w:rFonts w:ascii="仿宋" w:hAnsi="仿宋" w:eastAsia="仿宋" w:cs="仿宋"/>
                <w:b/>
                <w:bCs/>
                <w:color w:val="000000"/>
                <w:kern w:val="0"/>
                <w:sz w:val="24"/>
                <w:highlight w:val="yellow"/>
              </w:rPr>
            </w:pPr>
            <w:r>
              <w:rPr>
                <w:rFonts w:hint="eastAsia" w:ascii="仿宋" w:hAnsi="仿宋" w:eastAsia="仿宋" w:cs="仿宋"/>
                <w:b/>
                <w:bCs/>
                <w:color w:val="000000"/>
                <w:kern w:val="0"/>
                <w:sz w:val="24"/>
                <w:highlight w:val="yellow"/>
                <w:lang w:val="en-US" w:eastAsia="zh-CN"/>
              </w:rPr>
              <w:t>暂定</w:t>
            </w:r>
            <w:r>
              <w:rPr>
                <w:rFonts w:hint="eastAsia" w:ascii="仿宋" w:hAnsi="仿宋" w:eastAsia="仿宋" w:cs="仿宋"/>
                <w:b/>
                <w:bCs/>
                <w:color w:val="000000"/>
                <w:kern w:val="0"/>
                <w:sz w:val="24"/>
                <w:highlight w:val="yellow"/>
              </w:rPr>
              <w:t>单价（元/项）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1276" w:type="dxa"/>
            <w:vAlign w:val="center"/>
          </w:tcPr>
          <w:p>
            <w:pPr>
              <w:widowControl/>
              <w:ind w:right="105" w:rightChars="50"/>
              <w:jc w:val="center"/>
              <w:rPr>
                <w:rFonts w:ascii="仿宋" w:hAnsi="仿宋" w:eastAsia="仿宋" w:cs="仿宋"/>
                <w:color w:val="000000"/>
                <w:sz w:val="22"/>
                <w:szCs w:val="22"/>
              </w:rPr>
            </w:pPr>
            <w:r>
              <w:rPr>
                <w:rFonts w:hint="eastAsia" w:ascii="仿宋" w:hAnsi="仿宋" w:eastAsia="仿宋" w:cs="仿宋"/>
                <w:color w:val="000000"/>
                <w:kern w:val="0"/>
                <w:szCs w:val="21"/>
              </w:rPr>
              <w:t>专病短期精细化管理服务</w:t>
            </w:r>
          </w:p>
        </w:tc>
        <w:tc>
          <w:tcPr>
            <w:tcW w:w="5219" w:type="dxa"/>
            <w:vAlign w:val="center"/>
          </w:tcPr>
          <w:p>
            <w:pPr>
              <w:widowControl/>
              <w:ind w:left="105" w:leftChars="50" w:right="105" w:rightChars="50"/>
              <w:jc w:val="left"/>
              <w:rPr>
                <w:rFonts w:ascii="仿宋" w:hAnsi="仿宋" w:eastAsia="仿宋" w:cs="仿宋"/>
                <w:kern w:val="0"/>
                <w:sz w:val="22"/>
                <w:szCs w:val="22"/>
              </w:rPr>
            </w:pPr>
            <w:r>
              <w:rPr>
                <w:rFonts w:hint="eastAsia" w:ascii="仿宋" w:hAnsi="仿宋" w:eastAsia="仿宋" w:cs="仿宋"/>
                <w:color w:val="000000"/>
                <w:kern w:val="0"/>
                <w:szCs w:val="21"/>
              </w:rPr>
              <w:t>指由需方自愿要求，专业人员（医生、护士、健康管理师等）组成的疾病管理团队，对患者进行短期的医疗照护管理服务，包含疾病跟踪、健康宣教、用药指导、复诊提醒、智能评估等，对患者离院居家过程实现早发现、早干预、早治疗，提高患者疾病认知，短期促进患者依从性，提高患者心理健康。</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1276" w:type="dxa"/>
            <w:vAlign w:val="center"/>
          </w:tcPr>
          <w:p>
            <w:pPr>
              <w:rPr>
                <w:rFonts w:ascii="仿宋" w:hAnsi="仿宋" w:eastAsia="仿宋" w:cs="仿宋"/>
                <w:color w:val="000000"/>
                <w:sz w:val="22"/>
                <w:szCs w:val="22"/>
              </w:rPr>
            </w:pPr>
            <w:r>
              <w:rPr>
                <w:rFonts w:hint="eastAsia" w:ascii="仿宋" w:hAnsi="仿宋" w:eastAsia="仿宋" w:cs="仿宋"/>
                <w:color w:val="000000"/>
                <w:kern w:val="0"/>
                <w:szCs w:val="21"/>
              </w:rPr>
              <w:t>专病精细化标准管理服务</w:t>
            </w:r>
          </w:p>
        </w:tc>
        <w:tc>
          <w:tcPr>
            <w:tcW w:w="5219" w:type="dxa"/>
            <w:vAlign w:val="center"/>
          </w:tcPr>
          <w:p>
            <w:pPr>
              <w:widowControl/>
              <w:jc w:val="left"/>
              <w:textAlignment w:val="center"/>
              <w:rPr>
                <w:rFonts w:ascii="仿宋" w:hAnsi="仿宋" w:eastAsia="仿宋" w:cs="仿宋"/>
                <w:kern w:val="0"/>
                <w:sz w:val="22"/>
                <w:szCs w:val="22"/>
              </w:rPr>
            </w:pPr>
            <w:r>
              <w:rPr>
                <w:rFonts w:hint="eastAsia" w:ascii="仿宋" w:hAnsi="仿宋" w:eastAsia="仿宋" w:cs="仿宋"/>
                <w:color w:val="000000"/>
                <w:kern w:val="0"/>
                <w:szCs w:val="21"/>
              </w:rPr>
              <w:t>指由需方自愿要求，专业人员（医生、护士、健康管理师等）组成的疾病管理团队，对其进行疾病评估、制定疾病标准管理方案，提供包括疾病风险评估、用药、饮食、运动、复诊等指导和提醒；阶段性的为患者给出病情评估报告，医生参与点评与异常情况解答。</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276" w:type="dxa"/>
            <w:vAlign w:val="center"/>
          </w:tcPr>
          <w:p>
            <w:pPr>
              <w:rPr>
                <w:rFonts w:ascii="仿宋" w:hAnsi="仿宋" w:eastAsia="仿宋" w:cs="仿宋"/>
                <w:color w:val="000000"/>
                <w:sz w:val="22"/>
                <w:szCs w:val="22"/>
              </w:rPr>
            </w:pPr>
            <w:r>
              <w:rPr>
                <w:rFonts w:hint="eastAsia" w:ascii="仿宋" w:hAnsi="仿宋" w:eastAsia="仿宋" w:cs="仿宋"/>
                <w:color w:val="000000"/>
                <w:kern w:val="0"/>
                <w:szCs w:val="21"/>
              </w:rPr>
              <w:t>专病精细化强化管理服务</w:t>
            </w:r>
          </w:p>
        </w:tc>
        <w:tc>
          <w:tcPr>
            <w:tcW w:w="5219" w:type="dxa"/>
            <w:vAlign w:val="center"/>
          </w:tcPr>
          <w:p>
            <w:pPr>
              <w:widowControl/>
              <w:jc w:val="left"/>
              <w:textAlignment w:val="center"/>
              <w:rPr>
                <w:rFonts w:ascii="仿宋" w:hAnsi="仿宋" w:eastAsia="仿宋" w:cs="仿宋"/>
                <w:kern w:val="0"/>
                <w:sz w:val="22"/>
                <w:szCs w:val="22"/>
              </w:rPr>
            </w:pPr>
            <w:r>
              <w:rPr>
                <w:rFonts w:hint="eastAsia" w:ascii="仿宋" w:hAnsi="仿宋" w:eastAsia="仿宋" w:cs="仿宋"/>
                <w:color w:val="000000"/>
                <w:kern w:val="0"/>
                <w:szCs w:val="21"/>
              </w:rPr>
              <w:t>指由需方自愿要求，专业人员（医生、护士、健康管理师等）组成的疾病管理团队，对其进行疾病评估和制定疾病强化管理方案，根据病情需求进行个案强化管理包括疾病风险评估及异常解答、用药指导、个性化的营养或运动康复指导、患者依从性管理等。</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4</w:t>
            </w:r>
          </w:p>
        </w:tc>
        <w:tc>
          <w:tcPr>
            <w:tcW w:w="1276" w:type="dxa"/>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专病精细化全程管理服务</w:t>
            </w:r>
          </w:p>
        </w:tc>
        <w:tc>
          <w:tcPr>
            <w:tcW w:w="5219" w:type="dxa"/>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指由需方自愿要求，专业人员（医生、护士、健康管理师等）组成的疾病管理团队，对其进行疾病评估和制定疾病全程管理方案，根据病情需求进行个案全程管理包括疾病风险评估及异常解答、用药指导、个性化的营养及运动康复指导、患者依从性管理等，并提供定期上门服务。</w:t>
            </w:r>
          </w:p>
        </w:tc>
        <w:tc>
          <w:tcPr>
            <w:tcW w:w="1101" w:type="dxa"/>
            <w:vAlign w:val="center"/>
          </w:tcPr>
          <w:p>
            <w:pPr>
              <w:widowControl/>
              <w:ind w:left="105" w:leftChars="50" w:right="105" w:rightChars="50"/>
              <w:rPr>
                <w:rFonts w:ascii="仿宋" w:hAnsi="仿宋" w:eastAsia="仿宋" w:cs="仿宋"/>
                <w:color w:val="000000"/>
                <w:kern w:val="0"/>
                <w:szCs w:val="21"/>
                <w:highlight w:val="yellow"/>
              </w:rPr>
            </w:pPr>
            <w:r>
              <w:rPr>
                <w:rFonts w:hint="eastAsia" w:ascii="仿宋" w:hAnsi="仿宋" w:eastAsia="仿宋" w:cs="仿宋"/>
                <w:color w:val="000000"/>
                <w:kern w:val="0"/>
                <w:szCs w:val="21"/>
                <w:highlight w:val="yellow"/>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c>
          <w:tcPr>
            <w:tcW w:w="1276" w:type="dxa"/>
            <w:vAlign w:val="center"/>
          </w:tcPr>
          <w:p>
            <w:pPr>
              <w:rPr>
                <w:rFonts w:ascii="仿宋" w:hAnsi="仿宋" w:eastAsia="仿宋" w:cs="仿宋"/>
                <w:color w:val="000000"/>
                <w:sz w:val="22"/>
                <w:szCs w:val="22"/>
              </w:rPr>
            </w:pPr>
            <w:r>
              <w:rPr>
                <w:rFonts w:hint="eastAsia" w:ascii="仿宋" w:hAnsi="仿宋" w:eastAsia="仿宋" w:cs="仿宋"/>
                <w:color w:val="000000"/>
                <w:kern w:val="0"/>
                <w:szCs w:val="21"/>
              </w:rPr>
              <w:t>专病强干预管理服务</w:t>
            </w:r>
          </w:p>
        </w:tc>
        <w:tc>
          <w:tcPr>
            <w:tcW w:w="5219" w:type="dxa"/>
            <w:vAlign w:val="center"/>
          </w:tcPr>
          <w:p>
            <w:pPr>
              <w:rPr>
                <w:rFonts w:ascii="仿宋" w:hAnsi="仿宋" w:eastAsia="仿宋" w:cs="仿宋"/>
                <w:kern w:val="0"/>
                <w:sz w:val="22"/>
                <w:szCs w:val="22"/>
              </w:rPr>
            </w:pPr>
            <w:r>
              <w:rPr>
                <w:rFonts w:hint="eastAsia" w:ascii="仿宋" w:hAnsi="仿宋" w:eastAsia="仿宋" w:cs="仿宋"/>
                <w:color w:val="000000"/>
                <w:kern w:val="0"/>
                <w:szCs w:val="21"/>
              </w:rPr>
              <w:t>指由需方自愿要求，专业人员（医生、护士、健康管理师、营养师、运动康复师等）组成疾病管理团队，根据专家医生预先确定的病种管理要求，对专病患者制定个性化可执行的强化干预方案（饮食强化干预或运动康复强化干预）、病情症状采集与干预指导、复诊管理、异常监测指标指导，促进患者对疾病的认知，提高患者治疗的依从性，提升治疗康复效果，促进健康。</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6</w:t>
            </w:r>
          </w:p>
        </w:tc>
        <w:tc>
          <w:tcPr>
            <w:tcW w:w="1276" w:type="dxa"/>
            <w:vAlign w:val="center"/>
          </w:tcPr>
          <w:p>
            <w:pPr>
              <w:rPr>
                <w:rFonts w:ascii="仿宋" w:hAnsi="仿宋" w:eastAsia="仿宋" w:cs="仿宋"/>
                <w:color w:val="000000"/>
                <w:sz w:val="22"/>
                <w:szCs w:val="22"/>
              </w:rPr>
            </w:pPr>
            <w:r>
              <w:rPr>
                <w:rFonts w:hint="eastAsia" w:ascii="仿宋" w:hAnsi="仿宋" w:eastAsia="仿宋" w:cs="仿宋"/>
                <w:color w:val="000000"/>
                <w:kern w:val="0"/>
                <w:szCs w:val="21"/>
              </w:rPr>
              <w:t>专病强干预综合管理服务</w:t>
            </w:r>
          </w:p>
        </w:tc>
        <w:tc>
          <w:tcPr>
            <w:tcW w:w="5219" w:type="dxa"/>
            <w:vAlign w:val="center"/>
          </w:tcPr>
          <w:p>
            <w:pPr>
              <w:rPr>
                <w:rFonts w:ascii="仿宋" w:hAnsi="仿宋" w:eastAsia="仿宋" w:cs="仿宋"/>
                <w:kern w:val="0"/>
                <w:sz w:val="22"/>
                <w:szCs w:val="22"/>
              </w:rPr>
            </w:pPr>
            <w:r>
              <w:rPr>
                <w:rFonts w:hint="eastAsia" w:ascii="仿宋" w:hAnsi="仿宋" w:eastAsia="仿宋" w:cs="仿宋"/>
                <w:color w:val="000000"/>
                <w:kern w:val="0"/>
                <w:szCs w:val="21"/>
              </w:rPr>
              <w:t>指由需方自愿要求，专业人员（医生、护士、健康管理师、营养师、运动康复师等）组成疾病管理团队，根据专家医生预先确定的病种管理要求，对专病患者制定个性化强化干预方案，并每周进行跟踪调整：包括每周饮食强化干预、每周运动强化干预、病情症状采集与干预指导、复诊管理强化干预、异常指标干预，促进患者对疾病的认知，督促患者养成健康的生活习惯，预防并发症，提高患者治疗的依从性，提升治疗康复效果，促进健康。</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1590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94" w:type="dxa"/>
            <w:vAlign w:val="center"/>
          </w:tcPr>
          <w:p>
            <w:pPr>
              <w:spacing w:line="360" w:lineRule="auto"/>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7</w:t>
            </w:r>
          </w:p>
        </w:tc>
        <w:tc>
          <w:tcPr>
            <w:tcW w:w="1276" w:type="dxa"/>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专病治疗性生活方式干预管理服务</w:t>
            </w:r>
          </w:p>
        </w:tc>
        <w:tc>
          <w:tcPr>
            <w:tcW w:w="5219" w:type="dxa"/>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指由需方自愿要求，专业人员（医生、护士、健康管理师、营养师、运动康复师、心理咨询师等）组成疾病管理团队，管理期内对有需要通过治疗性生活方式进行治疗的患者人群每日进行综合性强化管理。提供建立动态档案、跟踪和监测相关数据指标，并结合人工智能技术每日为患者提供个性化的运动和饮食方案，并监督、跟踪、指导患者对生活方式改进情况；督促患者对养成健康的生活习惯，促进健康。</w:t>
            </w:r>
          </w:p>
        </w:tc>
        <w:tc>
          <w:tcPr>
            <w:tcW w:w="1101" w:type="dxa"/>
            <w:vAlign w:val="center"/>
          </w:tcPr>
          <w:p>
            <w:pPr>
              <w:widowControl/>
              <w:ind w:left="105" w:leftChars="50" w:right="105" w:rightChars="50"/>
              <w:rPr>
                <w:rFonts w:ascii="仿宋" w:hAnsi="仿宋" w:eastAsia="仿宋" w:cs="仿宋"/>
                <w:color w:val="000000"/>
                <w:sz w:val="22"/>
                <w:szCs w:val="22"/>
                <w:highlight w:val="yellow"/>
              </w:rPr>
            </w:pPr>
          </w:p>
          <w:p>
            <w:pPr>
              <w:widowControl/>
              <w:ind w:left="105" w:leftChars="50" w:right="105" w:rightChars="50"/>
              <w:rPr>
                <w:rFonts w:ascii="仿宋" w:hAnsi="仿宋" w:eastAsia="仿宋" w:cs="仿宋"/>
                <w:color w:val="000000"/>
                <w:sz w:val="22"/>
                <w:szCs w:val="22"/>
                <w:highlight w:val="yellow"/>
              </w:rPr>
            </w:pPr>
          </w:p>
          <w:p>
            <w:pPr>
              <w:widowControl/>
              <w:ind w:left="105" w:leftChars="50" w:right="105" w:rightChars="50"/>
              <w:rPr>
                <w:rFonts w:ascii="仿宋" w:hAnsi="仿宋" w:eastAsia="仿宋" w:cs="仿宋"/>
                <w:color w:val="000000"/>
                <w:sz w:val="22"/>
                <w:szCs w:val="22"/>
                <w:highlight w:val="yellow"/>
              </w:rPr>
            </w:pPr>
            <w:r>
              <w:rPr>
                <w:rFonts w:hint="eastAsia" w:ascii="仿宋" w:hAnsi="仿宋" w:eastAsia="仿宋" w:cs="仿宋"/>
                <w:color w:val="000000"/>
                <w:sz w:val="22"/>
                <w:szCs w:val="22"/>
                <w:highlight w:val="yellow"/>
              </w:rPr>
              <w:t>2688</w:t>
            </w:r>
          </w:p>
        </w:tc>
      </w:tr>
      <w:bookmarkEnd w:id="16"/>
    </w:tbl>
    <w:p>
      <w:pPr>
        <w:rPr>
          <w:rFonts w:ascii="仿宋" w:hAnsi="仿宋" w:eastAsia="仿宋" w:cs="仿宋"/>
        </w:rPr>
      </w:pPr>
    </w:p>
    <w:p>
      <w:pPr>
        <w:spacing w:line="360" w:lineRule="auto"/>
        <w:ind w:firstLine="207" w:firstLineChars="98"/>
        <w:rPr>
          <w:rFonts w:hint="eastAsia" w:ascii="仿宋" w:hAnsi="仿宋" w:eastAsia="仿宋" w:cs="仿宋"/>
          <w:b/>
          <w:color w:val="000000"/>
          <w:szCs w:val="21"/>
          <w:highlight w:val="yellow"/>
          <w:lang w:val="en-US" w:eastAsia="zh-CN"/>
        </w:rPr>
      </w:pPr>
      <w:r>
        <w:rPr>
          <w:rFonts w:hint="eastAsia" w:ascii="仿宋" w:hAnsi="仿宋" w:eastAsia="仿宋" w:cs="仿宋"/>
          <w:b/>
          <w:color w:val="000000"/>
          <w:szCs w:val="21"/>
        </w:rPr>
        <w:t>注：1</w:t>
      </w:r>
      <w:r>
        <w:rPr>
          <w:rFonts w:hint="eastAsia" w:ascii="仿宋" w:hAnsi="仿宋" w:eastAsia="仿宋" w:cs="仿宋"/>
          <w:b/>
          <w:color w:val="000000"/>
          <w:szCs w:val="21"/>
          <w:lang w:eastAsia="zh-CN"/>
        </w:rPr>
        <w:t>．</w:t>
      </w:r>
      <w:r>
        <w:rPr>
          <w:rFonts w:hint="eastAsia" w:ascii="仿宋" w:hAnsi="仿宋" w:eastAsia="仿宋" w:cs="仿宋"/>
          <w:b/>
          <w:color w:val="000000"/>
          <w:szCs w:val="21"/>
          <w:highlight w:val="yellow"/>
          <w:lang w:val="en-US" w:eastAsia="zh-CN"/>
        </w:rPr>
        <w:t>本项目不仅限于以上七个套餐，以实际需求为准。</w:t>
      </w:r>
    </w:p>
    <w:p>
      <w:pPr>
        <w:spacing w:line="360" w:lineRule="auto"/>
        <w:ind w:firstLine="205" w:firstLineChars="98"/>
        <w:rPr>
          <w:rFonts w:ascii="仿宋" w:hAnsi="仿宋" w:eastAsia="仿宋" w:cs="仿宋"/>
          <w:b/>
          <w:color w:val="000000"/>
          <w:szCs w:val="21"/>
        </w:rPr>
      </w:pPr>
      <w:r>
        <w:rPr>
          <w:rFonts w:hint="eastAsia"/>
          <w:lang w:eastAsia="zh-CN"/>
        </w:rPr>
        <w:t>　　</w:t>
      </w:r>
      <w:r>
        <w:rPr>
          <w:rFonts w:hint="eastAsia"/>
          <w:lang w:val="en-US" w:eastAsia="zh-CN"/>
        </w:rPr>
        <w:t>2．</w:t>
      </w:r>
      <w:r>
        <w:rPr>
          <w:rFonts w:hint="eastAsia" w:ascii="仿宋" w:hAnsi="仿宋" w:eastAsia="仿宋" w:cs="仿宋"/>
          <w:b/>
          <w:color w:val="000000"/>
          <w:szCs w:val="21"/>
          <w:highlight w:val="yellow"/>
        </w:rPr>
        <w:t>收费单价</w:t>
      </w:r>
      <w:r>
        <w:rPr>
          <w:rFonts w:hint="eastAsia" w:ascii="仿宋" w:hAnsi="仿宋" w:eastAsia="仿宋" w:cs="仿宋"/>
          <w:b/>
          <w:color w:val="000000"/>
          <w:szCs w:val="21"/>
          <w:highlight w:val="yellow"/>
          <w:lang w:val="en-US" w:eastAsia="zh-CN"/>
        </w:rPr>
        <w:t>为自主定</w:t>
      </w:r>
      <w:r>
        <w:rPr>
          <w:rFonts w:hint="eastAsia" w:ascii="仿宋" w:hAnsi="仿宋" w:eastAsia="仿宋" w:cs="仿宋"/>
          <w:b/>
          <w:color w:val="000000"/>
          <w:szCs w:val="21"/>
          <w:highlight w:val="yellow"/>
        </w:rPr>
        <w:t>价，最终收费单价以医院官网公示为准。</w:t>
      </w:r>
    </w:p>
    <w:p>
      <w:pPr>
        <w:spacing w:line="360" w:lineRule="auto"/>
        <w:ind w:firstLine="620" w:firstLineChars="294"/>
        <w:rPr>
          <w:rFonts w:ascii="仿宋" w:hAnsi="仿宋" w:eastAsia="仿宋" w:cs="仿宋"/>
          <w:color w:val="000000"/>
          <w:szCs w:val="21"/>
        </w:rPr>
      </w:pPr>
      <w:r>
        <w:rPr>
          <w:rFonts w:hint="eastAsia" w:ascii="仿宋" w:hAnsi="仿宋" w:eastAsia="仿宋" w:cs="仿宋"/>
          <w:b/>
          <w:color w:val="000000"/>
          <w:szCs w:val="21"/>
          <w:lang w:val="en-US" w:eastAsia="zh-CN"/>
        </w:rPr>
        <w:t>3.</w:t>
      </w:r>
      <w:r>
        <w:rPr>
          <w:rFonts w:hint="eastAsia" w:ascii="仿宋" w:hAnsi="仿宋" w:eastAsia="仿宋" w:cs="仿宋"/>
          <w:b/>
          <w:color w:val="000000"/>
          <w:szCs w:val="21"/>
        </w:rPr>
        <w:t>结算按实际服务套餐数量和套餐收费单价及折扣计算（服务套餐数量*单价*中标折扣）。</w:t>
      </w:r>
    </w:p>
    <w:p>
      <w:pPr>
        <w:spacing w:line="360" w:lineRule="auto"/>
        <w:ind w:left="615" w:leftChars="293"/>
        <w:rPr>
          <w:rFonts w:ascii="仿宋" w:hAnsi="仿宋" w:eastAsia="仿宋" w:cs="仿宋"/>
        </w:rPr>
      </w:pPr>
      <w:r>
        <w:rPr>
          <w:rFonts w:hint="eastAsia" w:ascii="仿宋" w:hAnsi="仿宋" w:eastAsia="仿宋" w:cs="仿宋"/>
          <w:b/>
          <w:color w:val="000000"/>
          <w:szCs w:val="21"/>
          <w:lang w:val="en-US" w:eastAsia="zh-CN"/>
        </w:rPr>
        <w:t>4.</w:t>
      </w:r>
      <w:r>
        <w:rPr>
          <w:rFonts w:hint="eastAsia" w:ascii="仿宋" w:hAnsi="仿宋" w:eastAsia="仿宋" w:cs="仿宋"/>
          <w:b/>
          <w:color w:val="000000"/>
          <w:szCs w:val="21"/>
        </w:rPr>
        <w:t>报价包含产品材料费用、运输费（含装卸费）、劳务费、税费、保险费等所有费用。</w:t>
      </w:r>
    </w:p>
    <w:p>
      <w:pPr>
        <w:numPr>
          <w:ilvl w:val="0"/>
          <w:numId w:val="9"/>
        </w:numPr>
        <w:spacing w:line="400" w:lineRule="exact"/>
        <w:rPr>
          <w:rFonts w:ascii="仿宋" w:hAnsi="仿宋" w:eastAsia="仿宋" w:cs="仿宋"/>
          <w:b/>
          <w:sz w:val="24"/>
        </w:rPr>
      </w:pPr>
      <w:r>
        <w:rPr>
          <w:rFonts w:hint="eastAsia" w:ascii="仿宋" w:hAnsi="仿宋" w:eastAsia="仿宋" w:cs="仿宋"/>
          <w:b/>
          <w:sz w:val="24"/>
        </w:rPr>
        <w:t>患者疾病精细化管理服务相关技术要求</w:t>
      </w:r>
    </w:p>
    <w:p>
      <w:pPr>
        <w:pStyle w:val="89"/>
        <w:numPr>
          <w:ilvl w:val="0"/>
          <w:numId w:val="10"/>
        </w:numPr>
        <w:ind w:firstLine="560"/>
        <w:rPr>
          <w:rFonts w:ascii="仿宋" w:hAnsi="仿宋" w:eastAsia="仿宋" w:cs="仿宋"/>
          <w:b/>
          <w:bCs/>
        </w:rPr>
      </w:pPr>
      <w:r>
        <w:rPr>
          <w:rFonts w:hint="eastAsia" w:ascii="仿宋" w:hAnsi="仿宋" w:eastAsia="仿宋" w:cs="仿宋"/>
          <w:b/>
          <w:bCs/>
        </w:rPr>
        <w:t>中标人应与采购人一起建立患者诊后精细化疾病健康管理服务团队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每个院区（包含昌安院区和镜湖院区）均由医院组建1个“1+1+x”服务团队，将根据管理病种遴选优秀的专科医生团队加入到疾病管理工作。以专科医生、专科护士、健康管理师为服务团队，承担患者从入院到家庭到门诊的闭环管理。中标方至少提供1名具有丰富精细化管理经验的中心主</w:t>
      </w:r>
      <w:r>
        <w:rPr>
          <w:rFonts w:hint="eastAsia" w:ascii="仿宋" w:hAnsi="仿宋" w:eastAsia="仿宋" w:cs="仿宋"/>
          <w:sz w:val="24"/>
          <w:highlight w:val="none"/>
        </w:rPr>
        <w:t>任作为教练和衔接责任人</w:t>
      </w:r>
      <w:r>
        <w:rPr>
          <w:rFonts w:hint="eastAsia" w:ascii="仿宋" w:hAnsi="仿宋" w:eastAsia="仿宋" w:cs="仿宋"/>
          <w:sz w:val="24"/>
        </w:rPr>
        <w:t>，要求</w:t>
      </w:r>
      <w:r>
        <w:rPr>
          <w:rFonts w:hint="eastAsia" w:ascii="仿宋" w:hAnsi="仿宋" w:eastAsia="仿宋" w:cs="仿宋"/>
          <w:sz w:val="24"/>
          <w:highlight w:val="yellow"/>
        </w:rPr>
        <w:t>至少提供</w:t>
      </w:r>
      <w:r>
        <w:rPr>
          <w:rFonts w:hint="eastAsia" w:ascii="仿宋" w:hAnsi="仿宋" w:eastAsia="仿宋" w:cs="仿宋"/>
          <w:sz w:val="24"/>
          <w:highlight w:val="yellow"/>
          <w:lang w:eastAsia="zh-CN"/>
        </w:rPr>
        <w:t>３</w:t>
      </w:r>
      <w:r>
        <w:rPr>
          <w:rFonts w:hint="eastAsia" w:ascii="仿宋" w:hAnsi="仿宋" w:eastAsia="仿宋" w:cs="仿宋"/>
          <w:sz w:val="24"/>
          <w:highlight w:val="yellow"/>
        </w:rPr>
        <w:t>名健康管理师</w:t>
      </w:r>
      <w:r>
        <w:rPr>
          <w:rFonts w:hint="eastAsia" w:ascii="仿宋" w:hAnsi="仿宋" w:eastAsia="仿宋" w:cs="仿宋"/>
          <w:sz w:val="24"/>
        </w:rPr>
        <w:t>，针对疾病患者的病情，进行健康建档、数据采集、讲解病情发展的过程和居家需要注意的事项。人员配置应根据患者管理人数及工作量的进展及时追加配置。</w:t>
      </w:r>
    </w:p>
    <w:p>
      <w:pPr>
        <w:pStyle w:val="89"/>
        <w:numPr>
          <w:ilvl w:val="0"/>
          <w:numId w:val="10"/>
        </w:numPr>
        <w:ind w:firstLine="560"/>
        <w:rPr>
          <w:rFonts w:ascii="仿宋" w:hAnsi="仿宋" w:eastAsia="仿宋" w:cs="仿宋"/>
          <w:b/>
          <w:bCs/>
        </w:rPr>
      </w:pPr>
      <w:r>
        <w:rPr>
          <w:rFonts w:hint="eastAsia" w:ascii="仿宋" w:hAnsi="仿宋" w:eastAsia="仿宋" w:cs="仿宋"/>
          <w:b/>
          <w:bCs/>
        </w:rPr>
        <w:t>疾病健康管理团队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由投标人提供一支专业的疾病健康管理服务团队加入到患者诊后健康管理服务中，根据患者信息出具个性化的疾病干预方案，为患者提供全程诊后精细化疾病健康管理干预服务，服务团队至少应包括全科医生、营养师、运动康复师、心理师、健康管理师等，需在投标文件中提供拟为本项目提供服务的人员清单及资质证书情况。</w:t>
      </w:r>
    </w:p>
    <w:p>
      <w:pPr>
        <w:pStyle w:val="89"/>
        <w:numPr>
          <w:ilvl w:val="0"/>
          <w:numId w:val="10"/>
        </w:numPr>
        <w:ind w:firstLine="560"/>
        <w:rPr>
          <w:rFonts w:ascii="仿宋" w:hAnsi="仿宋" w:eastAsia="仿宋" w:cs="仿宋"/>
          <w:b/>
          <w:bCs/>
        </w:rPr>
      </w:pPr>
      <w:r>
        <w:rPr>
          <w:rFonts w:hint="eastAsia" w:ascii="仿宋" w:hAnsi="仿宋" w:eastAsia="仿宋" w:cs="仿宋"/>
          <w:b/>
          <w:bCs/>
        </w:rPr>
        <w:t>疾病精细化管理服务路径的医学支撑能力</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精细化管理系统的业务功能梳理中，有很大一块任务是要根据临床科室的患者疾病管理要求进行具体的患者管理路径规范的梳理和知识库内容的编辑，要求投标方具有疾病精细化管理服务路径的梳理能力和业务积累，能够提供一个具有疾病精细化管理服务能力的健管服务团队来协助招标方对相关疾病的诊后精细化管理服务工作内容和工作流程进行梳理，要求在投标文件中提供不少于3个病种（分别是</w:t>
      </w:r>
      <w:r>
        <w:rPr>
          <w:rFonts w:hint="eastAsia" w:ascii="仿宋" w:hAnsi="仿宋" w:eastAsia="仿宋" w:cs="仿宋"/>
          <w:sz w:val="24"/>
          <w:lang w:val="en-US" w:eastAsia="zh-CN"/>
        </w:rPr>
        <w:t>高血压</w:t>
      </w:r>
      <w:r>
        <w:rPr>
          <w:rFonts w:hint="eastAsia" w:ascii="仿宋" w:hAnsi="仿宋" w:eastAsia="仿宋" w:cs="仿宋"/>
          <w:sz w:val="24"/>
        </w:rPr>
        <w:t>、糖尿病、</w:t>
      </w:r>
      <w:r>
        <w:rPr>
          <w:rFonts w:hint="eastAsia" w:ascii="仿宋" w:hAnsi="仿宋" w:eastAsia="仿宋" w:cs="仿宋"/>
          <w:sz w:val="24"/>
          <w:lang w:val="en-US" w:eastAsia="zh-CN"/>
        </w:rPr>
        <w:t>肿瘤</w:t>
      </w:r>
      <w:r>
        <w:rPr>
          <w:rFonts w:hint="eastAsia" w:ascii="仿宋" w:hAnsi="仿宋" w:eastAsia="仿宋" w:cs="仿宋"/>
          <w:sz w:val="24"/>
        </w:rPr>
        <w:t>术后）的疾病管理路径具体内容以供核查。须在投标文件中详细列明拟投入本项目中进行疾病管理路径梳理的相关人员及其资质和分工内容。</w:t>
      </w:r>
    </w:p>
    <w:p>
      <w:pPr>
        <w:pStyle w:val="89"/>
        <w:numPr>
          <w:ilvl w:val="0"/>
          <w:numId w:val="10"/>
        </w:numPr>
        <w:ind w:firstLine="560"/>
        <w:rPr>
          <w:rFonts w:ascii="仿宋" w:hAnsi="仿宋" w:eastAsia="仿宋" w:cs="仿宋"/>
          <w:b/>
          <w:bCs/>
          <w:highlight w:val="yellow"/>
        </w:rPr>
      </w:pPr>
      <w:r>
        <w:rPr>
          <w:rFonts w:hint="eastAsia" w:ascii="仿宋" w:hAnsi="仿宋" w:eastAsia="仿宋" w:cs="仿宋"/>
          <w:b/>
          <w:bCs/>
          <w:highlight w:val="yellow"/>
        </w:rPr>
        <w:t>疾病精细化管理服务的患者运营拓展能力</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highlight w:val="yellow"/>
        </w:rPr>
        <w:t>投标方应具有针对患者进行精细化管理的患者拓展运营能力，要求在投标文件中面向患者列出不少于3个的疾病精细化管理套餐及其价格，并具体描述套餐的相关内容及具体要求，同时还应在投标文件中提供就上述套餐定价需要通过物价局审批的资料（指的是：新增医疗服务价格项目成本测算表、申请报告、公示内容及渠道等）；由采购人根据对患者的了解情况进行具体评价可行性。</w:t>
      </w:r>
    </w:p>
    <w:p>
      <w:pPr>
        <w:numPr>
          <w:ilvl w:val="0"/>
          <w:numId w:val="10"/>
        </w:numPr>
        <w:spacing w:line="360" w:lineRule="auto"/>
        <w:ind w:firstLine="560"/>
        <w:rPr>
          <w:rFonts w:ascii="仿宋" w:hAnsi="仿宋" w:eastAsia="仿宋" w:cs="仿宋"/>
          <w:b/>
          <w:bCs/>
          <w:sz w:val="24"/>
        </w:rPr>
      </w:pPr>
      <w:r>
        <w:rPr>
          <w:rFonts w:hint="eastAsia" w:ascii="仿宋" w:hAnsi="仿宋" w:eastAsia="仿宋" w:cs="仿宋"/>
          <w:b/>
          <w:bCs/>
          <w:sz w:val="24"/>
        </w:rPr>
        <w:t>精细化健康管理服务能力</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要求投标方在投标文件中详细描述精细化管理服务的具体流程，包括服务团队中每个岗位的具体工作职责及分工界面。</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要求投标方在投标文件中详细描述精细化管理服务的具体服务内容，要求以</w:t>
      </w:r>
      <w:r>
        <w:rPr>
          <w:rFonts w:hint="eastAsia" w:ascii="仿宋" w:hAnsi="仿宋" w:eastAsia="仿宋" w:cs="仿宋"/>
          <w:sz w:val="24"/>
          <w:lang w:val="en-US" w:eastAsia="zh-CN"/>
        </w:rPr>
        <w:t>高血压</w:t>
      </w:r>
      <w:r>
        <w:rPr>
          <w:rFonts w:hint="eastAsia" w:ascii="仿宋" w:hAnsi="仿宋" w:eastAsia="仿宋" w:cs="仿宋"/>
          <w:sz w:val="24"/>
        </w:rPr>
        <w:t>、糖尿病、</w:t>
      </w:r>
      <w:r>
        <w:rPr>
          <w:rFonts w:hint="eastAsia" w:ascii="仿宋" w:hAnsi="仿宋" w:eastAsia="仿宋" w:cs="仿宋"/>
          <w:sz w:val="24"/>
          <w:lang w:val="en-US" w:eastAsia="zh-CN"/>
        </w:rPr>
        <w:t>肿瘤</w:t>
      </w:r>
      <w:r>
        <w:rPr>
          <w:rFonts w:hint="eastAsia" w:ascii="仿宋" w:hAnsi="仿宋" w:eastAsia="仿宋" w:cs="仿宋"/>
          <w:sz w:val="24"/>
        </w:rPr>
        <w:t>术后等3个病种的诊后患者精细化管理为例，从患者纳入精细化管理开始到6个月后服务结束为止，以每个星期为一个管理阶段，详细列明每个管理阶段的具体管理内容和每个阶段考核规范；注意：具体管理内容中至少应包括上述例子病种出现相关并发症、药物不良反应等相关的病情识别及其应对措施，包括相应的运动、饮食、关键指标干预等相关内容。</w:t>
      </w:r>
    </w:p>
    <w:p>
      <w:pPr>
        <w:numPr>
          <w:ilvl w:val="0"/>
          <w:numId w:val="10"/>
        </w:numPr>
        <w:spacing w:line="360" w:lineRule="auto"/>
        <w:ind w:firstLine="560"/>
        <w:rPr>
          <w:rFonts w:ascii="仿宋" w:hAnsi="仿宋" w:eastAsia="仿宋" w:cs="仿宋"/>
          <w:b/>
          <w:sz w:val="24"/>
        </w:rPr>
      </w:pPr>
      <w:r>
        <w:rPr>
          <w:rFonts w:hint="eastAsia" w:ascii="仿宋" w:hAnsi="仿宋" w:eastAsia="仿宋" w:cs="仿宋"/>
          <w:b/>
          <w:sz w:val="24"/>
        </w:rPr>
        <w:t>患者管理服务工作质量考核与绩效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投标方应在投标文件中提供关于整体管理服务工作质量的考核标准及与绩效挂钩的考核方案，提供线上线下工作人员的工作流程、办公场地6S标准管理规范等相关内容。</w:t>
      </w:r>
    </w:p>
    <w:p>
      <w:pPr>
        <w:spacing w:line="360" w:lineRule="auto"/>
        <w:ind w:left="560"/>
        <w:rPr>
          <w:rFonts w:ascii="仿宋" w:hAnsi="仿宋" w:eastAsia="仿宋" w:cs="仿宋"/>
          <w:b/>
          <w:sz w:val="24"/>
        </w:rPr>
      </w:pPr>
      <w:r>
        <w:rPr>
          <w:rFonts w:hint="eastAsia" w:ascii="仿宋" w:hAnsi="仿宋" w:eastAsia="仿宋" w:cs="仿宋"/>
          <w:b/>
          <w:sz w:val="24"/>
        </w:rPr>
        <w:t>7.安全保密要求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在患者管理过程中，严格按照确定的工作表单的内容进行随访及采集，严禁夹带任何额外的内容，特别是软广告信息；</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线上团队外拨给患者的联系电话，均为院方统一提供的电话号码（由院方统一提供电话线路）；</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所有与患者的沟通电话均应有电话录音（要求保存一年及以上），如果采用微信、app等方式随访的，均应保存原始记录备查；</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投标方应与所有有可能接触到本项目相关工作内容的员工签署保密协议，防止信息泄密；定期进行保密知识培训，提升保密意识。</w:t>
      </w:r>
    </w:p>
    <w:p>
      <w:pPr>
        <w:spacing w:line="360" w:lineRule="auto"/>
        <w:ind w:left="560"/>
        <w:rPr>
          <w:rFonts w:ascii="仿宋" w:hAnsi="仿宋" w:eastAsia="仿宋" w:cs="仿宋"/>
          <w:b/>
          <w:sz w:val="24"/>
        </w:rPr>
      </w:pPr>
      <w:r>
        <w:rPr>
          <w:rFonts w:hint="eastAsia" w:ascii="仿宋" w:hAnsi="仿宋" w:eastAsia="仿宋" w:cs="仿宋"/>
          <w:b/>
          <w:sz w:val="24"/>
        </w:rPr>
        <w:t>8.疾病精细化管理服务团队人员配置要求</w:t>
      </w:r>
    </w:p>
    <w:p>
      <w:pPr>
        <w:widowControl/>
        <w:autoSpaceDE w:val="0"/>
        <w:spacing w:line="360" w:lineRule="auto"/>
        <w:ind w:firstLine="525" w:firstLineChars="250"/>
        <w:textAlignment w:val="center"/>
        <w:rPr>
          <w:rFonts w:ascii="仿宋" w:hAnsi="仿宋" w:eastAsia="仿宋" w:cs="仿宋"/>
          <w:color w:val="000000"/>
          <w:kern w:val="0"/>
          <w:sz w:val="24"/>
        </w:rPr>
      </w:pPr>
      <w:r>
        <w:rPr>
          <w:rFonts w:hint="eastAsia"/>
        </w:rPr>
        <w:t>8.1</w:t>
      </w:r>
      <w:r>
        <w:rPr>
          <w:rFonts w:hint="eastAsia" w:ascii="仿宋" w:hAnsi="仿宋" w:eastAsia="仿宋" w:cs="仿宋"/>
          <w:color w:val="000000"/>
          <w:kern w:val="0"/>
          <w:sz w:val="24"/>
        </w:rPr>
        <w:t>健康管理师（</w:t>
      </w:r>
      <w:r>
        <w:rPr>
          <w:rFonts w:hint="eastAsia" w:ascii="仿宋" w:hAnsi="仿宋" w:eastAsia="仿宋" w:cs="仿宋"/>
          <w:kern w:val="0"/>
          <w:sz w:val="24"/>
        </w:rPr>
        <w:t>驻场</w:t>
      </w:r>
      <w:r>
        <w:rPr>
          <w:rFonts w:hint="eastAsia" w:ascii="仿宋" w:hAnsi="仿宋" w:eastAsia="仿宋" w:cs="仿宋"/>
          <w:color w:val="000000"/>
          <w:kern w:val="0"/>
          <w:sz w:val="24"/>
        </w:rPr>
        <w:t>）要求：</w:t>
      </w:r>
      <w:r>
        <w:rPr>
          <w:rFonts w:hint="eastAsia" w:ascii="仿宋" w:hAnsi="仿宋" w:eastAsia="仿宋" w:cs="仿宋"/>
          <w:kern w:val="0"/>
          <w:sz w:val="24"/>
        </w:rPr>
        <w:t>≥</w:t>
      </w:r>
      <w:r>
        <w:rPr>
          <w:rFonts w:hint="eastAsia" w:ascii="仿宋" w:hAnsi="仿宋" w:eastAsia="仿宋" w:cs="仿宋"/>
          <w:color w:val="000000"/>
          <w:kern w:val="0"/>
          <w:sz w:val="24"/>
        </w:rPr>
        <w:t>3人，负责数据采集和现场沟通及指导，现场宣教等；要求具有3年及以上的临床护士或全科医生的工作经验，并提供相关证明材料，加盖公章。</w:t>
      </w:r>
    </w:p>
    <w:p>
      <w:pPr>
        <w:pStyle w:val="50"/>
        <w:ind w:firstLine="525" w:firstLineChars="250"/>
        <w:rPr>
          <w:rFonts w:ascii="仿宋" w:hAnsi="仿宋" w:eastAsia="仿宋" w:cs="仿宋"/>
          <w:bCs w:val="0"/>
          <w:color w:val="000000"/>
          <w:spacing w:val="0"/>
          <w:szCs w:val="24"/>
        </w:rPr>
      </w:pPr>
      <w:r>
        <w:rPr>
          <w:rFonts w:hint="eastAsia"/>
          <w:bCs w:val="0"/>
          <w:spacing w:val="0"/>
          <w:kern w:val="2"/>
          <w:sz w:val="21"/>
          <w:szCs w:val="24"/>
        </w:rPr>
        <w:t>8.2</w:t>
      </w:r>
      <w:r>
        <w:rPr>
          <w:rFonts w:hint="eastAsia" w:ascii="仿宋" w:hAnsi="仿宋" w:eastAsia="仿宋" w:cs="仿宋"/>
          <w:bCs w:val="0"/>
          <w:color w:val="000000"/>
          <w:spacing w:val="0"/>
          <w:szCs w:val="24"/>
        </w:rPr>
        <w:t>中心主任（驻场）要求：≥1人，要求具有3年及以上的临床护士或全科医生的工作经验，并提供相关证明材料，加盖公章。</w:t>
      </w:r>
    </w:p>
    <w:p>
      <w:pPr>
        <w:widowControl/>
        <w:autoSpaceDE w:val="0"/>
        <w:spacing w:line="360" w:lineRule="auto"/>
        <w:ind w:firstLine="525" w:firstLineChars="250"/>
        <w:jc w:val="left"/>
        <w:rPr>
          <w:rFonts w:ascii="仿宋" w:hAnsi="仿宋" w:eastAsia="仿宋" w:cs="仿宋"/>
          <w:color w:val="000000"/>
          <w:kern w:val="0"/>
          <w:sz w:val="24"/>
        </w:rPr>
      </w:pPr>
      <w:r>
        <w:rPr>
          <w:rFonts w:hint="eastAsia"/>
        </w:rPr>
        <w:t>8.2.1</w:t>
      </w:r>
      <w:r>
        <w:rPr>
          <w:rFonts w:hint="eastAsia" w:ascii="仿宋" w:hAnsi="仿宋" w:eastAsia="仿宋" w:cs="仿宋"/>
          <w:color w:val="000000"/>
          <w:kern w:val="0"/>
          <w:sz w:val="24"/>
        </w:rPr>
        <w:t>负责诊后疾病管理中心的任务达成，及时发现并解决问题。</w:t>
      </w:r>
    </w:p>
    <w:p>
      <w:pPr>
        <w:widowControl/>
        <w:autoSpaceDE w:val="0"/>
        <w:spacing w:line="360" w:lineRule="auto"/>
        <w:ind w:firstLine="525" w:firstLineChars="250"/>
        <w:jc w:val="left"/>
        <w:rPr>
          <w:rFonts w:ascii="仿宋" w:hAnsi="仿宋" w:eastAsia="仿宋" w:cs="仿宋"/>
          <w:color w:val="000000"/>
          <w:kern w:val="0"/>
          <w:sz w:val="24"/>
        </w:rPr>
      </w:pPr>
      <w:r>
        <w:rPr>
          <w:rFonts w:hint="eastAsia"/>
        </w:rPr>
        <w:t>8.2.2</w:t>
      </w:r>
      <w:r>
        <w:rPr>
          <w:rFonts w:hint="eastAsia" w:ascii="仿宋" w:hAnsi="仿宋" w:eastAsia="仿宋" w:cs="仿宋"/>
          <w:color w:val="000000"/>
          <w:kern w:val="0"/>
          <w:sz w:val="24"/>
        </w:rPr>
        <w:t>负责诊后疾病管理中心的团队建设、规范内部管理流程和日常运营。</w:t>
      </w:r>
    </w:p>
    <w:p>
      <w:pPr>
        <w:widowControl/>
        <w:autoSpaceDE w:val="0"/>
        <w:spacing w:line="360" w:lineRule="auto"/>
        <w:ind w:firstLine="525" w:firstLineChars="250"/>
        <w:jc w:val="left"/>
        <w:rPr>
          <w:rFonts w:ascii="仿宋" w:hAnsi="仿宋" w:eastAsia="仿宋" w:cs="仿宋"/>
          <w:color w:val="000000"/>
          <w:kern w:val="0"/>
          <w:sz w:val="24"/>
        </w:rPr>
      </w:pPr>
      <w:r>
        <w:rPr>
          <w:rFonts w:hint="eastAsia"/>
        </w:rPr>
        <w:t>8.2.3</w:t>
      </w:r>
      <w:r>
        <w:rPr>
          <w:rFonts w:hint="eastAsia" w:ascii="仿宋" w:hAnsi="仿宋" w:eastAsia="仿宋" w:cs="仿宋"/>
          <w:color w:val="000000"/>
          <w:kern w:val="0"/>
          <w:sz w:val="24"/>
        </w:rPr>
        <w:t>定期向院方提交诊后疾病管理中心的业务报表，及时分析运营数据，提出可行性建议。</w:t>
      </w:r>
    </w:p>
    <w:p>
      <w:pPr>
        <w:widowControl/>
        <w:autoSpaceDE w:val="0"/>
        <w:spacing w:line="360" w:lineRule="auto"/>
        <w:ind w:firstLine="315" w:firstLineChars="150"/>
        <w:jc w:val="left"/>
        <w:rPr>
          <w:rFonts w:ascii="仿宋" w:hAnsi="仿宋" w:eastAsia="仿宋" w:cs="仿宋"/>
          <w:color w:val="000000"/>
          <w:kern w:val="0"/>
          <w:sz w:val="24"/>
        </w:rPr>
      </w:pPr>
      <w:r>
        <w:rPr>
          <w:rFonts w:hint="eastAsia"/>
        </w:rPr>
        <w:t>8.2.4</w:t>
      </w:r>
      <w:r>
        <w:rPr>
          <w:rFonts w:hint="eastAsia" w:ascii="仿宋" w:hAnsi="仿宋" w:eastAsia="仿宋" w:cs="仿宋"/>
          <w:color w:val="000000"/>
          <w:kern w:val="0"/>
          <w:sz w:val="24"/>
        </w:rPr>
        <w:t>负责定期向院方各临床科室主任汇报其科室患者的精细化管理情况。</w:t>
      </w:r>
    </w:p>
    <w:p>
      <w:pPr>
        <w:widowControl/>
        <w:autoSpaceDE w:val="0"/>
        <w:spacing w:line="360" w:lineRule="auto"/>
        <w:ind w:firstLine="315" w:firstLineChars="150"/>
        <w:jc w:val="left"/>
        <w:rPr>
          <w:rFonts w:ascii="仿宋" w:hAnsi="仿宋" w:eastAsia="仿宋" w:cs="仿宋"/>
          <w:color w:val="000000"/>
          <w:kern w:val="0"/>
          <w:sz w:val="24"/>
        </w:rPr>
      </w:pPr>
      <w:r>
        <w:rPr>
          <w:rFonts w:hint="eastAsia"/>
        </w:rPr>
        <w:t>8.2.5</w:t>
      </w:r>
      <w:r>
        <w:rPr>
          <w:rFonts w:hint="eastAsia" w:ascii="仿宋" w:hAnsi="仿宋" w:eastAsia="仿宋" w:cs="仿宋"/>
          <w:color w:val="000000"/>
          <w:kern w:val="0"/>
          <w:sz w:val="24"/>
        </w:rPr>
        <w:t>负责线下服务患者的高满意度和推荐度等。</w:t>
      </w:r>
    </w:p>
    <w:p>
      <w:pPr>
        <w:widowControl/>
        <w:autoSpaceDE w:val="0"/>
        <w:spacing w:line="360" w:lineRule="auto"/>
        <w:ind w:firstLine="315" w:firstLineChars="150"/>
        <w:textAlignment w:val="center"/>
        <w:rPr>
          <w:rFonts w:ascii="仿宋" w:hAnsi="仿宋" w:eastAsia="仿宋" w:cs="仿宋"/>
          <w:color w:val="000000"/>
          <w:kern w:val="0"/>
          <w:sz w:val="24"/>
        </w:rPr>
      </w:pPr>
      <w:r>
        <w:rPr>
          <w:rFonts w:hint="eastAsia" w:ascii="仿宋" w:hAnsi="仿宋" w:eastAsia="仿宋" w:cs="仿宋"/>
          <w:color w:val="000000"/>
        </w:rPr>
        <w:t>8.3</w:t>
      </w:r>
      <w:r>
        <w:rPr>
          <w:rFonts w:hint="eastAsia" w:ascii="仿宋" w:hAnsi="仿宋" w:eastAsia="仿宋" w:cs="仿宋"/>
          <w:color w:val="000000"/>
          <w:kern w:val="0"/>
          <w:sz w:val="24"/>
        </w:rPr>
        <w:t>个案管理师（线上）要求：</w:t>
      </w:r>
      <w:r>
        <w:rPr>
          <w:rFonts w:hint="eastAsia" w:ascii="仿宋" w:hAnsi="仿宋" w:eastAsia="仿宋" w:cs="仿宋"/>
          <w:kern w:val="0"/>
          <w:sz w:val="24"/>
        </w:rPr>
        <w:t>≥</w:t>
      </w:r>
      <w:r>
        <w:rPr>
          <w:rFonts w:hint="eastAsia" w:ascii="仿宋" w:hAnsi="仿宋" w:eastAsia="仿宋" w:cs="仿宋"/>
          <w:color w:val="000000"/>
          <w:kern w:val="0"/>
          <w:sz w:val="24"/>
        </w:rPr>
        <w:t>10人，根据患者的个人情况，负责出具健康管理方案，负责与监测到异常的患者进行深度沟通以及与其主诊医生沟通，确定复诊及其后康复健康管理方案的修订等；（所有个案管理师均要求至少具有健康管理师证书、营养师证书、护士/护师资格证书、医生执业资格证书等之一，其中医生执业资格证书人员至少有2人，提供相关证书复印件加盖公章），应在投标文件中详细阐述配置的个案管理师的数量及工作内容。</w:t>
      </w:r>
    </w:p>
    <w:p>
      <w:pPr>
        <w:widowControl/>
        <w:autoSpaceDE w:val="0"/>
        <w:spacing w:line="360" w:lineRule="auto"/>
        <w:ind w:firstLine="420" w:firstLineChars="200"/>
        <w:textAlignment w:val="center"/>
        <w:rPr>
          <w:rFonts w:hint="eastAsia" w:ascii="仿宋" w:hAnsi="仿宋" w:eastAsia="仿宋" w:cs="仿宋"/>
          <w:color w:val="000000"/>
          <w:kern w:val="0"/>
          <w:sz w:val="24"/>
        </w:rPr>
      </w:pPr>
      <w:r>
        <w:rPr>
          <w:rFonts w:hint="eastAsia"/>
        </w:rPr>
        <w:t>8.4</w:t>
      </w:r>
      <w:r>
        <w:rPr>
          <w:rFonts w:hint="eastAsia" w:ascii="仿宋" w:hAnsi="仿宋" w:eastAsia="仿宋" w:cs="仿宋"/>
          <w:color w:val="000000"/>
          <w:kern w:val="0"/>
          <w:sz w:val="24"/>
        </w:rPr>
        <w:t>服务总监（线上）要求：</w:t>
      </w:r>
      <w:r>
        <w:rPr>
          <w:rFonts w:hint="eastAsia" w:ascii="仿宋" w:hAnsi="仿宋" w:eastAsia="仿宋" w:cs="仿宋"/>
          <w:kern w:val="0"/>
          <w:sz w:val="24"/>
        </w:rPr>
        <w:t>≥</w:t>
      </w:r>
      <w:r>
        <w:rPr>
          <w:rFonts w:hint="eastAsia" w:ascii="仿宋" w:hAnsi="仿宋" w:eastAsia="仿宋" w:cs="仿宋"/>
          <w:color w:val="000000"/>
          <w:kern w:val="0"/>
          <w:sz w:val="24"/>
        </w:rPr>
        <w:t>1人，负责统筹本项目服务团队（线上线下整个团队）的日常管理，每月输出患者情况报告给采购单位的主管领导；对VIP患者就医体验进行跟踪和回访，统筹紧急异常病情的患者应急就诊，对患者管理质量进行监督；每月向院内相关部门进行工作情况汇报；要求至少具有健康管理师证书、营养师证书、护士资格证书、医生执业资格证书等之一，提供相关证书复印件加盖公章。</w:t>
      </w:r>
    </w:p>
    <w:p>
      <w:pPr>
        <w:widowControl/>
        <w:autoSpaceDE w:val="0"/>
        <w:spacing w:line="360" w:lineRule="auto"/>
        <w:ind w:firstLine="480" w:firstLineChars="200"/>
        <w:textAlignment w:val="center"/>
        <w:rPr>
          <w:rFonts w:ascii="仿宋" w:hAnsi="仿宋" w:eastAsia="仿宋" w:cs="仿宋"/>
          <w:color w:val="000000"/>
          <w:kern w:val="0"/>
          <w:sz w:val="24"/>
        </w:rPr>
      </w:pPr>
      <w:r>
        <w:rPr>
          <w:rFonts w:hint="eastAsia" w:ascii="仿宋" w:hAnsi="仿宋" w:eastAsia="仿宋" w:cs="仿宋"/>
          <w:sz w:val="24"/>
        </w:rPr>
        <w:t>★注:投标人须按不少于上表要求的人数进行人员配置，否则作无效标处理。</w:t>
      </w:r>
    </w:p>
    <w:p>
      <w:pPr>
        <w:numPr>
          <w:ilvl w:val="0"/>
          <w:numId w:val="9"/>
        </w:numPr>
        <w:spacing w:line="400" w:lineRule="exact"/>
        <w:rPr>
          <w:rFonts w:ascii="仿宋" w:hAnsi="仿宋" w:eastAsia="仿宋" w:cs="仿宋"/>
          <w:b/>
          <w:bCs/>
          <w:sz w:val="24"/>
        </w:rPr>
      </w:pPr>
      <w:r>
        <w:rPr>
          <w:rFonts w:hint="eastAsia" w:ascii="仿宋" w:hAnsi="仿宋" w:eastAsia="仿宋" w:cs="仿宋"/>
          <w:b/>
          <w:bCs/>
          <w:sz w:val="24"/>
        </w:rPr>
        <w:t>系统软件及硬件支撑要求</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中</w:t>
      </w:r>
      <w:r>
        <w:rPr>
          <w:rFonts w:hint="eastAsia" w:ascii="仿宋" w:hAnsi="仿宋" w:eastAsia="仿宋" w:cs="仿宋"/>
          <w:sz w:val="24"/>
          <w:highlight w:val="none"/>
        </w:rPr>
        <w:t>标</w:t>
      </w:r>
      <w:r>
        <w:rPr>
          <w:rFonts w:hint="eastAsia" w:ascii="仿宋" w:hAnsi="仿宋" w:eastAsia="仿宋" w:cs="仿宋"/>
          <w:sz w:val="24"/>
          <w:highlight w:val="none"/>
          <w:lang w:val="en-US" w:eastAsia="zh-CN"/>
        </w:rPr>
        <w:t>人</w:t>
      </w:r>
      <w:r>
        <w:rPr>
          <w:rFonts w:hint="eastAsia" w:ascii="仿宋" w:hAnsi="仿宋" w:eastAsia="仿宋" w:cs="仿宋"/>
          <w:sz w:val="24"/>
          <w:highlight w:val="none"/>
        </w:rPr>
        <w:t>应</w:t>
      </w:r>
      <w:r>
        <w:rPr>
          <w:rFonts w:hint="eastAsia" w:ascii="仿宋" w:hAnsi="仿宋" w:eastAsia="仿宋" w:cs="仿宋"/>
          <w:sz w:val="24"/>
          <w:highlight w:val="yellow"/>
          <w:lang w:val="en-US" w:eastAsia="zh-CN"/>
        </w:rPr>
        <w:t>提供</w:t>
      </w:r>
      <w:r>
        <w:rPr>
          <w:rFonts w:hint="eastAsia" w:ascii="仿宋" w:hAnsi="仿宋" w:eastAsia="仿宋" w:cs="仿宋"/>
          <w:sz w:val="24"/>
          <w:highlight w:val="none"/>
          <w:lang w:val="en-US" w:eastAsia="zh-CN"/>
        </w:rPr>
        <w:t>该项目所需支撑软件系统的硬件设备（服务器、ＰＣ机等）</w:t>
      </w:r>
      <w:r>
        <w:rPr>
          <w:rFonts w:hint="eastAsia" w:ascii="仿宋" w:hAnsi="仿宋" w:eastAsia="仿宋" w:cs="仿宋"/>
          <w:sz w:val="24"/>
          <w:highlight w:val="none"/>
        </w:rPr>
        <w:t>。由</w:t>
      </w:r>
      <w:r>
        <w:rPr>
          <w:rFonts w:hint="eastAsia" w:ascii="仿宋" w:hAnsi="仿宋" w:eastAsia="仿宋" w:cs="仿宋"/>
          <w:sz w:val="24"/>
          <w:highlight w:val="none"/>
          <w:lang w:val="en-US" w:eastAsia="zh-CN"/>
        </w:rPr>
        <w:t>中标人</w:t>
      </w:r>
      <w:r>
        <w:rPr>
          <w:rFonts w:hint="eastAsia" w:ascii="仿宋" w:hAnsi="仿宋" w:eastAsia="仿宋" w:cs="仿宋"/>
          <w:sz w:val="24"/>
          <w:highlight w:val="none"/>
        </w:rPr>
        <w:t>自行安装操作系统及数据库等相应软件，如涉及相应版权等问题</w:t>
      </w:r>
      <w:r>
        <w:rPr>
          <w:rFonts w:hint="eastAsia" w:ascii="仿宋" w:hAnsi="仿宋" w:eastAsia="仿宋" w:cs="仿宋"/>
          <w:sz w:val="24"/>
          <w:highlight w:val="none"/>
          <w:lang w:val="en-US" w:eastAsia="zh-CN"/>
        </w:rPr>
        <w:t>由中标人</w:t>
      </w:r>
      <w:r>
        <w:rPr>
          <w:rFonts w:hint="eastAsia" w:ascii="仿宋" w:hAnsi="仿宋" w:eastAsia="仿宋" w:cs="仿宋"/>
          <w:sz w:val="24"/>
          <w:highlight w:val="none"/>
        </w:rPr>
        <w:t>自行承担相应责任。</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2、投标方必须具有相应的软件著作权，著作权内容应涉及精细化管理。</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3、投标方应承诺提供接口源代码或标准文档。</w:t>
      </w:r>
    </w:p>
    <w:p>
      <w:pPr>
        <w:tabs>
          <w:tab w:val="left" w:pos="3870"/>
          <w:tab w:val="left" w:pos="4085"/>
        </w:tabs>
        <w:snapToGrid w:val="0"/>
        <w:spacing w:line="440" w:lineRule="exact"/>
        <w:ind w:firstLine="480" w:firstLineChars="200"/>
        <w:jc w:val="left"/>
        <w:rPr>
          <w:rFonts w:hint="eastAsia" w:eastAsia="仿宋"/>
          <w:lang w:eastAsia="zh-CN"/>
        </w:rPr>
      </w:pPr>
      <w:r>
        <w:rPr>
          <w:rFonts w:hint="eastAsia" w:ascii="仿宋" w:hAnsi="仿宋" w:eastAsia="仿宋" w:cs="仿宋"/>
          <w:sz w:val="24"/>
        </w:rPr>
        <w:t>4、应用系统应符合</w:t>
      </w:r>
      <w:r>
        <w:rPr>
          <w:rFonts w:hint="eastAsia" w:ascii="仿宋" w:hAnsi="仿宋" w:eastAsia="仿宋" w:cs="仿宋"/>
          <w:sz w:val="24"/>
          <w:highlight w:val="none"/>
        </w:rPr>
        <w:t>等级保护要求</w:t>
      </w:r>
      <w:r>
        <w:rPr>
          <w:rFonts w:hint="eastAsia" w:ascii="仿宋" w:hAnsi="仿宋" w:eastAsia="仿宋" w:cs="仿宋"/>
          <w:sz w:val="24"/>
        </w:rPr>
        <w:t>，如涉及信息安全问题，投标方应无偿进行整改。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（四）其它</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（1）投标方应承担与本软件相关的His、数据中心平台、电子病历等医院信息系统接口费用。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（2）因对数据的保密性，运维期结束后，投标方应无偿将软件归院方使用。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（3）在维保期内，因为其他应用程序上线所涉及的流程改造应承诺不收取任何费用。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（4）中标方派遣到采购方的人员须服从采购方的安排，协助采购人开展医院正常工作所需要的相关服务，工作热情，有责任心。 </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（5）中标人对符合缴纳五险的员工按政府规定社会保险缴费基数进行缴纳，所有工作人员的工资、社保、奖金、福利均由投标人承担。</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（6）员工人身意外：在服务期内，中标人所有工作人员的事故由投标人自行全权负责（如投标人应对其员工投保人身意外险）。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（7）其他保险及费用：中标人应按政府各部门有关规定为全体工作人员交纳所有相关的其他保险及相关费。所有涉及的费用均由投标人承担，中标人应对此全权负责。 </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（8）中标人的所有工作人员必须为本单位的正式员工，并签订劳动合同。</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（9）中标方如具有类似服务的软件产品支撑能力，能够将患者疾病精细化管理进行更深一步的完善则更佳。</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▲(10)合同期间所发生的有关投诉：由中标方负责处理及承担一切责任及费用。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(11)本软件免费开放接口供其它系统使用及认证。</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(12)中标方自行提供各种服务必需品。</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（13）合同期内如遇上级部门出台有关政策，与合同条款发生冲突的，则医院有权单方解除合同，不视为医院违约，且双方互不承担责任</w:t>
      </w:r>
    </w:p>
    <w:p>
      <w:pPr>
        <w:tabs>
          <w:tab w:val="left" w:pos="3870"/>
          <w:tab w:val="left" w:pos="4085"/>
        </w:tabs>
        <w:snapToGrid w:val="0"/>
        <w:spacing w:line="440" w:lineRule="exact"/>
        <w:ind w:firstLine="480" w:firstLineChars="200"/>
        <w:jc w:val="left"/>
        <w:rPr>
          <w:rFonts w:hint="eastAsia" w:ascii="仿宋" w:hAnsi="仿宋" w:eastAsia="宋体" w:cs="仿宋"/>
          <w:sz w:val="24"/>
          <w:lang w:val="en-US" w:eastAsia="zh-CN"/>
        </w:rPr>
      </w:pPr>
      <w:r>
        <w:rPr>
          <w:rFonts w:hint="eastAsia" w:ascii="仿宋" w:hAnsi="仿宋" w:eastAsia="仿宋" w:cs="仿宋"/>
          <w:sz w:val="24"/>
          <w:lang w:eastAsia="zh-CN"/>
        </w:rPr>
        <w:t>（１４）</w:t>
      </w:r>
      <w:r>
        <w:rPr>
          <w:rFonts w:hint="eastAsia" w:ascii="仿宋" w:hAnsi="仿宋" w:eastAsia="仿宋" w:cs="仿宋"/>
          <w:sz w:val="24"/>
          <w:lang w:val="en-US" w:eastAsia="zh-CN"/>
        </w:rPr>
        <w:t>在运维期间，所有硬件和软件的运行维护及相关费用由中标人自行承担</w:t>
      </w:r>
      <w:r>
        <w:rPr>
          <w:rFonts w:hint="eastAsia"/>
          <w:lang w:eastAsia="zh-CN"/>
        </w:rPr>
        <w:t>。</w:t>
      </w:r>
    </w:p>
    <w:p>
      <w:pPr>
        <w:pStyle w:val="50"/>
        <w:ind w:firstLine="522" w:firstLineChars="200"/>
        <w:rPr>
          <w:rFonts w:ascii="仿宋" w:hAnsi="仿宋" w:eastAsia="仿宋" w:cs="仿宋"/>
          <w:b/>
          <w:color w:val="000000"/>
        </w:rPr>
      </w:pPr>
      <w:r>
        <w:rPr>
          <w:rFonts w:hint="eastAsia" w:ascii="仿宋" w:hAnsi="仿宋" w:eastAsia="仿宋" w:cs="仿宋"/>
          <w:b/>
          <w:color w:val="000000"/>
        </w:rPr>
        <w:t>五、付款方式与履约保证金</w:t>
      </w:r>
    </w:p>
    <w:p>
      <w:pPr>
        <w:numPr>
          <w:ilvl w:val="0"/>
          <w:numId w:val="11"/>
        </w:numPr>
        <w:spacing w:line="360" w:lineRule="auto"/>
        <w:ind w:firstLine="482" w:firstLineChars="200"/>
        <w:rPr>
          <w:rFonts w:ascii="仿宋" w:hAnsi="仿宋" w:eastAsia="仿宋" w:cs="仿宋"/>
          <w:b/>
          <w:bCs/>
          <w:sz w:val="24"/>
        </w:rPr>
      </w:pPr>
      <w:r>
        <w:rPr>
          <w:rFonts w:hint="eastAsia" w:ascii="仿宋" w:hAnsi="仿宋" w:eastAsia="仿宋" w:cs="仿宋"/>
          <w:b/>
          <w:bCs/>
          <w:sz w:val="24"/>
        </w:rPr>
        <w:t>付款方式：</w:t>
      </w:r>
    </w:p>
    <w:p>
      <w:pPr>
        <w:spacing w:line="360" w:lineRule="auto"/>
        <w:ind w:firstLine="480" w:firstLineChars="200"/>
        <w:rPr>
          <w:rFonts w:hint="eastAsia" w:ascii="仿宋_GB2312" w:eastAsia="仿宋_GB2312"/>
          <w:sz w:val="24"/>
        </w:rPr>
      </w:pPr>
      <w:r>
        <w:rPr>
          <w:rFonts w:hint="eastAsia" w:ascii="仿宋_GB2312" w:eastAsia="仿宋_GB2312"/>
          <w:sz w:val="24"/>
          <w:lang w:val="en-US" w:eastAsia="zh-CN"/>
        </w:rPr>
        <w:t>第三个月开始</w:t>
      </w:r>
      <w:r>
        <w:rPr>
          <w:rFonts w:hint="eastAsia" w:ascii="仿宋_GB2312" w:eastAsia="仿宋_GB2312"/>
          <w:sz w:val="24"/>
        </w:rPr>
        <w:t>凭中标方</w:t>
      </w:r>
      <w:r>
        <w:rPr>
          <w:rFonts w:hint="eastAsia" w:ascii="仿宋_GB2312" w:eastAsia="仿宋_GB2312"/>
          <w:sz w:val="24"/>
          <w:lang w:val="en-US" w:eastAsia="zh-CN"/>
        </w:rPr>
        <w:t>开具的正式</w:t>
      </w:r>
      <w:r>
        <w:rPr>
          <w:rFonts w:hint="eastAsia" w:ascii="仿宋_GB2312" w:eastAsia="仿宋_GB2312"/>
          <w:sz w:val="24"/>
        </w:rPr>
        <w:t>发票，按</w:t>
      </w:r>
      <w:r>
        <w:rPr>
          <w:rFonts w:hint="eastAsia" w:ascii="仿宋_GB2312" w:eastAsia="仿宋_GB2312"/>
          <w:sz w:val="24"/>
          <w:lang w:val="en-US" w:eastAsia="zh-CN"/>
        </w:rPr>
        <w:t>中标折扣按月</w:t>
      </w:r>
      <w:r>
        <w:rPr>
          <w:rFonts w:hint="eastAsia" w:ascii="仿宋_GB2312" w:eastAsia="仿宋_GB2312"/>
          <w:sz w:val="24"/>
        </w:rPr>
        <w:t>结算。</w:t>
      </w:r>
    </w:p>
    <w:p>
      <w:pPr>
        <w:spacing w:line="360" w:lineRule="auto"/>
        <w:ind w:firstLine="482" w:firstLineChars="200"/>
        <w:rPr>
          <w:rFonts w:ascii="仿宋" w:hAnsi="仿宋" w:eastAsia="仿宋" w:cs="仿宋"/>
          <w:b/>
          <w:bCs/>
          <w:sz w:val="24"/>
        </w:rPr>
      </w:pPr>
      <w:r>
        <w:rPr>
          <w:rFonts w:hint="eastAsia" w:ascii="仿宋" w:hAnsi="仿宋" w:eastAsia="仿宋" w:cs="仿宋"/>
          <w:b/>
          <w:bCs/>
          <w:sz w:val="24"/>
        </w:rPr>
        <w:t>2.履约保证金:</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本项目不收取履约保证金。</w:t>
      </w:r>
    </w:p>
    <w:p>
      <w:pPr>
        <w:pStyle w:val="17"/>
        <w:rPr>
          <w:rFonts w:ascii="仿宋" w:hAnsi="仿宋" w:eastAsia="仿宋" w:cs="仿宋"/>
        </w:rPr>
      </w:pPr>
      <w:r>
        <w:rPr>
          <w:rFonts w:hint="eastAsia" w:ascii="仿宋" w:hAnsi="仿宋" w:eastAsia="仿宋" w:cs="仿宋"/>
          <w:color w:val="000000"/>
          <w:sz w:val="24"/>
          <w:highlight w:val="yellow"/>
        </w:rPr>
        <w:br w:type="page"/>
      </w:r>
    </w:p>
    <w:bookmarkEnd w:id="9"/>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4"/>
        <w:rPr>
          <w:rFonts w:ascii="仿宋" w:hAnsi="仿宋" w:eastAsia="仿宋" w:cs="仿宋"/>
        </w:rPr>
      </w:pPr>
    </w:p>
    <w:p>
      <w:pPr>
        <w:pStyle w:val="4"/>
        <w:rPr>
          <w:rFonts w:ascii="仿宋" w:hAnsi="仿宋" w:eastAsia="仿宋" w:cs="仿宋"/>
        </w:rPr>
      </w:pPr>
    </w:p>
    <w:p>
      <w:pPr>
        <w:pStyle w:val="4"/>
        <w:ind w:firstLine="562"/>
        <w:jc w:val="center"/>
        <w:rPr>
          <w:rFonts w:ascii="仿宋" w:hAnsi="仿宋" w:eastAsia="仿宋" w:cs="仿宋"/>
          <w:b/>
          <w:sz w:val="28"/>
        </w:rPr>
      </w:pPr>
      <w:r>
        <w:rPr>
          <w:rFonts w:hint="eastAsia" w:ascii="仿宋" w:hAnsi="仿宋" w:eastAsia="仿宋" w:cs="仿宋"/>
          <w:b/>
          <w:sz w:val="28"/>
        </w:rPr>
        <w:t>第一部分  合同书</w:t>
      </w:r>
    </w:p>
    <w:p>
      <w:pPr>
        <w:pStyle w:val="4"/>
        <w:rPr>
          <w:rFonts w:ascii="仿宋" w:hAnsi="仿宋" w:eastAsia="仿宋" w:cs="仿宋"/>
        </w:rPr>
      </w:pPr>
    </w:p>
    <w:p>
      <w:pPr>
        <w:pStyle w:val="4"/>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2"/>
        <w:spacing w:before="120" w:line="22" w:lineRule="atLeast"/>
        <w:rPr>
          <w:rFonts w:ascii="仿宋" w:hAnsi="仿宋" w:eastAsia="仿宋" w:cs="仿宋"/>
          <w:szCs w:val="24"/>
        </w:rPr>
      </w:pPr>
    </w:p>
    <w:p>
      <w:pPr>
        <w:pStyle w:val="282"/>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7" w:name="_Toc24059"/>
      <w:bookmarkStart w:id="18" w:name="_Toc3029"/>
      <w:bookmarkStart w:id="19" w:name="_Toc2232"/>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20" w:name="_Toc24300"/>
      <w:bookmarkStart w:id="21" w:name="_Toc21295"/>
      <w:bookmarkStart w:id="22" w:name="_Toc27126"/>
      <w:r>
        <w:rPr>
          <w:rFonts w:hint="eastAsia" w:ascii="仿宋" w:hAnsi="仿宋" w:eastAsia="仿宋" w:cs="仿宋"/>
          <w:b/>
          <w:sz w:val="24"/>
        </w:rPr>
        <w:t xml:space="preserve">1.2 </w:t>
      </w:r>
      <w:bookmarkEnd w:id="20"/>
      <w:bookmarkEnd w:id="21"/>
      <w:bookmarkEnd w:id="22"/>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21551"/>
      <w:bookmarkStart w:id="24" w:name="_Toc23292"/>
      <w:bookmarkStart w:id="25" w:name="_Toc21631"/>
      <w:r>
        <w:rPr>
          <w:rFonts w:hint="eastAsia" w:ascii="仿宋" w:hAnsi="仿宋" w:eastAsia="仿宋" w:cs="仿宋"/>
          <w:b/>
          <w:sz w:val="24"/>
        </w:rPr>
        <w:t>1.3 价款</w:t>
      </w:r>
      <w:bookmarkEnd w:id="23"/>
      <w:bookmarkEnd w:id="24"/>
      <w:bookmarkEnd w:id="2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6" w:name="_Toc1814"/>
      <w:bookmarkStart w:id="27" w:name="_Toc22618"/>
      <w:bookmarkStart w:id="28" w:name="_Toc10340"/>
      <w:bookmarkStart w:id="29" w:name="_Toc32071"/>
      <w:bookmarkStart w:id="30" w:name="_Toc2846"/>
      <w:bookmarkStart w:id="31" w:name="_Toc19304"/>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双方约定，该项目不支付预付款项</w:t>
      </w:r>
    </w:p>
    <w:p>
      <w:pPr>
        <w:pStyle w:val="284"/>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根据财务流程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9"/>
      <w:bookmarkEnd w:id="30"/>
      <w:bookmarkEnd w:id="31"/>
      <w:bookmarkStart w:id="32" w:name="_Toc21423"/>
      <w:bookmarkStart w:id="33" w:name="_Toc19554"/>
      <w:bookmarkStart w:id="34" w:name="_Toc27250"/>
      <w:r>
        <w:rPr>
          <w:rFonts w:hint="eastAsia" w:ascii="仿宋" w:hAnsi="仿宋" w:eastAsia="仿宋" w:cs="仿宋"/>
          <w:b/>
          <w:sz w:val="24"/>
        </w:rPr>
        <w:t>违约责任</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5" w:name="_Toc16021"/>
      <w:bookmarkStart w:id="36" w:name="_Toc28375"/>
      <w:bookmarkStart w:id="37" w:name="_Toc15583"/>
      <w:r>
        <w:rPr>
          <w:rFonts w:hint="eastAsia" w:ascii="仿宋" w:hAnsi="仿宋" w:eastAsia="仿宋" w:cs="仿宋"/>
          <w:b/>
          <w:sz w:val="24"/>
        </w:rPr>
        <w:t>1.6合同争议的解决</w:t>
      </w:r>
      <w:bookmarkEnd w:id="35"/>
      <w:bookmarkEnd w:id="36"/>
      <w:bookmarkEnd w:id="3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8" w:name="_Toc15322"/>
      <w:bookmarkStart w:id="39" w:name="_Toc11173"/>
      <w:bookmarkStart w:id="40" w:name="_Toc7245"/>
      <w:r>
        <w:rPr>
          <w:rFonts w:hint="eastAsia" w:ascii="仿宋" w:hAnsi="仿宋" w:eastAsia="仿宋" w:cs="仿宋"/>
          <w:b/>
          <w:sz w:val="24"/>
        </w:rPr>
        <w:t>1.7合同生效</w:t>
      </w:r>
      <w:bookmarkEnd w:id="38"/>
      <w:bookmarkEnd w:id="39"/>
      <w:bookmarkEnd w:id="4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bookmarkStart w:id="41" w:name="_Toc331685783"/>
    </w:p>
    <w:p>
      <w:pPr>
        <w:pStyle w:val="4"/>
        <w:spacing w:line="560" w:lineRule="exact"/>
        <w:ind w:firstLine="422"/>
        <w:jc w:val="center"/>
        <w:rPr>
          <w:rFonts w:ascii="仿宋" w:hAnsi="仿宋" w:eastAsia="仿宋" w:cs="仿宋"/>
          <w:b/>
        </w:rPr>
      </w:pPr>
    </w:p>
    <w:p>
      <w:pPr>
        <w:pStyle w:val="4"/>
        <w:spacing w:line="560" w:lineRule="exact"/>
        <w:ind w:firstLine="422"/>
        <w:jc w:val="center"/>
        <w:rPr>
          <w:rFonts w:ascii="仿宋" w:hAnsi="仿宋" w:eastAsia="仿宋" w:cs="仿宋"/>
          <w:b/>
        </w:rPr>
      </w:pPr>
    </w:p>
    <w:bookmarkEnd w:id="41"/>
    <w:p>
      <w:pPr>
        <w:pStyle w:val="4"/>
        <w:spacing w:line="560" w:lineRule="exact"/>
        <w:ind w:firstLine="422"/>
        <w:jc w:val="center"/>
        <w:rPr>
          <w:rFonts w:ascii="仿宋" w:hAnsi="仿宋" w:eastAsia="仿宋" w:cs="仿宋"/>
          <w:b/>
        </w:rPr>
      </w:pPr>
      <w:bookmarkStart w:id="42" w:name="_Toc331685784"/>
      <w:bookmarkEnd w:id="42"/>
      <w:r>
        <w:rPr>
          <w:rFonts w:hint="eastAsia" w:ascii="仿宋" w:hAnsi="仿宋" w:eastAsia="仿宋" w:cs="仿宋"/>
          <w:b/>
        </w:rPr>
        <w:t>第二部分合同一般条款</w:t>
      </w:r>
    </w:p>
    <w:p>
      <w:pPr>
        <w:spacing w:line="560" w:lineRule="exact"/>
        <w:ind w:firstLine="482" w:firstLineChars="200"/>
        <w:outlineLvl w:val="0"/>
        <w:rPr>
          <w:rFonts w:ascii="仿宋" w:hAnsi="仿宋" w:eastAsia="仿宋" w:cs="仿宋"/>
          <w:b/>
          <w:sz w:val="24"/>
        </w:rPr>
      </w:pPr>
      <w:bookmarkStart w:id="43" w:name="_Ref467379101"/>
      <w:bookmarkStart w:id="44" w:name="_Ref467378499"/>
      <w:bookmarkStart w:id="45" w:name="_Ref467379225"/>
      <w:bookmarkStart w:id="46" w:name="_Toc259093669"/>
      <w:bookmarkStart w:id="47" w:name="_Ref467379109"/>
      <w:bookmarkStart w:id="48" w:name="_Ref467379214"/>
      <w:bookmarkStart w:id="49" w:name="_Ref467378463"/>
      <w:bookmarkStart w:id="50" w:name="_Toc279701240"/>
      <w:bookmarkStart w:id="51" w:name="_Toc19614"/>
      <w:bookmarkStart w:id="52" w:name="_Ref467379205"/>
      <w:bookmarkStart w:id="53" w:name="_Ref467379094"/>
      <w:bookmarkStart w:id="54" w:name="_Toc28763"/>
      <w:bookmarkStart w:id="55" w:name="_Toc487900349"/>
      <w:bookmarkStart w:id="56" w:name="_Ref467378404"/>
      <w:bookmarkStart w:id="57" w:name="_Ref467379195"/>
      <w:bookmarkStart w:id="58" w:name="_Toc16917"/>
      <w:r>
        <w:rPr>
          <w:rFonts w:hint="eastAsia" w:ascii="仿宋" w:hAnsi="仿宋" w:eastAsia="仿宋" w:cs="仿宋"/>
          <w:b/>
          <w:sz w:val="24"/>
        </w:rPr>
        <w:t>2.1 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9" w:name="_Ref467378840"/>
      <w:r>
        <w:rPr>
          <w:rFonts w:hint="eastAsia" w:ascii="仿宋" w:hAnsi="仿宋" w:eastAsia="仿宋" w:cs="仿宋"/>
          <w:sz w:val="24"/>
        </w:rPr>
        <w:t>2.1.4 “甲方”系指与中标供应商签署合同的采购人</w:t>
      </w:r>
      <w:bookmarkEnd w:id="59"/>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60" w:name="_Ref467379400"/>
      <w:r>
        <w:rPr>
          <w:rFonts w:hint="eastAsia" w:ascii="仿宋" w:hAnsi="仿宋" w:eastAsia="仿宋" w:cs="仿宋"/>
          <w:sz w:val="24"/>
        </w:rPr>
        <w:t>2.1.5 “乙方”系指根据合同约定提供服务的中标供应商</w:t>
      </w:r>
      <w:bookmarkEnd w:id="60"/>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61" w:name="_Ref467379436"/>
      <w:r>
        <w:rPr>
          <w:rFonts w:hint="eastAsia" w:ascii="仿宋" w:hAnsi="仿宋" w:eastAsia="仿宋" w:cs="仿宋"/>
          <w:sz w:val="24"/>
        </w:rPr>
        <w:t>2.1.6 “现场”系指合同约定服务提供地点。</w:t>
      </w:r>
      <w:bookmarkEnd w:id="61"/>
    </w:p>
    <w:p>
      <w:pPr>
        <w:spacing w:line="560" w:lineRule="exact"/>
        <w:ind w:firstLine="482" w:firstLineChars="200"/>
        <w:outlineLvl w:val="0"/>
        <w:rPr>
          <w:rFonts w:ascii="仿宋" w:hAnsi="仿宋" w:eastAsia="仿宋" w:cs="仿宋"/>
          <w:b/>
          <w:sz w:val="24"/>
        </w:rPr>
      </w:pPr>
      <w:bookmarkStart w:id="62" w:name="_Toc279701241"/>
      <w:bookmarkStart w:id="63" w:name="_Toc27635"/>
      <w:bookmarkStart w:id="64" w:name="_Toc13336"/>
      <w:bookmarkStart w:id="65" w:name="_Toc32504"/>
      <w:bookmarkStart w:id="66" w:name="_Toc259093670"/>
      <w:bookmarkStart w:id="67" w:name="_Toc487900350"/>
      <w:r>
        <w:rPr>
          <w:rFonts w:hint="eastAsia" w:ascii="仿宋" w:hAnsi="仿宋" w:eastAsia="仿宋" w:cs="仿宋"/>
          <w:b/>
          <w:sz w:val="24"/>
        </w:rPr>
        <w:t>2.2 技术规范</w:t>
      </w:r>
      <w:bookmarkEnd w:id="62"/>
      <w:bookmarkEnd w:id="63"/>
      <w:bookmarkEnd w:id="64"/>
      <w:bookmarkEnd w:id="65"/>
      <w:bookmarkEnd w:id="66"/>
      <w:bookmarkEnd w:id="67"/>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8" w:name="_Toc259093671"/>
      <w:bookmarkStart w:id="69" w:name="_Toc27853"/>
      <w:bookmarkStart w:id="70" w:name="_Toc31634"/>
      <w:bookmarkStart w:id="71" w:name="_Toc9829"/>
      <w:bookmarkStart w:id="72" w:name="_Toc279701242"/>
      <w:bookmarkStart w:id="73" w:name="_Toc487900351"/>
      <w:r>
        <w:rPr>
          <w:rFonts w:hint="eastAsia" w:ascii="仿宋" w:hAnsi="仿宋" w:eastAsia="仿宋" w:cs="仿宋"/>
          <w:b/>
          <w:sz w:val="24"/>
        </w:rPr>
        <w:t>2.3 知识产权</w:t>
      </w:r>
      <w:bookmarkEnd w:id="68"/>
      <w:bookmarkEnd w:id="69"/>
      <w:bookmarkEnd w:id="70"/>
      <w:bookmarkEnd w:id="71"/>
      <w:bookmarkEnd w:id="72"/>
      <w:bookmarkEnd w:id="73"/>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4" w:name="_Toc11932"/>
      <w:bookmarkStart w:id="75" w:name="_Toc4194"/>
      <w:bookmarkStart w:id="76" w:name="_Toc29149"/>
      <w:r>
        <w:rPr>
          <w:rFonts w:hint="eastAsia" w:ascii="仿宋" w:hAnsi="仿宋" w:eastAsia="仿宋" w:cs="仿宋"/>
          <w:b/>
          <w:sz w:val="24"/>
        </w:rPr>
        <w:t>2.4 包装和装运</w:t>
      </w:r>
      <w:bookmarkEnd w:id="74"/>
      <w:bookmarkEnd w:id="75"/>
      <w:bookmarkEnd w:id="76"/>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7" w:name="_Ref467378591"/>
      <w:bookmarkStart w:id="78" w:name="_Ref467379527"/>
      <w:bookmarkStart w:id="79" w:name="_Toc279701245"/>
      <w:bookmarkStart w:id="80" w:name="_Toc259093674"/>
      <w:bookmarkStart w:id="81" w:name="_Toc487900354"/>
      <w:bookmarkStart w:id="82" w:name="_Ref467379536"/>
      <w:bookmarkStart w:id="83" w:name="_Ref467379542"/>
      <w:bookmarkStart w:id="84" w:name="_Ref467378541"/>
      <w:bookmarkStart w:id="85" w:name="_Toc26182"/>
      <w:bookmarkStart w:id="86" w:name="_Toc30272"/>
      <w:bookmarkStart w:id="87" w:name="_Toc19074"/>
      <w:r>
        <w:rPr>
          <w:rFonts w:hint="eastAsia" w:ascii="仿宋" w:hAnsi="仿宋" w:eastAsia="仿宋" w:cs="仿宋"/>
          <w:b/>
          <w:sz w:val="24"/>
        </w:rPr>
        <w:t>2.</w:t>
      </w:r>
      <w:bookmarkEnd w:id="77"/>
      <w:bookmarkEnd w:id="78"/>
      <w:bookmarkEnd w:id="79"/>
      <w:bookmarkEnd w:id="80"/>
      <w:bookmarkEnd w:id="81"/>
      <w:bookmarkEnd w:id="82"/>
      <w:bookmarkEnd w:id="83"/>
      <w:bookmarkEnd w:id="84"/>
      <w:r>
        <w:rPr>
          <w:rFonts w:hint="eastAsia" w:ascii="仿宋" w:hAnsi="仿宋" w:eastAsia="仿宋" w:cs="仿宋"/>
          <w:b/>
          <w:sz w:val="24"/>
        </w:rPr>
        <w:t>5 履约检查和问题反馈</w:t>
      </w:r>
      <w:bookmarkEnd w:id="85"/>
      <w:bookmarkEnd w:id="86"/>
      <w:bookmarkEnd w:id="87"/>
    </w:p>
    <w:p>
      <w:pPr>
        <w:spacing w:line="560" w:lineRule="exact"/>
        <w:ind w:firstLine="480" w:firstLineChars="200"/>
        <w:rPr>
          <w:rFonts w:ascii="仿宋" w:hAnsi="仿宋" w:eastAsia="仿宋" w:cs="仿宋"/>
          <w:sz w:val="24"/>
        </w:rPr>
      </w:pPr>
      <w:bookmarkStart w:id="88" w:name="_Ref467379657"/>
      <w:r>
        <w:rPr>
          <w:rFonts w:hint="eastAsia" w:ascii="仿宋" w:hAnsi="仿宋" w:eastAsia="仿宋" w:cs="仿宋"/>
          <w:sz w:val="24"/>
        </w:rPr>
        <w:t>2.5.1</w:t>
      </w:r>
      <w:bookmarkEnd w:id="88"/>
      <w:bookmarkStart w:id="89" w:name="_Toc186431854"/>
      <w:bookmarkStart w:id="90" w:name="_Ref467379807"/>
      <w:bookmarkStart w:id="91" w:name="_Toc279701247"/>
      <w:bookmarkStart w:id="92" w:name="_Ref467379793"/>
      <w:bookmarkStart w:id="93" w:name="_Toc259093676"/>
      <w:bookmarkStart w:id="94" w:name="_Toc487900357"/>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9"/>
      <w:bookmarkStart w:id="95" w:name="_Toc186431855"/>
      <w:r>
        <w:rPr>
          <w:rFonts w:hint="eastAsia" w:ascii="仿宋" w:hAnsi="仿宋" w:eastAsia="仿宋" w:cs="仿宋"/>
          <w:sz w:val="24"/>
        </w:rPr>
        <w:t>。</w:t>
      </w:r>
    </w:p>
    <w:bookmarkEnd w:id="90"/>
    <w:bookmarkEnd w:id="91"/>
    <w:bookmarkEnd w:id="92"/>
    <w:bookmarkEnd w:id="93"/>
    <w:bookmarkEnd w:id="94"/>
    <w:bookmarkEnd w:id="95"/>
    <w:p>
      <w:pPr>
        <w:spacing w:line="560" w:lineRule="exact"/>
        <w:ind w:firstLine="482" w:firstLineChars="200"/>
        <w:outlineLvl w:val="0"/>
        <w:rPr>
          <w:rFonts w:ascii="仿宋" w:hAnsi="仿宋" w:eastAsia="仿宋" w:cs="仿宋"/>
          <w:b/>
          <w:sz w:val="24"/>
        </w:rPr>
      </w:pPr>
      <w:bookmarkStart w:id="96" w:name="_Ref467379852"/>
      <w:bookmarkStart w:id="97" w:name="_Ref467379923"/>
      <w:bookmarkStart w:id="98" w:name="_Toc279701248"/>
      <w:bookmarkStart w:id="99" w:name="_Toc259093677"/>
      <w:bookmarkStart w:id="100" w:name="_Toc487900358"/>
      <w:bookmarkStart w:id="101" w:name="_Ref467379863"/>
      <w:bookmarkStart w:id="102" w:name="_Toc774"/>
      <w:bookmarkStart w:id="103" w:name="_Toc3225"/>
      <w:bookmarkStart w:id="104" w:name="_Toc16110"/>
      <w:r>
        <w:rPr>
          <w:rFonts w:hint="eastAsia" w:ascii="仿宋" w:hAnsi="仿宋" w:eastAsia="仿宋" w:cs="仿宋"/>
          <w:b/>
          <w:sz w:val="24"/>
        </w:rPr>
        <w:t>2.6 技术资料</w:t>
      </w:r>
      <w:bookmarkEnd w:id="96"/>
      <w:bookmarkEnd w:id="97"/>
      <w:bookmarkEnd w:id="98"/>
      <w:bookmarkEnd w:id="99"/>
      <w:bookmarkEnd w:id="100"/>
      <w:bookmarkEnd w:id="101"/>
      <w:r>
        <w:rPr>
          <w:rFonts w:hint="eastAsia" w:ascii="仿宋" w:hAnsi="仿宋" w:eastAsia="仿宋" w:cs="仿宋"/>
          <w:b/>
          <w:sz w:val="24"/>
        </w:rPr>
        <w:t>和保密义务</w:t>
      </w:r>
      <w:bookmarkEnd w:id="102"/>
      <w:bookmarkEnd w:id="103"/>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5" w:name="_Toc7860"/>
      <w:r>
        <w:rPr>
          <w:rFonts w:hint="eastAsia" w:ascii="仿宋" w:hAnsi="仿宋" w:eastAsia="仿宋" w:cs="仿宋"/>
          <w:b/>
          <w:sz w:val="24"/>
        </w:rPr>
        <w:t>2.7 质量保证</w:t>
      </w:r>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6" w:name="_Toc17244"/>
      <w:bookmarkStart w:id="107" w:name="_Toc487900362"/>
      <w:bookmarkStart w:id="108" w:name="_Toc259093681"/>
      <w:bookmarkStart w:id="109" w:name="_Toc279701252"/>
      <w:r>
        <w:rPr>
          <w:rFonts w:hint="eastAsia" w:ascii="仿宋" w:hAnsi="仿宋" w:eastAsia="仿宋" w:cs="仿宋"/>
          <w:b/>
          <w:sz w:val="24"/>
        </w:rPr>
        <w:t>2.8 服务的风险负担</w:t>
      </w:r>
      <w:bookmarkEnd w:id="106"/>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10" w:name="_Toc14055"/>
      <w:r>
        <w:rPr>
          <w:rFonts w:hint="eastAsia" w:ascii="仿宋" w:hAnsi="仿宋" w:eastAsia="仿宋" w:cs="仿宋"/>
          <w:b/>
          <w:sz w:val="24"/>
        </w:rPr>
        <w:t>2.9 延迟</w:t>
      </w:r>
      <w:bookmarkEnd w:id="107"/>
      <w:bookmarkEnd w:id="108"/>
      <w:bookmarkEnd w:id="109"/>
      <w:bookmarkEnd w:id="110"/>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11" w:name="_Toc7502"/>
      <w:bookmarkStart w:id="112" w:name="_Toc279701254"/>
      <w:bookmarkStart w:id="113" w:name="_Ref467378121"/>
      <w:bookmarkStart w:id="114" w:name="_Toc259093683"/>
      <w:bookmarkStart w:id="115" w:name="_Toc487900364"/>
      <w:r>
        <w:rPr>
          <w:rFonts w:hint="eastAsia" w:ascii="仿宋" w:hAnsi="仿宋" w:eastAsia="仿宋" w:cs="仿宋"/>
          <w:b/>
          <w:sz w:val="24"/>
        </w:rPr>
        <w:t>2.10合同变更</w:t>
      </w:r>
      <w:bookmarkEnd w:id="111"/>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6" w:name="_Toc279701259"/>
      <w:bookmarkStart w:id="117" w:name="_Toc487900369"/>
      <w:bookmarkStart w:id="118" w:name="_Toc259093688"/>
    </w:p>
    <w:p>
      <w:pPr>
        <w:spacing w:line="560" w:lineRule="exact"/>
        <w:ind w:firstLine="482" w:firstLineChars="200"/>
        <w:outlineLvl w:val="0"/>
        <w:rPr>
          <w:rFonts w:ascii="仿宋" w:hAnsi="仿宋" w:eastAsia="仿宋" w:cs="仿宋"/>
          <w:b/>
          <w:sz w:val="24"/>
        </w:rPr>
      </w:pPr>
      <w:bookmarkStart w:id="119" w:name="_Toc10366"/>
      <w:bookmarkStart w:id="120" w:name="_Toc22955"/>
      <w:bookmarkStart w:id="121" w:name="_Toc15237"/>
      <w:r>
        <w:rPr>
          <w:rFonts w:hint="eastAsia" w:ascii="仿宋" w:hAnsi="仿宋" w:eastAsia="仿宋" w:cs="仿宋"/>
          <w:b/>
          <w:sz w:val="24"/>
        </w:rPr>
        <w:t>2.11合同转让</w:t>
      </w:r>
      <w:bookmarkEnd w:id="116"/>
      <w:bookmarkEnd w:id="117"/>
      <w:bookmarkEnd w:id="118"/>
      <w:r>
        <w:rPr>
          <w:rFonts w:hint="eastAsia" w:ascii="仿宋" w:hAnsi="仿宋" w:eastAsia="仿宋" w:cs="仿宋"/>
          <w:b/>
          <w:sz w:val="24"/>
        </w:rPr>
        <w:t>和分包</w:t>
      </w:r>
      <w:bookmarkEnd w:id="119"/>
      <w:bookmarkEnd w:id="120"/>
      <w:bookmarkEnd w:id="121"/>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2" w:name="_Toc14066"/>
      <w:bookmarkStart w:id="123" w:name="_Toc16508"/>
      <w:bookmarkStart w:id="124" w:name="_Toc13566"/>
      <w:r>
        <w:rPr>
          <w:rFonts w:hint="eastAsia" w:ascii="仿宋" w:hAnsi="仿宋" w:eastAsia="仿宋" w:cs="仿宋"/>
          <w:b/>
          <w:sz w:val="24"/>
        </w:rPr>
        <w:t>2.12不可抗力</w:t>
      </w:r>
      <w:bookmarkEnd w:id="122"/>
      <w:bookmarkEnd w:id="123"/>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5" w:name="_Toc259093684"/>
      <w:bookmarkStart w:id="126" w:name="_Toc30676"/>
      <w:bookmarkStart w:id="127" w:name="_Toc279701255"/>
      <w:bookmarkStart w:id="128" w:name="_Toc487900365"/>
      <w:bookmarkStart w:id="129" w:name="_Toc689"/>
      <w:bookmarkStart w:id="130" w:name="_Toc6969"/>
      <w:r>
        <w:rPr>
          <w:rFonts w:hint="eastAsia" w:ascii="仿宋" w:hAnsi="仿宋" w:eastAsia="仿宋" w:cs="仿宋"/>
          <w:b/>
          <w:sz w:val="24"/>
        </w:rPr>
        <w:t>2.13税费</w:t>
      </w:r>
      <w:bookmarkEnd w:id="125"/>
      <w:bookmarkEnd w:id="126"/>
      <w:bookmarkEnd w:id="127"/>
      <w:bookmarkEnd w:id="128"/>
      <w:bookmarkEnd w:id="129"/>
      <w:bookmarkEnd w:id="130"/>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31" w:name="_Toc279701258"/>
      <w:bookmarkStart w:id="132" w:name="_Toc7102"/>
      <w:bookmarkStart w:id="133" w:name="_Toc8298"/>
      <w:bookmarkStart w:id="134" w:name="_Toc487900368"/>
      <w:bookmarkStart w:id="135" w:name="_Toc259093687"/>
      <w:bookmarkStart w:id="136" w:name="_Toc16959"/>
      <w:r>
        <w:rPr>
          <w:rFonts w:hint="eastAsia" w:ascii="仿宋" w:hAnsi="仿宋" w:eastAsia="仿宋" w:cs="仿宋"/>
          <w:b/>
          <w:sz w:val="24"/>
        </w:rPr>
        <w:t>2.14乙方破产</w:t>
      </w:r>
      <w:bookmarkEnd w:id="131"/>
      <w:bookmarkEnd w:id="132"/>
      <w:bookmarkEnd w:id="133"/>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7" w:name="_Toc6134"/>
      <w:bookmarkStart w:id="138" w:name="_Toc29333"/>
      <w:bookmarkStart w:id="139" w:name="_Toc15387"/>
      <w:r>
        <w:rPr>
          <w:rFonts w:hint="eastAsia" w:ascii="仿宋" w:hAnsi="仿宋" w:eastAsia="仿宋" w:cs="仿宋"/>
          <w:b/>
          <w:sz w:val="24"/>
        </w:rPr>
        <w:t>2.15合同中止、终止</w:t>
      </w:r>
      <w:bookmarkEnd w:id="137"/>
      <w:bookmarkEnd w:id="138"/>
      <w:bookmarkEnd w:id="139"/>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40" w:name="_Toc6596"/>
      <w:bookmarkStart w:id="141" w:name="_Toc1125"/>
      <w:bookmarkStart w:id="142" w:name="_Toc14563"/>
      <w:r>
        <w:rPr>
          <w:rFonts w:hint="eastAsia" w:ascii="仿宋" w:hAnsi="仿宋" w:eastAsia="仿宋" w:cs="仿宋"/>
          <w:b/>
          <w:sz w:val="24"/>
        </w:rPr>
        <w:t>2.16检验和验收</w:t>
      </w:r>
      <w:bookmarkEnd w:id="140"/>
      <w:bookmarkEnd w:id="141"/>
      <w:bookmarkEnd w:id="142"/>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2"/>
    <w:bookmarkEnd w:id="113"/>
    <w:bookmarkEnd w:id="114"/>
    <w:bookmarkEnd w:id="115"/>
    <w:p>
      <w:pPr>
        <w:spacing w:line="560" w:lineRule="exact"/>
        <w:ind w:firstLine="482" w:firstLineChars="200"/>
        <w:outlineLvl w:val="0"/>
        <w:rPr>
          <w:rFonts w:ascii="仿宋" w:hAnsi="仿宋" w:eastAsia="仿宋" w:cs="仿宋"/>
          <w:b/>
          <w:sz w:val="24"/>
        </w:rPr>
      </w:pPr>
      <w:bookmarkStart w:id="143" w:name="_Toc259093690"/>
      <w:bookmarkStart w:id="144" w:name="_Toc487900371"/>
      <w:bookmarkStart w:id="145" w:name="_Toc279701261"/>
      <w:bookmarkStart w:id="146" w:name="_Toc19604"/>
      <w:bookmarkStart w:id="147" w:name="_Toc25182"/>
      <w:bookmarkStart w:id="148" w:name="_Toc11284"/>
      <w:r>
        <w:rPr>
          <w:rFonts w:hint="eastAsia" w:ascii="仿宋" w:hAnsi="仿宋" w:eastAsia="仿宋" w:cs="仿宋"/>
          <w:b/>
          <w:sz w:val="24"/>
        </w:rPr>
        <w:t>2.17通知</w:t>
      </w:r>
      <w:bookmarkEnd w:id="143"/>
      <w:bookmarkEnd w:id="144"/>
      <w:bookmarkEnd w:id="145"/>
      <w:r>
        <w:rPr>
          <w:rFonts w:hint="eastAsia" w:ascii="仿宋" w:hAnsi="仿宋" w:eastAsia="仿宋" w:cs="仿宋"/>
          <w:b/>
          <w:sz w:val="24"/>
        </w:rPr>
        <w:t>和送达</w:t>
      </w:r>
      <w:bookmarkEnd w:id="146"/>
      <w:bookmarkEnd w:id="147"/>
      <w:bookmarkEnd w:id="148"/>
    </w:p>
    <w:p>
      <w:pPr>
        <w:spacing w:line="560" w:lineRule="exact"/>
        <w:ind w:firstLine="480" w:firstLineChars="200"/>
        <w:rPr>
          <w:rFonts w:ascii="仿宋" w:hAnsi="仿宋" w:eastAsia="仿宋" w:cs="仿宋"/>
          <w:sz w:val="24"/>
        </w:rPr>
      </w:pPr>
      <w:bookmarkStart w:id="149" w:name="_Toc6698"/>
      <w:bookmarkStart w:id="150" w:name="_Toc3135"/>
      <w:bookmarkStart w:id="151" w:name="_Toc279701262"/>
      <w:bookmarkStart w:id="152" w:name="_Toc259093691"/>
      <w:bookmarkStart w:id="153"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9"/>
      <w:bookmarkEnd w:id="150"/>
    </w:p>
    <w:p>
      <w:pPr>
        <w:spacing w:line="560" w:lineRule="exact"/>
        <w:ind w:firstLine="480" w:firstLineChars="200"/>
        <w:rPr>
          <w:rFonts w:ascii="仿宋" w:hAnsi="仿宋" w:eastAsia="仿宋" w:cs="仿宋"/>
          <w:sz w:val="24"/>
        </w:rPr>
      </w:pPr>
      <w:bookmarkStart w:id="154" w:name="_Toc23128"/>
      <w:bookmarkStart w:id="155"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pPr>
        <w:spacing w:line="560" w:lineRule="exact"/>
        <w:ind w:firstLine="482" w:firstLineChars="200"/>
        <w:outlineLvl w:val="0"/>
        <w:rPr>
          <w:rFonts w:ascii="仿宋" w:hAnsi="仿宋" w:eastAsia="仿宋" w:cs="仿宋"/>
          <w:b/>
          <w:sz w:val="24"/>
        </w:rPr>
      </w:pPr>
      <w:bookmarkStart w:id="156" w:name="_Toc4355"/>
      <w:bookmarkStart w:id="157" w:name="_Toc18540"/>
      <w:bookmarkStart w:id="158" w:name="_Toc30599"/>
      <w:r>
        <w:rPr>
          <w:rFonts w:hint="eastAsia" w:ascii="仿宋" w:hAnsi="仿宋" w:eastAsia="仿宋" w:cs="仿宋"/>
          <w:b/>
          <w:sz w:val="24"/>
        </w:rPr>
        <w:t>2.18计量单位</w:t>
      </w:r>
      <w:bookmarkEnd w:id="151"/>
      <w:bookmarkEnd w:id="152"/>
      <w:bookmarkEnd w:id="153"/>
      <w:bookmarkEnd w:id="156"/>
      <w:bookmarkEnd w:id="157"/>
      <w:bookmarkEnd w:id="158"/>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9" w:name="_Toc10330"/>
      <w:bookmarkStart w:id="160" w:name="_Toc487900373"/>
      <w:bookmarkStart w:id="161" w:name="_Toc12773"/>
      <w:bookmarkStart w:id="162" w:name="_Toc259093692"/>
      <w:bookmarkStart w:id="163" w:name="_Toc279701263"/>
      <w:bookmarkStart w:id="164" w:name="_Toc18567"/>
      <w:r>
        <w:rPr>
          <w:rFonts w:hint="eastAsia" w:ascii="仿宋" w:hAnsi="仿宋" w:eastAsia="仿宋" w:cs="仿宋"/>
          <w:b/>
          <w:sz w:val="24"/>
        </w:rPr>
        <w:t>2.19合同使用的文字和适用的法律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5" w:name="_Toc279701264"/>
      <w:bookmarkStart w:id="166" w:name="_Toc3148"/>
      <w:bookmarkStart w:id="167" w:name="_Toc16673"/>
      <w:bookmarkStart w:id="168" w:name="_Toc259093693"/>
      <w:bookmarkStart w:id="169" w:name="_Toc12004"/>
      <w:bookmarkStart w:id="170" w:name="_Toc487900374"/>
      <w:r>
        <w:rPr>
          <w:rFonts w:hint="eastAsia" w:ascii="仿宋" w:hAnsi="仿宋" w:eastAsia="仿宋" w:cs="仿宋"/>
          <w:b/>
          <w:sz w:val="24"/>
        </w:rPr>
        <w:t>2.20履约保证金</w:t>
      </w:r>
      <w:bookmarkEnd w:id="165"/>
      <w:bookmarkEnd w:id="166"/>
      <w:bookmarkEnd w:id="167"/>
      <w:bookmarkEnd w:id="168"/>
      <w:bookmarkEnd w:id="169"/>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70"/>
    <w:p>
      <w:pPr>
        <w:spacing w:line="560" w:lineRule="exact"/>
        <w:ind w:firstLine="482" w:firstLineChars="200"/>
        <w:outlineLvl w:val="0"/>
        <w:rPr>
          <w:rFonts w:ascii="仿宋" w:hAnsi="仿宋" w:eastAsia="仿宋" w:cs="仿宋"/>
          <w:b/>
          <w:sz w:val="24"/>
        </w:rPr>
      </w:pPr>
      <w:bookmarkStart w:id="171" w:name="_Toc6885"/>
      <w:bookmarkStart w:id="172" w:name="_Toc19890"/>
      <w:bookmarkStart w:id="173" w:name="_Toc14001"/>
      <w:r>
        <w:rPr>
          <w:rFonts w:hint="eastAsia" w:ascii="仿宋" w:hAnsi="仿宋" w:eastAsia="仿宋" w:cs="仿宋"/>
          <w:b/>
          <w:sz w:val="24"/>
        </w:rPr>
        <w:t>2.22合同份数</w:t>
      </w:r>
      <w:bookmarkEnd w:id="171"/>
      <w:bookmarkEnd w:id="172"/>
      <w:bookmarkEnd w:id="173"/>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2.23本项目涉及柴油动力移动源的，该移动源应当符合低排放要求。</w:t>
      </w:r>
    </w:p>
    <w:p>
      <w:pPr>
        <w:pStyle w:val="4"/>
        <w:rPr>
          <w:rFonts w:ascii="仿宋" w:hAnsi="仿宋" w:eastAsia="仿宋" w:cs="仿宋"/>
        </w:rPr>
      </w:pPr>
    </w:p>
    <w:p>
      <w:pPr>
        <w:pStyle w:val="4"/>
        <w:spacing w:line="560" w:lineRule="exact"/>
        <w:ind w:firstLine="422"/>
        <w:jc w:val="center"/>
        <w:rPr>
          <w:rFonts w:ascii="仿宋" w:hAnsi="仿宋" w:eastAsia="仿宋" w:cs="仿宋"/>
          <w:b/>
        </w:rPr>
      </w:pPr>
      <w:r>
        <w:rPr>
          <w:rFonts w:hint="eastAsia" w:ascii="仿宋" w:hAnsi="仿宋" w:eastAsia="仿宋" w:cs="仿宋"/>
          <w:b/>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1.5.7</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ascii="仿宋" w:hAnsi="仿宋" w:eastAsia="仿宋" w:cs="仿宋"/>
          <w:b/>
          <w:sz w:val="36"/>
          <w:szCs w:val="36"/>
        </w:rPr>
      </w:pPr>
    </w:p>
    <w:p>
      <w:pPr>
        <w:rPr>
          <w:rFonts w:ascii="仿宋" w:hAnsi="仿宋" w:eastAsia="仿宋" w:cs="仿宋"/>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1"/>
        <w:tblW w:w="8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2"/>
        <w:gridCol w:w="7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882" w:type="dxa"/>
          </w:tcPr>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仿宋" w:hAnsi="仿宋" w:eastAsia="仿宋" w:cs="仿宋"/>
                <w:b/>
                <w:color w:val="000000"/>
                <w:szCs w:val="21"/>
              </w:rPr>
            </w:pPr>
            <w:r>
              <w:rPr>
                <w:rFonts w:hint="eastAsia" w:ascii="仿宋" w:hAnsi="仿宋" w:eastAsia="仿宋" w:cs="仿宋"/>
                <w:b/>
                <w:color w:val="000000"/>
                <w:szCs w:val="21"/>
              </w:rPr>
              <w:t>评分内容</w:t>
            </w:r>
          </w:p>
        </w:tc>
        <w:tc>
          <w:tcPr>
            <w:tcW w:w="7117" w:type="dxa"/>
          </w:tcPr>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仿宋" w:hAnsi="仿宋" w:eastAsia="仿宋" w:cs="仿宋"/>
                <w:b/>
                <w:color w:val="000000"/>
                <w:szCs w:val="21"/>
              </w:rPr>
            </w:pPr>
            <w:r>
              <w:rPr>
                <w:rFonts w:hint="eastAsia" w:ascii="仿宋" w:hAnsi="仿宋" w:eastAsia="仿宋" w:cs="仿宋"/>
                <w:b/>
                <w:color w:val="000000"/>
                <w:szCs w:val="21"/>
              </w:rPr>
              <w:t>评分要求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882" w:type="dxa"/>
            <w:vAlign w:val="center"/>
          </w:tcPr>
          <w:p>
            <w:pPr>
              <w:outlineLvl w:val="0"/>
              <w:rPr>
                <w:rFonts w:ascii="仿宋" w:hAnsi="仿宋" w:eastAsia="仿宋" w:cs="仿宋"/>
                <w:bCs/>
                <w:color w:val="000000"/>
                <w:szCs w:val="21"/>
              </w:rPr>
            </w:pPr>
            <w:r>
              <w:rPr>
                <w:rFonts w:hint="eastAsia" w:ascii="仿宋" w:hAnsi="仿宋" w:eastAsia="仿宋" w:cs="仿宋"/>
                <w:bCs/>
                <w:color w:val="000000"/>
                <w:szCs w:val="21"/>
              </w:rPr>
              <w:t>基本</w:t>
            </w:r>
          </w:p>
          <w:p>
            <w:pPr>
              <w:outlineLvl w:val="0"/>
              <w:rPr>
                <w:rFonts w:ascii="仿宋" w:hAnsi="仿宋" w:eastAsia="仿宋" w:cs="仿宋"/>
                <w:bCs/>
                <w:color w:val="000000"/>
                <w:szCs w:val="21"/>
              </w:rPr>
            </w:pPr>
            <w:r>
              <w:rPr>
                <w:rFonts w:hint="eastAsia" w:ascii="仿宋" w:hAnsi="仿宋" w:eastAsia="仿宋" w:cs="仿宋"/>
                <w:bCs/>
                <w:color w:val="000000"/>
                <w:szCs w:val="21"/>
              </w:rPr>
              <w:t>技术分（15分）</w:t>
            </w:r>
          </w:p>
          <w:p>
            <w:pPr>
              <w:outlineLvl w:val="0"/>
              <w:rPr>
                <w:rFonts w:ascii="仿宋" w:hAnsi="仿宋" w:eastAsia="仿宋" w:cs="仿宋"/>
                <w:bCs/>
                <w:color w:val="000000"/>
                <w:szCs w:val="21"/>
              </w:rPr>
            </w:pPr>
          </w:p>
        </w:tc>
        <w:tc>
          <w:tcPr>
            <w:tcW w:w="7117" w:type="dxa"/>
            <w:vAlign w:val="center"/>
          </w:tcPr>
          <w:p>
            <w:pPr>
              <w:outlineLvl w:val="0"/>
              <w:rPr>
                <w:rFonts w:ascii="仿宋" w:hAnsi="仿宋" w:eastAsia="仿宋" w:cs="仿宋"/>
                <w:bCs/>
                <w:color w:val="000000"/>
                <w:szCs w:val="21"/>
              </w:rPr>
            </w:pPr>
            <w:r>
              <w:rPr>
                <w:rFonts w:hint="eastAsia" w:ascii="仿宋" w:hAnsi="仿宋" w:eastAsia="仿宋" w:cs="仿宋"/>
                <w:bCs/>
                <w:color w:val="000000"/>
                <w:szCs w:val="21"/>
              </w:rPr>
              <w:t>完全满足招标文件技术参数配置要求的得15分，带★为实质性指标,如有负偏离,作无效投标处理。带“▲”为主要性能指标，每有一项负偏离扣3分，其他一般指标每有一项负偏离扣1分，扣完为止。本项最高得15分，最低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882" w:type="dxa"/>
            <w:vAlign w:val="center"/>
          </w:tcPr>
          <w:p>
            <w:pPr>
              <w:outlineLvl w:val="0"/>
              <w:rPr>
                <w:rFonts w:ascii="仿宋" w:hAnsi="仿宋" w:eastAsia="仿宋" w:cs="仿宋"/>
                <w:color w:val="000000"/>
                <w:szCs w:val="21"/>
              </w:rPr>
            </w:pPr>
            <w:r>
              <w:rPr>
                <w:rFonts w:hint="eastAsia" w:ascii="仿宋" w:hAnsi="仿宋" w:eastAsia="仿宋" w:cs="仿宋"/>
                <w:color w:val="000000"/>
                <w:szCs w:val="21"/>
              </w:rPr>
              <w:t>企业资质</w:t>
            </w:r>
          </w:p>
          <w:p>
            <w:pPr>
              <w:outlineLvl w:val="0"/>
              <w:rPr>
                <w:rFonts w:ascii="仿宋" w:hAnsi="仿宋" w:eastAsia="仿宋" w:cs="仿宋"/>
                <w:bCs/>
                <w:color w:val="000000"/>
                <w:szCs w:val="21"/>
              </w:rPr>
            </w:pPr>
            <w:r>
              <w:rPr>
                <w:rFonts w:hint="eastAsia" w:ascii="仿宋" w:hAnsi="仿宋" w:eastAsia="仿宋" w:cs="仿宋"/>
                <w:color w:val="000000"/>
                <w:szCs w:val="21"/>
              </w:rPr>
              <w:t>（4分）</w:t>
            </w:r>
          </w:p>
        </w:tc>
        <w:tc>
          <w:tcPr>
            <w:tcW w:w="7117" w:type="dxa"/>
            <w:vAlign w:val="center"/>
          </w:tcPr>
          <w:p>
            <w:pPr>
              <w:outlineLvl w:val="0"/>
              <w:rPr>
                <w:rFonts w:ascii="仿宋" w:hAnsi="仿宋" w:eastAsia="仿宋" w:cs="仿宋"/>
                <w:bCs/>
                <w:color w:val="000000"/>
                <w:szCs w:val="21"/>
              </w:rPr>
            </w:pPr>
            <w:r>
              <w:rPr>
                <w:rFonts w:hint="eastAsia" w:ascii="仿宋" w:hAnsi="仿宋" w:eastAsia="仿宋" w:cs="仿宋"/>
                <w:bCs/>
                <w:color w:val="000000"/>
                <w:szCs w:val="21"/>
              </w:rPr>
              <w:t>1.投标人具有电信增值业务许可证的，得2分。</w:t>
            </w:r>
          </w:p>
          <w:p>
            <w:pPr>
              <w:outlineLvl w:val="0"/>
              <w:rPr>
                <w:rFonts w:ascii="仿宋" w:hAnsi="仿宋" w:eastAsia="仿宋" w:cs="仿宋"/>
                <w:bCs/>
                <w:color w:val="000000"/>
                <w:szCs w:val="21"/>
              </w:rPr>
            </w:pPr>
            <w:r>
              <w:rPr>
                <w:rFonts w:hint="eastAsia" w:ascii="仿宋" w:hAnsi="仿宋" w:eastAsia="仿宋" w:cs="仿宋"/>
                <w:bCs/>
                <w:color w:val="000000"/>
                <w:szCs w:val="21"/>
              </w:rPr>
              <w:t>2.投标人有劳务派遣经营许可证，得2分。</w:t>
            </w:r>
          </w:p>
          <w:p>
            <w:pPr>
              <w:outlineLvl w:val="0"/>
              <w:rPr>
                <w:rFonts w:ascii="仿宋" w:hAnsi="仿宋" w:eastAsia="仿宋" w:cs="仿宋"/>
              </w:rPr>
            </w:pPr>
            <w:r>
              <w:rPr>
                <w:rFonts w:hint="eastAsia" w:ascii="仿宋" w:hAnsi="仿宋" w:eastAsia="仿宋" w:cs="仿宋"/>
                <w:bCs/>
                <w:color w:val="000000"/>
                <w:szCs w:val="21"/>
              </w:rPr>
              <w:t>注：提供证书复印件加盖公章，否则不得分。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882" w:type="dxa"/>
            <w:vAlign w:val="center"/>
          </w:tcPr>
          <w:p>
            <w:pPr>
              <w:outlineLvl w:val="0"/>
              <w:rPr>
                <w:rFonts w:ascii="仿宋" w:hAnsi="仿宋" w:eastAsia="仿宋" w:cs="仿宋"/>
                <w:color w:val="000000"/>
                <w:szCs w:val="21"/>
              </w:rPr>
            </w:pPr>
            <w:r>
              <w:rPr>
                <w:rFonts w:hint="eastAsia" w:ascii="仿宋" w:hAnsi="仿宋" w:eastAsia="仿宋" w:cs="仿宋"/>
                <w:color w:val="000000"/>
                <w:szCs w:val="21"/>
              </w:rPr>
              <w:t>对软件进行综合演示（5分）</w:t>
            </w:r>
          </w:p>
        </w:tc>
        <w:tc>
          <w:tcPr>
            <w:tcW w:w="7117" w:type="dxa"/>
            <w:vAlign w:val="center"/>
          </w:tcPr>
          <w:p>
            <w:pPr>
              <w:outlineLvl w:val="0"/>
              <w:rPr>
                <w:rFonts w:ascii="仿宋" w:hAnsi="仿宋" w:eastAsia="仿宋" w:cs="仿宋"/>
                <w:bCs/>
                <w:color w:val="000000"/>
                <w:szCs w:val="21"/>
              </w:rPr>
            </w:pPr>
            <w:r>
              <w:rPr>
                <w:rFonts w:hint="eastAsia" w:ascii="仿宋" w:hAnsi="仿宋" w:eastAsia="仿宋" w:cs="仿宋"/>
                <w:bCs/>
                <w:color w:val="000000"/>
                <w:szCs w:val="21"/>
              </w:rPr>
              <w:t>专家对诊后疾病路径演示的软件功能、操作便捷、符合性等各方面进行综合评分，</w:t>
            </w:r>
            <w:r>
              <w:rPr>
                <w:rFonts w:hint="eastAsia" w:ascii="仿宋" w:hAnsi="仿宋" w:eastAsia="仿宋" w:cs="仿宋"/>
                <w:color w:val="000000"/>
                <w:szCs w:val="21"/>
              </w:rPr>
              <w:t>优5~4.1分；良4.0~2.1分；一般2.0~0.1分</w:t>
            </w:r>
            <w:r>
              <w:rPr>
                <w:rFonts w:hint="eastAsia" w:ascii="仿宋" w:hAnsi="仿宋" w:eastAsia="仿宋" w:cs="仿宋"/>
                <w:bCs/>
                <w:color w:val="000000"/>
                <w:szCs w:val="21"/>
              </w:rPr>
              <w:t>，不演示不得分。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882" w:type="dxa"/>
            <w:vAlign w:val="center"/>
          </w:tcPr>
          <w:p>
            <w:pPr>
              <w:outlineLvl w:val="0"/>
              <w:rPr>
                <w:rFonts w:ascii="仿宋" w:hAnsi="仿宋" w:eastAsia="仿宋" w:cs="仿宋"/>
                <w:bCs/>
                <w:color w:val="000000"/>
                <w:szCs w:val="21"/>
              </w:rPr>
            </w:pPr>
            <w:r>
              <w:rPr>
                <w:rFonts w:hint="eastAsia" w:ascii="仿宋" w:hAnsi="仿宋" w:eastAsia="仿宋" w:cs="仿宋"/>
                <w:color w:val="000000"/>
                <w:szCs w:val="21"/>
              </w:rPr>
              <w:t>业绩（3分）</w:t>
            </w:r>
          </w:p>
        </w:tc>
        <w:tc>
          <w:tcPr>
            <w:tcW w:w="7117" w:type="dxa"/>
            <w:vAlign w:val="center"/>
          </w:tcPr>
          <w:p>
            <w:pPr>
              <w:outlineLvl w:val="0"/>
              <w:rPr>
                <w:rFonts w:ascii="仿宋" w:hAnsi="仿宋" w:eastAsia="仿宋" w:cs="仿宋"/>
                <w:bCs/>
                <w:color w:val="000000"/>
                <w:szCs w:val="21"/>
              </w:rPr>
            </w:pPr>
            <w:r>
              <w:rPr>
                <w:rFonts w:hint="eastAsia" w:ascii="仿宋" w:hAnsi="仿宋" w:eastAsia="仿宋" w:cs="仿宋"/>
                <w:bCs/>
                <w:color w:val="000000"/>
                <w:szCs w:val="21"/>
              </w:rPr>
              <w:t>投标人提供的疾病精细化管理服务（合同文本中应有“精细化管理”字样）在全国范围内有成功案例，每提供一个案例得0.5分，此项最高3分。</w:t>
            </w:r>
          </w:p>
          <w:p>
            <w:pPr>
              <w:outlineLvl w:val="0"/>
              <w:rPr>
                <w:rFonts w:ascii="仿宋" w:hAnsi="仿宋" w:eastAsia="仿宋" w:cs="仿宋"/>
              </w:rPr>
            </w:pPr>
            <w:r>
              <w:rPr>
                <w:rFonts w:hint="eastAsia" w:ascii="仿宋" w:hAnsi="仿宋" w:eastAsia="仿宋" w:cs="仿宋"/>
                <w:bCs/>
                <w:color w:val="000000"/>
                <w:szCs w:val="21"/>
              </w:rPr>
              <w:t>注：须提供合同文本关键页（首页、主要标的页、能佐证合同建设内容与本项目要求一致的页面、签章页）复印件加盖公章，否则不得分。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82" w:type="dxa"/>
            <w:vAlign w:val="center"/>
          </w:tcPr>
          <w:p>
            <w:pPr>
              <w:jc w:val="center"/>
              <w:outlineLvl w:val="0"/>
              <w:rPr>
                <w:rFonts w:ascii="仿宋" w:hAnsi="仿宋" w:eastAsia="仿宋" w:cs="仿宋"/>
                <w:b/>
                <w:color w:val="000000"/>
                <w:szCs w:val="21"/>
              </w:rPr>
            </w:pPr>
            <w:r>
              <w:rPr>
                <w:rFonts w:hint="eastAsia" w:ascii="仿宋" w:hAnsi="仿宋" w:eastAsia="仿宋" w:cs="仿宋"/>
                <w:bCs/>
                <w:color w:val="000000"/>
                <w:szCs w:val="21"/>
                <w:lang w:val="en-US" w:eastAsia="zh-CN"/>
              </w:rPr>
              <w:t>质量考核标准</w:t>
            </w:r>
            <w:r>
              <w:rPr>
                <w:rFonts w:hint="eastAsia" w:ascii="仿宋" w:hAnsi="仿宋" w:eastAsia="仿宋" w:cs="仿宋"/>
                <w:bCs/>
                <w:color w:val="000000"/>
                <w:szCs w:val="21"/>
              </w:rPr>
              <w:t>（7分）</w:t>
            </w:r>
          </w:p>
        </w:tc>
        <w:tc>
          <w:tcPr>
            <w:tcW w:w="7117" w:type="dxa"/>
            <w:vAlign w:val="center"/>
          </w:tcPr>
          <w:p>
            <w:pPr>
              <w:outlineLvl w:val="0"/>
              <w:rPr>
                <w:rFonts w:ascii="仿宋" w:hAnsi="仿宋" w:eastAsia="仿宋" w:cs="仿宋"/>
                <w:b/>
                <w:color w:val="000000"/>
                <w:szCs w:val="21"/>
              </w:rPr>
            </w:pPr>
            <w:r>
              <w:rPr>
                <w:rFonts w:hint="eastAsia" w:ascii="仿宋" w:hAnsi="仿宋" w:eastAsia="仿宋" w:cs="仿宋"/>
                <w:bCs/>
                <w:color w:val="000000"/>
                <w:szCs w:val="21"/>
              </w:rPr>
              <w:t>根据投标人提供的整体管理服务工作质量的考核标准及与绩效挂钩的考核方案综合评审，</w:t>
            </w:r>
            <w:r>
              <w:rPr>
                <w:rFonts w:hint="eastAsia" w:ascii="仿宋" w:hAnsi="仿宋" w:eastAsia="仿宋" w:cs="仿宋"/>
                <w:color w:val="000000"/>
                <w:szCs w:val="21"/>
              </w:rPr>
              <w:t>优7~4.1分；良4.0~2.1分；一般2.0~0.1分。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jc w:val="center"/>
        </w:trPr>
        <w:tc>
          <w:tcPr>
            <w:tcW w:w="1882" w:type="dxa"/>
            <w:vAlign w:val="center"/>
          </w:tcPr>
          <w:p>
            <w:pPr>
              <w:rPr>
                <w:rFonts w:ascii="仿宋" w:hAnsi="仿宋" w:eastAsia="仿宋" w:cs="仿宋"/>
              </w:rPr>
            </w:pPr>
            <w:r>
              <w:rPr>
                <w:rFonts w:hint="eastAsia" w:ascii="仿宋" w:hAnsi="仿宋" w:eastAsia="仿宋" w:cs="仿宋"/>
              </w:rPr>
              <w:t>疾病精细化管理服务的运营支撑能力</w:t>
            </w:r>
            <w:r>
              <w:rPr>
                <w:rFonts w:hint="eastAsia" w:ascii="仿宋" w:hAnsi="仿宋" w:eastAsia="仿宋" w:cs="仿宋"/>
                <w:color w:val="000000"/>
                <w:szCs w:val="21"/>
              </w:rPr>
              <w:t>（10分）</w:t>
            </w:r>
          </w:p>
        </w:tc>
        <w:tc>
          <w:tcPr>
            <w:tcW w:w="7117" w:type="dxa"/>
            <w:vAlign w:val="center"/>
          </w:tcPr>
          <w:p>
            <w:pPr>
              <w:rPr>
                <w:rFonts w:ascii="仿宋" w:hAnsi="仿宋" w:eastAsia="仿宋" w:cs="仿宋"/>
                <w:color w:val="000000"/>
                <w:szCs w:val="21"/>
              </w:rPr>
            </w:pPr>
            <w:r>
              <w:rPr>
                <w:rFonts w:hint="eastAsia" w:ascii="仿宋" w:hAnsi="仿宋" w:eastAsia="仿宋" w:cs="仿宋"/>
                <w:color w:val="000000"/>
                <w:szCs w:val="21"/>
              </w:rPr>
              <w:t>根据投标文件中提供的套餐</w:t>
            </w:r>
            <w:r>
              <w:rPr>
                <w:rFonts w:hint="eastAsia" w:ascii="仿宋" w:hAnsi="仿宋" w:eastAsia="仿宋" w:cs="仿宋"/>
                <w:color w:val="000000"/>
                <w:szCs w:val="21"/>
                <w:lang w:val="en-US" w:eastAsia="zh-CN"/>
              </w:rPr>
              <w:t>服务</w:t>
            </w:r>
            <w:r>
              <w:rPr>
                <w:rFonts w:hint="eastAsia" w:ascii="仿宋" w:hAnsi="仿宋" w:eastAsia="仿宋" w:cs="仿宋"/>
                <w:color w:val="000000"/>
                <w:szCs w:val="21"/>
              </w:rPr>
              <w:t>内容的完善性和正确性综合打分，优10~6.1分；良6.0~3.1分；一般3.0~0.1分。</w:t>
            </w:r>
          </w:p>
          <w:p>
            <w:pPr>
              <w:pStyle w:val="4"/>
              <w:adjustRightInd w:val="0"/>
              <w:snapToGrid w:val="0"/>
              <w:ind w:firstLine="422"/>
              <w:rPr>
                <w:rFonts w:ascii="仿宋" w:hAnsi="仿宋" w:eastAsia="仿宋" w:cs="仿宋"/>
                <w:b/>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9" w:hRule="atLeast"/>
          <w:jc w:val="center"/>
        </w:trPr>
        <w:tc>
          <w:tcPr>
            <w:tcW w:w="1882" w:type="dxa"/>
            <w:vAlign w:val="center"/>
          </w:tcPr>
          <w:p>
            <w:pPr>
              <w:outlineLvl w:val="0"/>
              <w:rPr>
                <w:rFonts w:ascii="仿宋" w:hAnsi="仿宋" w:eastAsia="仿宋" w:cs="仿宋"/>
                <w:b/>
                <w:color w:val="000000"/>
                <w:szCs w:val="21"/>
              </w:rPr>
            </w:pPr>
            <w:r>
              <w:rPr>
                <w:rFonts w:hint="eastAsia" w:ascii="仿宋" w:hAnsi="仿宋" w:eastAsia="仿宋" w:cs="仿宋"/>
                <w:color w:val="000000"/>
                <w:szCs w:val="21"/>
              </w:rPr>
              <w:t>疾病精细化管理路径梳理支撑能力（18分）</w:t>
            </w:r>
          </w:p>
        </w:tc>
        <w:tc>
          <w:tcPr>
            <w:tcW w:w="7117" w:type="dxa"/>
            <w:vAlign w:val="center"/>
          </w:tcPr>
          <w:p>
            <w:pPr>
              <w:outlineLvl w:val="0"/>
              <w:rPr>
                <w:rFonts w:ascii="仿宋" w:hAnsi="仿宋" w:eastAsia="仿宋" w:cs="仿宋"/>
                <w:color w:val="000000"/>
                <w:szCs w:val="21"/>
              </w:rPr>
            </w:pPr>
            <w:r>
              <w:rPr>
                <w:rFonts w:hint="eastAsia" w:ascii="仿宋" w:hAnsi="仿宋" w:eastAsia="仿宋" w:cs="仿宋"/>
                <w:color w:val="000000"/>
                <w:szCs w:val="21"/>
              </w:rPr>
              <w:t>1.具有完整详细的疾病诊后精细化管理服务方案的支撑能力，要求提供慢性病、手术后患者、恶性肿瘤等各一个病种的具体管理内容，包括具体病情随访表单内容、时间计划、方式方法等；根据投标文件中上述每个疾病管理服务路径的完整性、执行性打分，优6~4.1分；良4.0~2.1分；一般2.0~0.1分。</w:t>
            </w:r>
          </w:p>
          <w:p>
            <w:pPr>
              <w:outlineLvl w:val="0"/>
              <w:rPr>
                <w:rFonts w:ascii="仿宋" w:hAnsi="仿宋" w:eastAsia="仿宋" w:cs="仿宋"/>
                <w:color w:val="000000"/>
                <w:szCs w:val="21"/>
              </w:rPr>
            </w:pPr>
            <w:r>
              <w:rPr>
                <w:rFonts w:hint="eastAsia" w:ascii="仿宋" w:hAnsi="仿宋" w:eastAsia="仿宋" w:cs="仿宋"/>
                <w:color w:val="000000"/>
                <w:szCs w:val="21"/>
              </w:rPr>
              <w:t>2.投标文件要求的必备的3个疾病（</w:t>
            </w:r>
            <w:r>
              <w:rPr>
                <w:rFonts w:hint="eastAsia" w:ascii="仿宋" w:hAnsi="仿宋" w:eastAsia="仿宋" w:cs="仿宋"/>
                <w:sz w:val="24"/>
                <w:lang w:val="en-US" w:eastAsia="zh-CN"/>
              </w:rPr>
              <w:t>高血压</w:t>
            </w:r>
            <w:r>
              <w:rPr>
                <w:rFonts w:hint="eastAsia" w:ascii="仿宋" w:hAnsi="仿宋" w:eastAsia="仿宋" w:cs="仿宋"/>
                <w:sz w:val="24"/>
              </w:rPr>
              <w:t>、糖尿病、</w:t>
            </w:r>
            <w:r>
              <w:rPr>
                <w:rFonts w:hint="eastAsia" w:ascii="仿宋" w:hAnsi="仿宋" w:eastAsia="仿宋" w:cs="仿宋"/>
                <w:sz w:val="24"/>
                <w:lang w:val="en-US" w:eastAsia="zh-CN"/>
              </w:rPr>
              <w:t>肿瘤</w:t>
            </w:r>
            <w:r>
              <w:rPr>
                <w:rFonts w:hint="eastAsia" w:ascii="仿宋" w:hAnsi="仿宋" w:eastAsia="仿宋" w:cs="仿宋"/>
                <w:sz w:val="24"/>
              </w:rPr>
              <w:t>术后</w:t>
            </w:r>
            <w:r>
              <w:rPr>
                <w:rFonts w:hint="eastAsia" w:ascii="仿宋" w:hAnsi="仿宋" w:eastAsia="仿宋" w:cs="仿宋"/>
                <w:color w:val="000000"/>
                <w:szCs w:val="21"/>
              </w:rPr>
              <w:t>）管理路径，根据提供的路径疾病管理路径具体内容的</w:t>
            </w:r>
            <w:r>
              <w:rPr>
                <w:rFonts w:hint="eastAsia" w:ascii="仿宋" w:hAnsi="仿宋" w:eastAsia="仿宋" w:cs="仿宋"/>
                <w:color w:val="000000"/>
                <w:szCs w:val="21"/>
                <w:highlight w:val="yellow"/>
              </w:rPr>
              <w:t>精准性</w:t>
            </w:r>
            <w:r>
              <w:rPr>
                <w:rFonts w:hint="eastAsia" w:ascii="仿宋" w:hAnsi="仿宋" w:eastAsia="仿宋" w:cs="仿宋"/>
                <w:color w:val="000000"/>
                <w:szCs w:val="21"/>
              </w:rPr>
              <w:t>、可操作性进行评审，优6~4.1分；良4.0~2.1分；一般2.0~0.1分。</w:t>
            </w:r>
          </w:p>
          <w:p>
            <w:pPr>
              <w:outlineLvl w:val="0"/>
              <w:rPr>
                <w:rFonts w:ascii="仿宋" w:hAnsi="仿宋" w:eastAsia="仿宋" w:cs="仿宋"/>
                <w:color w:val="000000"/>
                <w:szCs w:val="21"/>
              </w:rPr>
            </w:pPr>
            <w:r>
              <w:rPr>
                <w:rFonts w:hint="eastAsia" w:ascii="仿宋" w:hAnsi="仿宋" w:eastAsia="仿宋" w:cs="仿宋"/>
                <w:sz w:val="24"/>
              </w:rPr>
              <w:t>需</w:t>
            </w:r>
            <w:r>
              <w:rPr>
                <w:rFonts w:hint="eastAsia" w:ascii="仿宋" w:hAnsi="仿宋" w:eastAsia="仿宋" w:cs="仿宋"/>
                <w:color w:val="000000"/>
                <w:szCs w:val="21"/>
              </w:rPr>
              <w:t>提供在三级医院的临床实践材料，包括执行医院、科室或病区主任确认签字并盖章的管理路径证明材料等</w:t>
            </w:r>
            <w:r>
              <w:rPr>
                <w:rFonts w:hint="eastAsia" w:ascii="仿宋" w:hAnsi="仿宋" w:eastAsia="仿宋" w:cs="仿宋"/>
                <w:color w:val="000000"/>
                <w:szCs w:val="21"/>
                <w:lang w:val="en-US" w:eastAsia="zh-CN"/>
              </w:rPr>
              <w:t>复印件加盖公章</w:t>
            </w:r>
            <w:r>
              <w:rPr>
                <w:rFonts w:hint="eastAsia" w:ascii="仿宋" w:hAnsi="仿宋" w:eastAsia="仿宋" w:cs="仿宋"/>
                <w:color w:val="000000"/>
                <w:szCs w:val="21"/>
              </w:rPr>
              <w:t>。不提供不得分。</w:t>
            </w:r>
          </w:p>
          <w:p>
            <w:pPr>
              <w:outlineLvl w:val="0"/>
              <w:rPr>
                <w:rFonts w:ascii="仿宋" w:hAnsi="仿宋" w:eastAsia="仿宋" w:cs="仿宋"/>
                <w:color w:val="000000"/>
                <w:szCs w:val="21"/>
              </w:rPr>
            </w:pPr>
            <w:r>
              <w:rPr>
                <w:rFonts w:hint="eastAsia" w:ascii="仿宋" w:hAnsi="仿宋" w:eastAsia="仿宋" w:cs="仿宋"/>
                <w:color w:val="000000"/>
                <w:szCs w:val="21"/>
              </w:rPr>
              <w:t>3.在投标文件要求的必备的3个疾病管理路径基础上，提供其他病种的执行性比较高的疾病管理服务路径，每提供一个加2分，最多不超过6分。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jc w:val="center"/>
        </w:trPr>
        <w:tc>
          <w:tcPr>
            <w:tcW w:w="1882" w:type="dxa"/>
            <w:vAlign w:val="center"/>
          </w:tcPr>
          <w:p>
            <w:pPr>
              <w:jc w:val="left"/>
              <w:outlineLvl w:val="0"/>
              <w:rPr>
                <w:rFonts w:ascii="仿宋" w:hAnsi="仿宋" w:eastAsia="仿宋" w:cs="仿宋"/>
                <w:color w:val="000000"/>
                <w:szCs w:val="21"/>
              </w:rPr>
            </w:pPr>
            <w:r>
              <w:rPr>
                <w:rFonts w:hint="eastAsia" w:ascii="仿宋" w:hAnsi="仿宋" w:eastAsia="仿宋" w:cs="仿宋"/>
                <w:color w:val="000000"/>
                <w:szCs w:val="21"/>
              </w:rPr>
              <w:t>项目团队</w:t>
            </w:r>
          </w:p>
          <w:p>
            <w:pPr>
              <w:jc w:val="left"/>
              <w:outlineLvl w:val="0"/>
              <w:rPr>
                <w:rFonts w:ascii="仿宋" w:hAnsi="仿宋" w:eastAsia="仿宋" w:cs="仿宋"/>
                <w:b/>
                <w:color w:val="FF0000"/>
                <w:szCs w:val="21"/>
              </w:rPr>
            </w:pPr>
            <w:r>
              <w:rPr>
                <w:rFonts w:hint="eastAsia" w:ascii="仿宋" w:hAnsi="仿宋" w:eastAsia="仿宋" w:cs="仿宋"/>
                <w:color w:val="000000"/>
                <w:szCs w:val="21"/>
              </w:rPr>
              <w:t>（8分）</w:t>
            </w:r>
          </w:p>
        </w:tc>
        <w:tc>
          <w:tcPr>
            <w:tcW w:w="7117" w:type="dxa"/>
            <w:vAlign w:val="center"/>
          </w:tcPr>
          <w:p>
            <w:pPr>
              <w:pStyle w:val="4"/>
              <w:numPr>
                <w:ilvl w:val="255"/>
                <w:numId w:val="0"/>
              </w:numPr>
              <w:adjustRightInd w:val="0"/>
              <w:snapToGrid w:val="0"/>
              <w:rPr>
                <w:rFonts w:ascii="仿宋" w:hAnsi="仿宋" w:eastAsia="仿宋" w:cs="仿宋"/>
                <w:color w:val="000000"/>
                <w:szCs w:val="21"/>
              </w:rPr>
            </w:pPr>
            <w:r>
              <w:rPr>
                <w:rFonts w:hint="eastAsia" w:ascii="仿宋" w:hAnsi="仿宋" w:eastAsia="仿宋" w:cs="仿宋"/>
                <w:color w:val="000000"/>
                <w:kern w:val="0"/>
                <w:sz w:val="24"/>
              </w:rPr>
              <w:t>1</w:t>
            </w:r>
            <w:r>
              <w:rPr>
                <w:rFonts w:hint="eastAsia" w:ascii="仿宋" w:hAnsi="仿宋" w:eastAsia="仿宋" w:cs="仿宋"/>
                <w:color w:val="000000"/>
                <w:szCs w:val="21"/>
              </w:rPr>
              <w:t>.项目负责人能力评价：项目负责人具有医师或护师资格证且有三级医院工作经验的得2分，否则不得分。</w:t>
            </w:r>
          </w:p>
          <w:p>
            <w:pPr>
              <w:pStyle w:val="4"/>
              <w:numPr>
                <w:ilvl w:val="255"/>
                <w:numId w:val="0"/>
              </w:numPr>
              <w:adjustRightInd w:val="0"/>
              <w:snapToGrid w:val="0"/>
              <w:rPr>
                <w:rFonts w:ascii="仿宋" w:hAnsi="仿宋" w:eastAsia="仿宋" w:cs="仿宋"/>
                <w:color w:val="000000"/>
                <w:szCs w:val="21"/>
              </w:rPr>
            </w:pPr>
            <w:r>
              <w:rPr>
                <w:rFonts w:hint="eastAsia" w:ascii="仿宋" w:hAnsi="仿宋" w:eastAsia="仿宋" w:cs="仿宋"/>
                <w:color w:val="000000"/>
                <w:szCs w:val="21"/>
              </w:rPr>
              <w:t>项目负责人需提供近3个月社保缴纳证明及相关证明材料，提供复印件的须加盖投标人公章，不提供证明材料不得分。</w:t>
            </w:r>
          </w:p>
          <w:p>
            <w:pPr>
              <w:rPr>
                <w:rFonts w:ascii="仿宋" w:hAnsi="仿宋" w:eastAsia="仿宋" w:cs="仿宋"/>
                <w:color w:val="000000"/>
                <w:szCs w:val="21"/>
              </w:rPr>
            </w:pPr>
            <w:r>
              <w:rPr>
                <w:rFonts w:hint="eastAsia" w:ascii="仿宋" w:hAnsi="仿宋" w:eastAsia="仿宋" w:cs="仿宋"/>
                <w:color w:val="000000"/>
                <w:szCs w:val="21"/>
              </w:rPr>
              <w:t>2.项目工作人员团队能力评价：诊后疾病精细化管理服务路径内容梳理团队人数至少为10人，团队中需包括医师、营养师、健康管理师、护师等人员。根据提供的项目工作人员的人员配置方案进行综合评审，优6~4.1分；良4.0~2.1分；一般2.0~0.1分。</w:t>
            </w:r>
          </w:p>
          <w:p>
            <w:pPr>
              <w:pStyle w:val="4"/>
              <w:adjustRightInd w:val="0"/>
              <w:snapToGrid w:val="0"/>
              <w:outlineLvl w:val="0"/>
              <w:rPr>
                <w:rFonts w:ascii="仿宋" w:hAnsi="仿宋" w:eastAsia="仿宋" w:cs="仿宋"/>
                <w:color w:val="000000"/>
                <w:szCs w:val="21"/>
              </w:rPr>
            </w:pPr>
            <w:r>
              <w:rPr>
                <w:rFonts w:hint="eastAsia" w:ascii="仿宋" w:hAnsi="仿宋" w:eastAsia="仿宋" w:cs="仿宋"/>
                <w:color w:val="000000"/>
                <w:szCs w:val="21"/>
              </w:rPr>
              <w:t>项目工作人员需提供近3个月社保缴纳证明及相关证明材料，提供复印件的须加盖投标人公章，不提供证明材料不得分。</w:t>
            </w:r>
          </w:p>
          <w:p>
            <w:pPr>
              <w:pStyle w:val="4"/>
              <w:numPr>
                <w:ilvl w:val="255"/>
                <w:numId w:val="0"/>
              </w:numPr>
              <w:adjustRightInd w:val="0"/>
              <w:snapToGrid w:val="0"/>
              <w:rPr>
                <w:rFonts w:ascii="仿宋" w:hAnsi="仿宋" w:eastAsia="仿宋" w:cs="仿宋"/>
                <w:color w:val="000000"/>
                <w:szCs w:val="21"/>
              </w:rPr>
            </w:pPr>
            <w:r>
              <w:rPr>
                <w:rFonts w:hint="eastAsia" w:ascii="仿宋" w:hAnsi="仿宋" w:eastAsia="仿宋" w:cs="仿宋"/>
                <w:color w:val="000000"/>
                <w:szCs w:val="21"/>
              </w:rPr>
              <w:t>注：需提供近3个月社保缴纳证明及相关证明材料，提供复印件的须加盖投标人公章，不提供证明材料不得分。</w:t>
            </w:r>
          </w:p>
          <w:p>
            <w:pPr>
              <w:rPr>
                <w:rFonts w:ascii="仿宋" w:hAnsi="仿宋" w:eastAsia="仿宋" w:cs="仿宋"/>
                <w:b/>
                <w:color w:val="FF0000"/>
                <w:szCs w:val="21"/>
              </w:rPr>
            </w:pP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bookmarkEnd w:id="10"/>
    <w:bookmarkEnd w:id="11"/>
    <w:bookmarkEnd w:id="12"/>
    <w:bookmarkEnd w:id="13"/>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p>
    <w:p>
      <w:pPr>
        <w:spacing w:line="440" w:lineRule="exact"/>
        <w:jc w:val="left"/>
        <w:rPr>
          <w:rFonts w:ascii="仿宋" w:hAnsi="仿宋" w:eastAsia="仿宋" w:cs="仿宋"/>
          <w:sz w:val="24"/>
        </w:rPr>
      </w:pPr>
      <w:r>
        <w:rPr>
          <w:rFonts w:hint="eastAsia" w:ascii="仿宋" w:hAnsi="仿宋" w:eastAsia="仿宋" w:cs="仿宋"/>
          <w:sz w:val="24"/>
        </w:rPr>
        <w:t xml:space="preserve">   单位：/</w:t>
      </w:r>
    </w:p>
    <w:tbl>
      <w:tblPr>
        <w:tblStyle w:val="41"/>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7"/>
        <w:gridCol w:w="3287"/>
        <w:gridCol w:w="2937"/>
        <w:gridCol w:w="200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947" w:type="dxa"/>
            <w:vAlign w:val="center"/>
          </w:tcPr>
          <w:p>
            <w:pPr>
              <w:tabs>
                <w:tab w:val="left" w:pos="540"/>
              </w:tabs>
              <w:adjustRightInd w:val="0"/>
              <w:snapToGrid w:val="0"/>
              <w:jc w:val="center"/>
              <w:rPr>
                <w:rFonts w:ascii="仿宋" w:hAnsi="仿宋" w:eastAsia="仿宋" w:cs="仿宋"/>
                <w:spacing w:val="20"/>
                <w:szCs w:val="21"/>
              </w:rPr>
            </w:pPr>
            <w:r>
              <w:rPr>
                <w:rFonts w:hint="eastAsia" w:ascii="仿宋" w:hAnsi="仿宋" w:eastAsia="仿宋" w:cs="仿宋"/>
                <w:spacing w:val="20"/>
                <w:szCs w:val="21"/>
              </w:rPr>
              <w:t>标段</w:t>
            </w:r>
          </w:p>
        </w:tc>
        <w:tc>
          <w:tcPr>
            <w:tcW w:w="3287" w:type="dxa"/>
            <w:tcBorders>
              <w:right w:val="single" w:color="auto" w:sz="4" w:space="0"/>
            </w:tcBorders>
            <w:vAlign w:val="center"/>
          </w:tcPr>
          <w:p>
            <w:pPr>
              <w:spacing w:line="360" w:lineRule="auto"/>
              <w:ind w:left="418" w:leftChars="199" w:firstLine="480" w:firstLineChars="200"/>
              <w:rPr>
                <w:rFonts w:hint="eastAsia" w:ascii="仿宋" w:hAnsi="仿宋" w:eastAsia="仿宋" w:cs="仿宋"/>
                <w:sz w:val="24"/>
              </w:rPr>
            </w:pPr>
            <w:r>
              <w:rPr>
                <w:rFonts w:hint="eastAsia" w:ascii="仿宋" w:hAnsi="仿宋" w:eastAsia="仿宋" w:cs="仿宋"/>
                <w:sz w:val="24"/>
              </w:rPr>
              <w:t>标段名称</w:t>
            </w:r>
          </w:p>
        </w:tc>
        <w:tc>
          <w:tcPr>
            <w:tcW w:w="2937" w:type="dxa"/>
            <w:tcBorders>
              <w:left w:val="single" w:color="auto" w:sz="4" w:space="0"/>
            </w:tcBorders>
            <w:vAlign w:val="center"/>
          </w:tcPr>
          <w:p>
            <w:pPr>
              <w:adjustRightInd w:val="0"/>
              <w:snapToGrid w:val="0"/>
              <w:ind w:left="-107" w:leftChars="-51" w:right="-107" w:rightChars="-51"/>
              <w:jc w:val="center"/>
              <w:rPr>
                <w:rFonts w:ascii="仿宋" w:hAnsi="仿宋" w:eastAsia="仿宋" w:cs="仿宋"/>
                <w:spacing w:val="20"/>
                <w:szCs w:val="21"/>
              </w:rPr>
            </w:pPr>
            <w:r>
              <w:rPr>
                <w:rFonts w:hint="eastAsia" w:ascii="仿宋" w:hAnsi="仿宋" w:eastAsia="仿宋" w:cs="仿宋"/>
                <w:spacing w:val="20"/>
                <w:szCs w:val="21"/>
              </w:rPr>
              <w:t>服务的提供商</w:t>
            </w:r>
          </w:p>
        </w:tc>
        <w:tc>
          <w:tcPr>
            <w:tcW w:w="2009"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Cs w:val="21"/>
              </w:rPr>
            </w:pPr>
            <w:r>
              <w:rPr>
                <w:rFonts w:hint="eastAsia" w:ascii="仿宋" w:hAnsi="仿宋" w:eastAsia="仿宋" w:cs="仿宋"/>
                <w:spacing w:val="20"/>
                <w:szCs w:val="21"/>
              </w:rPr>
              <w:t>投标折扣</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947" w:type="dxa"/>
            <w:vAlign w:val="center"/>
          </w:tcPr>
          <w:p>
            <w:pPr>
              <w:adjustRightInd w:val="0"/>
              <w:snapToGrid w:val="0"/>
              <w:ind w:right="-134" w:rightChars="-64"/>
              <w:jc w:val="center"/>
              <w:rPr>
                <w:rFonts w:ascii="仿宋" w:hAnsi="仿宋" w:eastAsia="仿宋" w:cs="仿宋"/>
                <w:spacing w:val="20"/>
                <w:szCs w:val="21"/>
              </w:rPr>
            </w:pPr>
            <w:r>
              <w:rPr>
                <w:rFonts w:hint="eastAsia" w:ascii="仿宋" w:hAnsi="仿宋" w:eastAsia="仿宋" w:cs="仿宋"/>
                <w:spacing w:val="20"/>
                <w:szCs w:val="21"/>
              </w:rPr>
              <w:t>1</w:t>
            </w:r>
          </w:p>
        </w:tc>
        <w:tc>
          <w:tcPr>
            <w:tcW w:w="3287" w:type="dxa"/>
            <w:tcBorders>
              <w:righ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绍兴市人民医院患者疾病诊后精细化管理外包服务项目</w:t>
            </w:r>
          </w:p>
          <w:p>
            <w:pPr>
              <w:spacing w:line="360" w:lineRule="auto"/>
              <w:ind w:left="418" w:leftChars="199" w:firstLine="480" w:firstLineChars="200"/>
              <w:rPr>
                <w:rFonts w:hint="eastAsia" w:ascii="仿宋" w:hAnsi="仿宋" w:eastAsia="仿宋" w:cs="仿宋"/>
                <w:sz w:val="24"/>
              </w:rPr>
            </w:pPr>
          </w:p>
        </w:tc>
        <w:tc>
          <w:tcPr>
            <w:tcW w:w="2937" w:type="dxa"/>
            <w:tcBorders>
              <w:left w:val="single" w:color="auto" w:sz="4" w:space="0"/>
            </w:tcBorders>
            <w:vAlign w:val="center"/>
          </w:tcPr>
          <w:p>
            <w:pPr>
              <w:adjustRightInd w:val="0"/>
              <w:snapToGrid w:val="0"/>
              <w:ind w:right="172" w:rightChars="82" w:firstLine="505" w:firstLineChars="202"/>
              <w:rPr>
                <w:rFonts w:ascii="仿宋" w:hAnsi="仿宋" w:eastAsia="仿宋" w:cs="仿宋"/>
                <w:spacing w:val="20"/>
                <w:szCs w:val="21"/>
              </w:rPr>
            </w:pPr>
          </w:p>
        </w:tc>
        <w:tc>
          <w:tcPr>
            <w:tcW w:w="2009"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Cs w:val="21"/>
              </w:rPr>
            </w:pPr>
            <w:r>
              <w:rPr>
                <w:rFonts w:hint="eastAsia" w:ascii="仿宋" w:hAnsi="仿宋" w:eastAsia="仿宋" w:cs="仿宋"/>
                <w:sz w:val="24"/>
              </w:rPr>
              <w:t>%</w:t>
            </w:r>
          </w:p>
        </w:tc>
      </w:tr>
    </w:tbl>
    <w:p>
      <w:pPr>
        <w:spacing w:line="360" w:lineRule="auto"/>
        <w:ind w:left="418" w:leftChars="199"/>
        <w:rPr>
          <w:rFonts w:hint="eastAsia" w:ascii="仿宋" w:hAnsi="仿宋" w:eastAsia="仿宋" w:cs="仿宋"/>
          <w:sz w:val="24"/>
        </w:rPr>
      </w:pPr>
      <w:r>
        <w:rPr>
          <w:rFonts w:hint="eastAsia" w:ascii="仿宋" w:hAnsi="仿宋" w:eastAsia="仿宋" w:cs="仿宋"/>
          <w:sz w:val="24"/>
        </w:rPr>
        <w:t xml:space="preserve">注: 1. </w:t>
      </w:r>
      <w:r>
        <w:rPr>
          <w:rFonts w:hint="eastAsia" w:ascii="仿宋" w:hAnsi="仿宋" w:eastAsia="仿宋" w:cs="仿宋"/>
          <w:sz w:val="24"/>
        </w:rPr>
        <w:sym w:font="Wingdings" w:char="F0AB"/>
      </w:r>
      <w:r>
        <w:rPr>
          <w:rFonts w:hint="eastAsia" w:ascii="仿宋" w:hAnsi="仿宋" w:eastAsia="仿宋" w:cs="仿宋"/>
          <w:sz w:val="24"/>
        </w:rPr>
        <w:t>投标折扣不高于70%，否则视作无效投标。</w:t>
      </w:r>
    </w:p>
    <w:p>
      <w:pPr>
        <w:spacing w:line="360" w:lineRule="auto"/>
        <w:ind w:left="418" w:leftChars="199" w:firstLine="480" w:firstLineChars="200"/>
        <w:rPr>
          <w:rFonts w:hint="eastAsia" w:ascii="仿宋" w:hAnsi="仿宋" w:eastAsia="仿宋" w:cs="仿宋"/>
          <w:sz w:val="24"/>
        </w:rPr>
      </w:pPr>
      <w:r>
        <w:rPr>
          <w:rFonts w:hint="eastAsia" w:ascii="仿宋" w:hAnsi="仿宋" w:eastAsia="仿宋" w:cs="仿宋"/>
          <w:sz w:val="24"/>
        </w:rPr>
        <w:t>2、结算按实际服务套餐数量和套餐收费单价及折扣计算（服务套餐数量*单价*中标折扣）。</w:t>
      </w:r>
    </w:p>
    <w:p>
      <w:pPr>
        <w:snapToGrid w:val="0"/>
        <w:ind w:firstLine="960" w:firstLineChars="400"/>
        <w:jc w:val="left"/>
        <w:rPr>
          <w:rFonts w:ascii="仿宋" w:hAnsi="仿宋" w:eastAsia="仿宋" w:cs="仿宋"/>
          <w:sz w:val="24"/>
        </w:rPr>
      </w:pPr>
      <w:r>
        <w:rPr>
          <w:rFonts w:hint="eastAsia" w:ascii="仿宋" w:hAnsi="仿宋" w:eastAsia="仿宋" w:cs="仿宋"/>
          <w:sz w:val="24"/>
        </w:rPr>
        <w:t>3、报价一经涂改，应在涂改处加盖单位公章或者由法定代表人或其授权代表签字或盖章，否则其投标作无效投标处理。</w:t>
      </w:r>
    </w:p>
    <w:p>
      <w:pPr>
        <w:snapToGrid w:val="0"/>
        <w:ind w:firstLine="960" w:firstLineChars="400"/>
        <w:jc w:val="left"/>
        <w:rPr>
          <w:rFonts w:ascii="仿宋" w:hAnsi="仿宋" w:eastAsia="仿宋" w:cs="仿宋"/>
          <w:sz w:val="24"/>
        </w:rPr>
      </w:pPr>
      <w:r>
        <w:rPr>
          <w:rFonts w:hint="eastAsia" w:ascii="仿宋" w:hAnsi="仿宋" w:eastAsia="仿宋" w:cs="仿宋"/>
          <w:sz w:val="24"/>
        </w:rPr>
        <w:t>4.招标人不接受某一标项中有2个(含)以上的报价或方案，若投标人在此表中有2个（含）以上的报价或方案，其投标作无效投标处理。</w:t>
      </w:r>
    </w:p>
    <w:p>
      <w:pPr>
        <w:ind w:left="-2" w:leftChars="-1" w:firstLine="960" w:firstLineChars="400"/>
        <w:rPr>
          <w:rFonts w:ascii="仿宋" w:hAnsi="仿宋" w:eastAsia="仿宋" w:cs="仿宋"/>
          <w:kern w:val="0"/>
          <w:sz w:val="24"/>
          <w:lang w:val="zh-CN"/>
        </w:rPr>
      </w:pPr>
      <w:r>
        <w:rPr>
          <w:rFonts w:hint="eastAsia" w:ascii="仿宋" w:hAnsi="仿宋" w:eastAsia="仿宋" w:cs="仿宋"/>
          <w:kern w:val="0"/>
          <w:sz w:val="24"/>
        </w:rPr>
        <w:t>5</w:t>
      </w:r>
      <w:r>
        <w:rPr>
          <w:rFonts w:hint="eastAsia" w:ascii="仿宋" w:hAnsi="仿宋" w:eastAsia="仿宋" w:cs="仿宋"/>
          <w:kern w:val="0"/>
          <w:sz w:val="24"/>
          <w:lang w:val="zh-CN"/>
        </w:rPr>
        <w:t>.投标人需按本表格式填写，如无对应内容，则填写：“无或/”。</w:t>
      </w:r>
    </w:p>
    <w:p>
      <w:pPr>
        <w:snapToGrid w:val="0"/>
        <w:ind w:firstLine="1058" w:firstLineChars="441"/>
        <w:jc w:val="left"/>
        <w:rPr>
          <w:rFonts w:ascii="仿宋" w:hAnsi="仿宋" w:eastAsia="仿宋" w:cs="仿宋"/>
          <w:sz w:val="24"/>
        </w:rPr>
      </w:pPr>
      <w:r>
        <w:rPr>
          <w:rFonts w:hint="eastAsia" w:ascii="仿宋" w:hAnsi="仿宋" w:eastAsia="仿宋" w:cs="仿宋"/>
          <w:sz w:val="24"/>
        </w:rPr>
        <w:t>6、报价包含产品材料费用、运输费（含装卸费）、劳务费、税费、保险费等所有费用。</w:t>
      </w:r>
    </w:p>
    <w:p>
      <w:pPr>
        <w:snapToGrid w:val="0"/>
        <w:ind w:left="886" w:leftChars="197" w:hanging="472" w:hangingChars="196"/>
        <w:jc w:val="left"/>
        <w:rPr>
          <w:rFonts w:ascii="仿宋" w:hAnsi="仿宋" w:eastAsia="仿宋" w:cs="仿宋"/>
          <w:b/>
          <w:kern w:val="0"/>
          <w:sz w:val="24"/>
        </w:rPr>
      </w:pPr>
    </w:p>
    <w:p>
      <w:pPr>
        <w:ind w:firstLine="482" w:firstLineChars="200"/>
        <w:rPr>
          <w:rFonts w:ascii="仿宋" w:hAnsi="仿宋" w:eastAsia="仿宋" w:cs="仿宋"/>
          <w:b/>
          <w:kern w:val="0"/>
          <w:sz w:val="24"/>
          <w:lang w:val="zh-CN"/>
        </w:rPr>
      </w:pP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 w:hAnsi="仿宋" w:eastAsia="仿宋" w:cs="仿宋"/>
          <w:b/>
          <w:sz w:val="32"/>
          <w:szCs w:val="32"/>
        </w:rPr>
      </w:pPr>
      <w:r>
        <w:rPr>
          <w:rFonts w:hint="eastAsia" w:ascii="仿宋" w:hAnsi="仿宋" w:eastAsia="仿宋" w:cs="仿宋"/>
          <w:b/>
          <w:sz w:val="32"/>
          <w:szCs w:val="32"/>
        </w:rPr>
        <w:t>3、中小企业声明函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Lines="50" w:after="50"/>
        <w:rPr>
          <w:rFonts w:ascii="仿宋" w:hAnsi="仿宋" w:eastAsia="仿宋" w:cs="仿宋"/>
          <w:sz w:val="30"/>
          <w:szCs w:val="30"/>
        </w:rPr>
      </w:pPr>
    </w:p>
    <w:p>
      <w:pPr>
        <w:snapToGrid w:val="0"/>
        <w:spacing w:beforeLines="50" w:after="50"/>
        <w:jc w:val="center"/>
        <w:rPr>
          <w:rFonts w:ascii="仿宋" w:hAnsi="仿宋" w:eastAsia="仿宋" w:cs="仿宋"/>
        </w:rPr>
      </w:pPr>
      <w:r>
        <w:rPr>
          <w:rFonts w:hint="eastAsia" w:ascii="仿宋" w:hAnsi="仿宋" w:eastAsia="仿宋" w:cs="仿宋"/>
          <w:sz w:val="30"/>
          <w:szCs w:val="30"/>
        </w:rPr>
        <w:t>目 录</w:t>
      </w:r>
    </w:p>
    <w:p>
      <w:pPr>
        <w:pStyle w:val="193"/>
        <w:spacing w:line="360" w:lineRule="auto"/>
        <w:ind w:left="0" w:firstLine="0" w:firstLineChars="0"/>
        <w:rPr>
          <w:rFonts w:ascii="仿宋" w:eastAsia="仿宋" w:cs="仿宋"/>
        </w:rPr>
      </w:pPr>
      <w:r>
        <w:rPr>
          <w:rFonts w:hint="eastAsia" w:ascii="仿宋" w:eastAsia="仿宋" w:cs="仿宋"/>
        </w:rPr>
        <w:t>（1）法定代表人授权书 …………………………………………………………（页码）</w:t>
      </w:r>
    </w:p>
    <w:p>
      <w:pPr>
        <w:pStyle w:val="193"/>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3"/>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3"/>
        <w:spacing w:line="360" w:lineRule="auto"/>
        <w:ind w:left="0" w:firstLine="0" w:firstLineChars="0"/>
        <w:rPr>
          <w:rFonts w:ascii="仿宋" w:eastAsia="仿宋" w:cs="仿宋"/>
        </w:rPr>
      </w:pPr>
      <w:r>
        <w:rPr>
          <w:rFonts w:hint="eastAsia" w:ascii="仿宋" w:eastAsia="仿宋" w:cs="仿宋"/>
        </w:rPr>
        <w:t>（4）法定代表人身份证明书………………………………………………………（页码）</w:t>
      </w:r>
    </w:p>
    <w:p>
      <w:pPr>
        <w:pStyle w:val="193"/>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193"/>
        <w:spacing w:line="360" w:lineRule="auto"/>
        <w:ind w:left="0" w:firstLine="0" w:firstLineChars="0"/>
        <w:rPr>
          <w:rFonts w:ascii="仿宋" w:eastAsia="仿宋" w:cs="仿宋"/>
        </w:rPr>
      </w:pPr>
      <w:r>
        <w:rPr>
          <w:rFonts w:hint="eastAsia" w:ascii="仿宋" w:eastAsia="仿宋" w:cs="仿宋"/>
        </w:rPr>
        <w:t>（7）投标人售后服务证明材料……………………………………………………（页码）</w:t>
      </w:r>
    </w:p>
    <w:p>
      <w:pPr>
        <w:pStyle w:val="193"/>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（9）廉政承诺书 …………………………………………………………………（页码）</w:t>
      </w:r>
    </w:p>
    <w:p>
      <w:pPr>
        <w:pStyle w:val="193"/>
        <w:spacing w:line="360" w:lineRule="auto"/>
        <w:ind w:left="0" w:firstLine="0" w:firstLineChars="0"/>
        <w:rPr>
          <w:rFonts w:ascii="仿宋" w:eastAsia="仿宋" w:cs="仿宋"/>
        </w:rPr>
      </w:pPr>
      <w:r>
        <w:rPr>
          <w:rFonts w:hint="eastAsia" w:ascii="仿宋" w:eastAsia="仿宋" w:cs="仿宋"/>
        </w:rPr>
        <w:t>（10）技术解决方案………………………………………………………………（页码）</w:t>
      </w:r>
    </w:p>
    <w:p>
      <w:pPr>
        <w:pStyle w:val="193"/>
        <w:spacing w:line="360" w:lineRule="auto"/>
        <w:ind w:left="0" w:firstLine="0" w:firstLineChars="0"/>
        <w:rPr>
          <w:rFonts w:ascii="仿宋" w:eastAsia="仿宋" w:cs="仿宋"/>
        </w:rPr>
      </w:pPr>
      <w:r>
        <w:rPr>
          <w:rFonts w:hint="eastAsia" w:ascii="仿宋" w:eastAsia="仿宋" w:cs="仿宋"/>
        </w:rPr>
        <w:t>（11）技术偏离说明表……………………………………………………………（页码）</w:t>
      </w:r>
    </w:p>
    <w:p>
      <w:pPr>
        <w:pStyle w:val="193"/>
        <w:spacing w:line="360" w:lineRule="auto"/>
        <w:ind w:left="0" w:firstLine="0" w:firstLineChars="0"/>
        <w:rPr>
          <w:rFonts w:ascii="仿宋" w:eastAsia="仿宋" w:cs="仿宋"/>
        </w:rPr>
      </w:pPr>
      <w:r>
        <w:rPr>
          <w:rFonts w:hint="eastAsia" w:ascii="仿宋" w:eastAsia="仿宋" w:cs="仿宋"/>
        </w:rPr>
        <w:t>（12）组织实施方案………………………………………………………………（页码）</w:t>
      </w:r>
    </w:p>
    <w:p>
      <w:pPr>
        <w:pStyle w:val="193"/>
        <w:spacing w:line="360" w:lineRule="auto"/>
        <w:ind w:left="0" w:firstLine="0" w:firstLineChars="0"/>
        <w:rPr>
          <w:rFonts w:ascii="仿宋" w:eastAsia="仿宋" w:cs="仿宋"/>
        </w:rPr>
      </w:pPr>
      <w:r>
        <w:rPr>
          <w:rFonts w:hint="eastAsia" w:ascii="仿宋" w:eastAsia="仿宋" w:cs="仿宋"/>
        </w:rPr>
        <w:t>（13）售后服务方案………………………………………………………………（页码）</w:t>
      </w:r>
    </w:p>
    <w:p>
      <w:pPr>
        <w:pStyle w:val="193"/>
        <w:spacing w:line="360" w:lineRule="auto"/>
        <w:ind w:left="0" w:firstLine="0" w:firstLineChars="0"/>
        <w:rPr>
          <w:rFonts w:ascii="仿宋" w:eastAsia="仿宋" w:cs="仿宋"/>
        </w:rPr>
      </w:pPr>
      <w:r>
        <w:rPr>
          <w:rFonts w:hint="eastAsia" w:ascii="仿宋" w:eastAsia="仿宋" w:cs="仿宋"/>
        </w:rPr>
        <w:t>（14）项目小组人员名单…………………………………………………………（页码）</w:t>
      </w:r>
    </w:p>
    <w:p>
      <w:pPr>
        <w:pStyle w:val="193"/>
        <w:spacing w:line="360"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验收方案…………………………………………………………</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（19）</w:t>
      </w:r>
      <w:r>
        <w:rPr>
          <w:rFonts w:hint="eastAsia" w:ascii="仿宋" w:eastAsia="仿宋" w:cs="仿宋"/>
          <w:lang w:val="zh-CN"/>
        </w:rPr>
        <w:t>认为需要的其他商务技术（资信）文件或说明…………</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（20）</w:t>
      </w:r>
      <w:r>
        <w:rPr>
          <w:rFonts w:hint="eastAsia" w:ascii="仿宋" w:eastAsia="仿宋" w:cs="仿宋"/>
          <w:lang w:val="zh-CN"/>
        </w:rPr>
        <w:t>联合协议（如有）…………………………………………………………</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（21）</w:t>
      </w:r>
      <w:r>
        <w:rPr>
          <w:rFonts w:hint="eastAsia" w:ascii="仿宋" w:eastAsia="仿宋" w:cs="仿宋"/>
          <w:lang w:val="zh-CN"/>
        </w:rPr>
        <w:t>分包意向协议（如有）…………………………………………</w:t>
      </w:r>
      <w:r>
        <w:rPr>
          <w:rFonts w:hint="eastAsia" w:ascii="仿宋" w:eastAsia="仿宋" w:cs="仿宋"/>
        </w:rPr>
        <w:t>……………（页码）</w:t>
      </w:r>
    </w:p>
    <w:p>
      <w:pPr>
        <w:pStyle w:val="193"/>
        <w:spacing w:line="360" w:lineRule="auto"/>
        <w:ind w:left="0" w:firstLine="0" w:firstLineChars="0"/>
        <w:rPr>
          <w:rFonts w:ascii="仿宋" w:eastAsia="仿宋" w:cs="仿宋"/>
          <w:b/>
          <w:bCs/>
        </w:rPr>
      </w:pPr>
      <w:r>
        <w:rPr>
          <w:rFonts w:hint="eastAsia" w:ascii="仿宋" w:eastAsia="仿宋" w:cs="仿宋"/>
        </w:rPr>
        <w:t>（22）中小企业声明函</w:t>
      </w:r>
      <w:r>
        <w:rPr>
          <w:rFonts w:hint="eastAsia" w:ascii="仿宋" w:eastAsia="仿宋" w:cs="仿宋"/>
          <w:lang w:val="zh-CN"/>
        </w:rPr>
        <w:t>（如有）</w:t>
      </w:r>
      <w:r>
        <w:rPr>
          <w:rFonts w:hint="eastAsia" w:ascii="仿宋" w:eastAsia="仿宋" w:cs="仿宋"/>
        </w:rPr>
        <w:t>……………………………………………………（页码）</w:t>
      </w:r>
    </w:p>
    <w:p>
      <w:pPr>
        <w:pStyle w:val="193"/>
        <w:spacing w:line="360" w:lineRule="auto"/>
        <w:ind w:left="0" w:firstLine="0" w:firstLineChars="0"/>
        <w:rPr>
          <w:rFonts w:ascii="仿宋" w:eastAsia="仿宋" w:cs="仿宋"/>
          <w:b/>
          <w:bCs/>
        </w:rPr>
      </w:pPr>
      <w:r>
        <w:rPr>
          <w:rFonts w:hint="eastAsia" w:ascii="仿宋" w:eastAsia="仿宋" w:cs="仿宋"/>
        </w:rPr>
        <w:t>（23）代理服务费支付承诺书………………………………………………………（页码）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spacing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ascii="仿宋" w:hAnsi="仿宋" w:eastAsia="仿宋" w:cs="仿宋"/>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（项目名称）（招标编号:）</w:t>
      </w:r>
      <w:r>
        <w:rPr>
          <w:rFonts w:hint="eastAsia" w:ascii="仿宋" w:hAnsi="仿宋" w:eastAsia="仿宋" w:cs="仿宋"/>
          <w:sz w:val="24"/>
        </w:rPr>
        <w:t>招标文件中关于申请人资格要求的下列条件：</w:t>
      </w:r>
    </w:p>
    <w:p>
      <w:pPr>
        <w:pStyle w:val="69"/>
        <w:widowControl w:val="0"/>
        <w:spacing w:afterLines="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5"/>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1.95pt;width:442.6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hint="eastAsia" w:ascii="仿宋" w:hAnsi="仿宋" w:eastAsia="仿宋" w:cs="仿宋"/>
          <w:b/>
          <w:kern w:val="0"/>
          <w:sz w:val="28"/>
          <w:szCs w:val="28"/>
        </w:rPr>
        <w:object>
          <v:shape id="_x0000_i1027" o:spt="75" type="#_x0000_t75" style="height:41.95pt;width:442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cs="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8"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    联系传真：</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r>
      <w:rPr>
        <w:rFonts w:hint="eastAsia"/>
      </w:rPr>
      <w:t xml:space="preserve">华诚工程咨询集团有限公司               </w:t>
    </w:r>
    <w:r>
      <w:rPr>
        <w:rFonts w:hint="eastAsia"/>
        <w:lang w:val="en-US" w:eastAsia="zh-CN"/>
      </w:rPr>
      <w:t xml:space="preserve">          </w:t>
    </w:r>
    <w:r>
      <w:rPr>
        <w:rFonts w:hint="eastAsia"/>
      </w:rPr>
      <w:t xml:space="preserve">   招标文件招标编号:HCZB-022-009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val="en-US" w:eastAsia="zh-CN"/>
      </w:rPr>
    </w:pPr>
    <w:r>
      <w:rPr>
        <w:rFonts w:hint="eastAsia"/>
      </w:rPr>
      <w:t xml:space="preserve">华诚工程咨询集团有限公司               </w:t>
    </w:r>
    <w:r>
      <w:rPr>
        <w:rFonts w:hint="eastAsia"/>
        <w:lang w:val="en-US" w:eastAsia="zh-CN"/>
      </w:rPr>
      <w:t xml:space="preserve">                     </w:t>
    </w:r>
    <w:r>
      <w:rPr>
        <w:rFonts w:hint="eastAsia"/>
      </w:rPr>
      <w:t xml:space="preserve">   招标文件招标编号:HCZB-022-00</w:t>
    </w:r>
    <w:r>
      <w:rPr>
        <w:rFonts w:hint="eastAsia"/>
        <w:lang w:val="en-US" w:eastAsia="zh-CN"/>
      </w:rPr>
      <w:t>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华诚工程咨询集团有限公司                                                       HCZB-2022-009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华诚工程咨询集团有限公司                                                       HCZB-2022-009</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华诚工程咨询集团有限公司                                                       HCZB-2022-009</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华诚工程咨询集团有限公司                                                       HCZB-2022-009</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73BB"/>
    <w:multiLevelType w:val="singleLevel"/>
    <w:tmpl w:val="C05673BB"/>
    <w:lvl w:ilvl="0" w:tentative="0">
      <w:start w:val="1"/>
      <w:numFmt w:val="decimal"/>
      <w:lvlText w:val="%1."/>
      <w:lvlJc w:val="left"/>
      <w:pPr>
        <w:tabs>
          <w:tab w:val="left" w:pos="312"/>
        </w:tabs>
      </w:pPr>
    </w:lvl>
  </w:abstractNum>
  <w:abstractNum w:abstractNumId="1">
    <w:nsid w:val="E821B1A5"/>
    <w:multiLevelType w:val="singleLevel"/>
    <w:tmpl w:val="E821B1A5"/>
    <w:lvl w:ilvl="0" w:tentative="0">
      <w:start w:val="1"/>
      <w:numFmt w:val="chineseCounting"/>
      <w:suff w:val="nothing"/>
      <w:lvlText w:val="（%1）"/>
      <w:lvlJc w:val="left"/>
      <w:pPr>
        <w:ind w:left="-420" w:firstLine="420"/>
      </w:pPr>
      <w:rPr>
        <w:rFonts w:hint="eastAsia"/>
        <w:lang w:val="en-US"/>
      </w:r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2195823"/>
    <w:multiLevelType w:val="singleLevel"/>
    <w:tmpl w:val="32195823"/>
    <w:lvl w:ilvl="0" w:tentative="0">
      <w:start w:val="1"/>
      <w:numFmt w:val="decimal"/>
      <w:suff w:val="nothing"/>
      <w:lvlText w:val="%1．"/>
      <w:lvlJc w:val="left"/>
      <w:pPr>
        <w:ind w:left="0" w:firstLine="400"/>
      </w:pPr>
      <w:rPr>
        <w:rFonts w:hint="default"/>
      </w:rPr>
    </w:lvl>
  </w:abstractNum>
  <w:abstractNum w:abstractNumId="6">
    <w:nsid w:val="55A64084"/>
    <w:multiLevelType w:val="singleLevel"/>
    <w:tmpl w:val="55A64084"/>
    <w:lvl w:ilvl="0" w:tentative="0">
      <w:start w:val="1"/>
      <w:numFmt w:val="chineseCounting"/>
      <w:suff w:val="space"/>
      <w:lvlText w:val="第%1部分"/>
      <w:lvlJc w:val="left"/>
      <w:rPr>
        <w:rFonts w:hint="eastAsia"/>
      </w:rPr>
    </w:lvl>
  </w:abstractNum>
  <w:abstractNum w:abstractNumId="7">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9">
    <w:nsid w:val="696BC6DE"/>
    <w:multiLevelType w:val="singleLevel"/>
    <w:tmpl w:val="696BC6DE"/>
    <w:lvl w:ilvl="0" w:tentative="0">
      <w:start w:val="4"/>
      <w:numFmt w:val="decimal"/>
      <w:lvlText w:val="%1."/>
      <w:lvlJc w:val="left"/>
      <w:pPr>
        <w:tabs>
          <w:tab w:val="left" w:pos="312"/>
        </w:tabs>
      </w:pPr>
    </w:lvl>
  </w:abstractNum>
  <w:abstractNum w:abstractNumId="10">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10"/>
  </w:num>
  <w:num w:numId="5">
    <w:abstractNumId w:val="8"/>
  </w:num>
  <w:num w:numId="6">
    <w:abstractNumId w:val="6"/>
  </w:num>
  <w:num w:numId="7">
    <w:abstractNumId w:val="9"/>
  </w:num>
  <w:num w:numId="8">
    <w:abstractNumId w:val="11"/>
  </w:num>
  <w:num w:numId="9">
    <w:abstractNumId w:val="1"/>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46801"/>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4EFC"/>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630"/>
    <w:rsid w:val="004832BC"/>
    <w:rsid w:val="00485E04"/>
    <w:rsid w:val="00486B01"/>
    <w:rsid w:val="00487465"/>
    <w:rsid w:val="004939A7"/>
    <w:rsid w:val="00495C9D"/>
    <w:rsid w:val="0049681F"/>
    <w:rsid w:val="00497699"/>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F60"/>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4648"/>
    <w:rsid w:val="00986357"/>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23E7489"/>
    <w:rsid w:val="02D60E97"/>
    <w:rsid w:val="037A45C0"/>
    <w:rsid w:val="074804D3"/>
    <w:rsid w:val="08310F20"/>
    <w:rsid w:val="0A5F5B47"/>
    <w:rsid w:val="0ADC586B"/>
    <w:rsid w:val="0BCD7B2B"/>
    <w:rsid w:val="0D953DE4"/>
    <w:rsid w:val="0ED50098"/>
    <w:rsid w:val="0EF01B99"/>
    <w:rsid w:val="0EF47C3C"/>
    <w:rsid w:val="1318123A"/>
    <w:rsid w:val="134C274B"/>
    <w:rsid w:val="165A5D81"/>
    <w:rsid w:val="16F306AF"/>
    <w:rsid w:val="17255CAC"/>
    <w:rsid w:val="17920A47"/>
    <w:rsid w:val="1A4B0EF3"/>
    <w:rsid w:val="1C144564"/>
    <w:rsid w:val="1CBE0837"/>
    <w:rsid w:val="1EFA1543"/>
    <w:rsid w:val="206C020A"/>
    <w:rsid w:val="211962E5"/>
    <w:rsid w:val="25C91C6F"/>
    <w:rsid w:val="27034987"/>
    <w:rsid w:val="28425D08"/>
    <w:rsid w:val="2A485ED1"/>
    <w:rsid w:val="2A4D74D2"/>
    <w:rsid w:val="2B515086"/>
    <w:rsid w:val="2B92276F"/>
    <w:rsid w:val="2D96319F"/>
    <w:rsid w:val="2E933762"/>
    <w:rsid w:val="2ECD6CBC"/>
    <w:rsid w:val="30241758"/>
    <w:rsid w:val="32A52181"/>
    <w:rsid w:val="32B6615F"/>
    <w:rsid w:val="341D4D4A"/>
    <w:rsid w:val="35AD74EB"/>
    <w:rsid w:val="37DA5B2A"/>
    <w:rsid w:val="3BE76935"/>
    <w:rsid w:val="3CF61143"/>
    <w:rsid w:val="3DCD00FB"/>
    <w:rsid w:val="41146C25"/>
    <w:rsid w:val="419E4333"/>
    <w:rsid w:val="42D72B59"/>
    <w:rsid w:val="43743FA0"/>
    <w:rsid w:val="4405396B"/>
    <w:rsid w:val="4630260D"/>
    <w:rsid w:val="467D2A15"/>
    <w:rsid w:val="46E50622"/>
    <w:rsid w:val="46FF308C"/>
    <w:rsid w:val="4A510D04"/>
    <w:rsid w:val="4D622AFA"/>
    <w:rsid w:val="4E8D197D"/>
    <w:rsid w:val="4FEE0A81"/>
    <w:rsid w:val="50BA2921"/>
    <w:rsid w:val="51246EEE"/>
    <w:rsid w:val="517174DB"/>
    <w:rsid w:val="52CF6267"/>
    <w:rsid w:val="530B6B1F"/>
    <w:rsid w:val="57A33EE6"/>
    <w:rsid w:val="57E40248"/>
    <w:rsid w:val="582F21E1"/>
    <w:rsid w:val="5A7B0394"/>
    <w:rsid w:val="5B6339F0"/>
    <w:rsid w:val="5C050DC5"/>
    <w:rsid w:val="5CC25011"/>
    <w:rsid w:val="5EAB17F0"/>
    <w:rsid w:val="62B032A8"/>
    <w:rsid w:val="645B7B26"/>
    <w:rsid w:val="653F7D14"/>
    <w:rsid w:val="664232A2"/>
    <w:rsid w:val="666344C6"/>
    <w:rsid w:val="684D1945"/>
    <w:rsid w:val="68E345F1"/>
    <w:rsid w:val="69B346B5"/>
    <w:rsid w:val="6B0246B4"/>
    <w:rsid w:val="6C332D06"/>
    <w:rsid w:val="6D873074"/>
    <w:rsid w:val="6EA77C40"/>
    <w:rsid w:val="70653E51"/>
    <w:rsid w:val="71110EAA"/>
    <w:rsid w:val="71AE1DA3"/>
    <w:rsid w:val="72E87C49"/>
    <w:rsid w:val="74366ACD"/>
    <w:rsid w:val="787528CF"/>
    <w:rsid w:val="796A1144"/>
    <w:rsid w:val="79FA5AB8"/>
    <w:rsid w:val="7DFBB8BB"/>
    <w:rsid w:val="7E9C6F8B"/>
    <w:rsid w:val="7EAF6DC9"/>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styleId="18">
    <w:name w:val="Body Text First Indent"/>
    <w:basedOn w:val="17"/>
    <w:next w:val="1"/>
    <w:link w:val="203"/>
    <w:qFormat/>
    <w:uiPriority w:val="0"/>
    <w:pPr>
      <w:spacing w:after="120" w:line="240" w:lineRule="auto"/>
      <w:ind w:firstLine="420" w:firstLineChars="100"/>
    </w:pPr>
    <w:rPr>
      <w:rFonts w:eastAsia="宋体"/>
      <w:sz w:val="21"/>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9"/>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200"/>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2"/>
    <w:semiHidden/>
    <w:qFormat/>
    <w:uiPriority w:val="0"/>
    <w:pPr>
      <w:widowControl/>
      <w:spacing w:afterLines="50"/>
    </w:pPr>
    <w:rPr>
      <w:b/>
      <w:bCs/>
      <w:kern w:val="0"/>
      <w:sz w:val="24"/>
      <w:szCs w:val="20"/>
    </w:rPr>
  </w:style>
  <w:style w:type="paragraph" w:styleId="40">
    <w:name w:val="Body Text First Indent 2"/>
    <w:basedOn w:val="19"/>
    <w:link w:val="204"/>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表格文字"/>
    <w:basedOn w:val="1"/>
    <w:qFormat/>
    <w:uiPriority w:val="0"/>
    <w:pPr>
      <w:spacing w:before="25" w:after="25"/>
      <w:jc w:val="left"/>
    </w:pPr>
    <w:rPr>
      <w:bCs/>
      <w:spacing w:val="10"/>
      <w:kern w:val="0"/>
      <w:sz w:val="24"/>
      <w:szCs w:val="20"/>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3"/>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3"/>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3"/>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3"/>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3"/>
    <w:link w:val="26"/>
    <w:semiHidden/>
    <w:qFormat/>
    <w:uiPriority w:val="0"/>
    <w:rPr>
      <w:kern w:val="2"/>
      <w:sz w:val="18"/>
      <w:szCs w:val="18"/>
    </w:rPr>
  </w:style>
  <w:style w:type="character" w:customStyle="1" w:styleId="200">
    <w:name w:val="正文文本缩进 3 Char"/>
    <w:basedOn w:val="43"/>
    <w:link w:val="31"/>
    <w:qFormat/>
    <w:uiPriority w:val="0"/>
    <w:rPr>
      <w:kern w:val="2"/>
      <w:sz w:val="16"/>
      <w:szCs w:val="16"/>
    </w:rPr>
  </w:style>
  <w:style w:type="character" w:customStyle="1" w:styleId="201">
    <w:name w:val="HTML 预设格式 Char"/>
    <w:basedOn w:val="43"/>
    <w:link w:val="35"/>
    <w:qFormat/>
    <w:uiPriority w:val="0"/>
    <w:rPr>
      <w:rFonts w:ascii="黑体" w:hAnsi="Courier New" w:eastAsia="黑体" w:cs="Courier New"/>
    </w:rPr>
  </w:style>
  <w:style w:type="character" w:customStyle="1" w:styleId="202">
    <w:name w:val="批注主题 Char"/>
    <w:basedOn w:val="168"/>
    <w:link w:val="39"/>
    <w:semiHidden/>
    <w:qFormat/>
    <w:uiPriority w:val="0"/>
    <w:rPr>
      <w:rFonts w:eastAsia="宋体"/>
      <w:b/>
      <w:bCs/>
      <w:kern w:val="2"/>
      <w:sz w:val="24"/>
      <w:szCs w:val="24"/>
      <w:lang w:val="en-US" w:eastAsia="zh-CN" w:bidi="ar-SA"/>
    </w:rPr>
  </w:style>
  <w:style w:type="character" w:customStyle="1" w:styleId="203">
    <w:name w:val="正文首行缩进 Char"/>
    <w:basedOn w:val="163"/>
    <w:link w:val="18"/>
    <w:qFormat/>
    <w:uiPriority w:val="0"/>
    <w:rPr>
      <w:rFonts w:eastAsia="仿宋_GB2312"/>
      <w:kern w:val="2"/>
      <w:sz w:val="21"/>
      <w:szCs w:val="24"/>
      <w:lang w:val="en-US" w:eastAsia="zh-CN" w:bidi="ar-SA"/>
    </w:rPr>
  </w:style>
  <w:style w:type="character" w:customStyle="1" w:styleId="204">
    <w:name w:val="正文首行缩进 2 Char"/>
    <w:basedOn w:val="65"/>
    <w:link w:val="40"/>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3"/>
    <w:qFormat/>
    <w:uiPriority w:val="0"/>
    <w:rPr>
      <w:rFonts w:hint="eastAsia" w:ascii="宋体" w:hAnsi="宋体" w:eastAsia="宋体" w:cs="宋体"/>
      <w:color w:val="000000"/>
      <w:sz w:val="22"/>
      <w:szCs w:val="22"/>
      <w:u w:val="none"/>
    </w:rPr>
  </w:style>
  <w:style w:type="character" w:customStyle="1" w:styleId="267">
    <w:name w:val="font11"/>
    <w:basedOn w:val="43"/>
    <w:qFormat/>
    <w:uiPriority w:val="0"/>
    <w:rPr>
      <w:rFonts w:hint="eastAsia" w:ascii="宋体" w:hAnsi="宋体" w:eastAsia="宋体" w:cs="宋体"/>
      <w:color w:val="FF0000"/>
      <w:sz w:val="22"/>
      <w:szCs w:val="22"/>
      <w:u w:val="none"/>
    </w:rPr>
  </w:style>
  <w:style w:type="character" w:customStyle="1" w:styleId="268">
    <w:name w:val="font41"/>
    <w:basedOn w:val="43"/>
    <w:qFormat/>
    <w:uiPriority w:val="0"/>
    <w:rPr>
      <w:rFonts w:hint="default" w:ascii="等线" w:hAnsi="等线" w:eastAsia="等线" w:cs="等线"/>
      <w:color w:val="FF0000"/>
      <w:sz w:val="22"/>
      <w:szCs w:val="22"/>
      <w:u w:val="none"/>
    </w:rPr>
  </w:style>
  <w:style w:type="character" w:customStyle="1" w:styleId="269">
    <w:name w:val="font21"/>
    <w:basedOn w:val="43"/>
    <w:qFormat/>
    <w:uiPriority w:val="0"/>
    <w:rPr>
      <w:rFonts w:hint="default" w:ascii="等线" w:hAnsi="等线" w:eastAsia="等线" w:cs="等线"/>
      <w:color w:val="000000"/>
      <w:sz w:val="22"/>
      <w:szCs w:val="22"/>
      <w:u w:val="none"/>
    </w:rPr>
  </w:style>
  <w:style w:type="character" w:customStyle="1" w:styleId="270">
    <w:name w:val="font51"/>
    <w:basedOn w:val="43"/>
    <w:qFormat/>
    <w:uiPriority w:val="0"/>
    <w:rPr>
      <w:rFonts w:hint="default" w:ascii="等线" w:hAnsi="等线" w:eastAsia="等线" w:cs="等线"/>
      <w:color w:val="FF0000"/>
      <w:sz w:val="22"/>
      <w:szCs w:val="22"/>
      <w:u w:val="none"/>
    </w:rPr>
  </w:style>
  <w:style w:type="character" w:customStyle="1" w:styleId="271">
    <w:name w:val="font61"/>
    <w:basedOn w:val="43"/>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3"/>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3"/>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样式3"/>
    <w:basedOn w:val="23"/>
    <w:qFormat/>
    <w:uiPriority w:val="99"/>
    <w:pPr>
      <w:spacing w:line="240" w:lineRule="atLeast"/>
      <w:outlineLvl w:val="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51497</Words>
  <Characters>54402</Characters>
  <Lines>428</Lines>
  <Paragraphs>120</Paragraphs>
  <TotalTime>1</TotalTime>
  <ScaleCrop>false</ScaleCrop>
  <LinksUpToDate>false</LinksUpToDate>
  <CharactersWithSpaces>57427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2022-11-04T08:06:26Z</dcterms:modified>
  <dc:title>绍兴文理学院计算机机房设备及录播系统供货项目</dc:title>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