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隶书" w:eastAsia="隶书"/>
          <w:sz w:val="44"/>
        </w:rPr>
      </w:pPr>
      <w:r>
        <w:rPr>
          <w:rFonts w:hint="eastAsia" w:ascii="隶书" w:hAnsi="Arial" w:eastAsia="隶书" w:cs="Arial"/>
          <w:b/>
          <w:spacing w:val="-12"/>
          <w:sz w:val="48"/>
          <w:szCs w:val="48"/>
          <w:u w:val="none"/>
        </w:rPr>
        <w:t>绍兴市人民医院工会生日蛋糕券采购项目</w:t>
      </w:r>
    </w:p>
    <w:p>
      <w:pPr>
        <w:outlineLvl w:val="0"/>
        <w:rPr>
          <w:rFonts w:ascii="隶书" w:eastAsia="隶书"/>
          <w:sz w:val="44"/>
        </w:rPr>
      </w:pPr>
    </w:p>
    <w:p>
      <w:pPr>
        <w:jc w:val="center"/>
        <w:outlineLvl w:val="0"/>
        <w:rPr>
          <w:rFonts w:ascii="隶书" w:hAnsi="Arial" w:eastAsia="隶书" w:cs="Arial"/>
          <w:b/>
          <w:sz w:val="72"/>
          <w:szCs w:val="72"/>
        </w:rPr>
      </w:pPr>
      <w:r>
        <w:rPr>
          <w:rFonts w:hint="eastAsia" w:ascii="隶书" w:hAnsi="Arial" w:eastAsia="隶书" w:cs="Arial"/>
          <w:b/>
          <w:sz w:val="72"/>
          <w:szCs w:val="72"/>
        </w:rPr>
        <w:t>公</w:t>
      </w:r>
    </w:p>
    <w:p>
      <w:pPr>
        <w:jc w:val="center"/>
        <w:outlineLvl w:val="0"/>
        <w:rPr>
          <w:rFonts w:ascii="隶书" w:hAnsi="Arial" w:eastAsia="隶书" w:cs="Arial"/>
          <w:b/>
          <w:sz w:val="72"/>
          <w:szCs w:val="72"/>
        </w:rPr>
      </w:pPr>
      <w:r>
        <w:rPr>
          <w:rFonts w:hint="eastAsia" w:ascii="隶书" w:hAnsi="Arial" w:eastAsia="隶书" w:cs="Arial"/>
          <w:b/>
          <w:sz w:val="72"/>
          <w:szCs w:val="72"/>
        </w:rPr>
        <w:t>开</w:t>
      </w:r>
    </w:p>
    <w:p>
      <w:pPr>
        <w:jc w:val="center"/>
        <w:outlineLvl w:val="0"/>
        <w:rPr>
          <w:rFonts w:ascii="隶书" w:hAnsi="Arial" w:eastAsia="隶书" w:cs="Arial"/>
          <w:b/>
          <w:sz w:val="72"/>
          <w:szCs w:val="72"/>
        </w:rPr>
      </w:pPr>
      <w:r>
        <w:rPr>
          <w:rFonts w:hint="eastAsia" w:ascii="隶书" w:hAnsi="Arial" w:eastAsia="隶书" w:cs="Arial"/>
          <w:b/>
          <w:sz w:val="72"/>
          <w:szCs w:val="72"/>
        </w:rPr>
        <w:t>招</w:t>
      </w:r>
    </w:p>
    <w:p>
      <w:pPr>
        <w:jc w:val="center"/>
        <w:outlineLvl w:val="0"/>
        <w:rPr>
          <w:rFonts w:ascii="隶书" w:hAnsi="Arial" w:eastAsia="隶书" w:cs="Arial"/>
          <w:b/>
          <w:sz w:val="72"/>
          <w:szCs w:val="72"/>
        </w:rPr>
      </w:pPr>
      <w:r>
        <w:rPr>
          <w:rFonts w:hint="eastAsia" w:ascii="隶书" w:hAnsi="Arial" w:eastAsia="隶书" w:cs="Arial"/>
          <w:b/>
          <w:sz w:val="72"/>
          <w:szCs w:val="72"/>
        </w:rPr>
        <w:t>标</w:t>
      </w:r>
    </w:p>
    <w:p>
      <w:pPr>
        <w:jc w:val="center"/>
        <w:outlineLvl w:val="0"/>
        <w:rPr>
          <w:rFonts w:ascii="隶书" w:eastAsia="隶书"/>
          <w:b/>
          <w:sz w:val="72"/>
          <w:szCs w:val="72"/>
        </w:rPr>
      </w:pPr>
      <w:r>
        <w:rPr>
          <w:rFonts w:hint="eastAsia" w:ascii="隶书" w:eastAsia="隶书"/>
          <w:b/>
          <w:sz w:val="72"/>
          <w:szCs w:val="72"/>
        </w:rPr>
        <w:t>文</w:t>
      </w:r>
    </w:p>
    <w:p>
      <w:pPr>
        <w:jc w:val="center"/>
        <w:outlineLvl w:val="0"/>
        <w:rPr>
          <w:rFonts w:ascii="隶书" w:eastAsia="隶书"/>
          <w:b/>
          <w:sz w:val="72"/>
          <w:szCs w:val="72"/>
        </w:rPr>
      </w:pPr>
      <w:r>
        <w:rPr>
          <w:rFonts w:hint="eastAsia" w:ascii="隶书" w:eastAsia="隶书"/>
          <w:b/>
          <w:sz w:val="72"/>
          <w:szCs w:val="72"/>
        </w:rPr>
        <w:t>件</w:t>
      </w:r>
    </w:p>
    <w:p>
      <w:pPr>
        <w:jc w:val="both"/>
        <w:rPr>
          <w:rFonts w:ascii="隶书" w:eastAsia="隶书"/>
          <w:b/>
          <w:sz w:val="28"/>
          <w:szCs w:val="28"/>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41"/>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u w:val="single"/>
                <w:lang w:val="en-US" w:eastAsia="zh-CN"/>
              </w:rPr>
            </w:pPr>
            <w:r>
              <w:rPr>
                <w:rFonts w:hint="eastAsia" w:ascii="仿宋" w:hAnsi="仿宋" w:eastAsia="仿宋" w:cs="仿宋"/>
                <w:sz w:val="28"/>
                <w:u w:val="none"/>
                <w:lang w:val="en-US" w:eastAsia="zh-CN"/>
              </w:rPr>
              <w:t>HCZB-2022-015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szCs w:val="28"/>
              </w:rPr>
              <w:t>绍兴市</w:t>
            </w:r>
            <w:bookmarkStart w:id="170" w:name="_GoBack"/>
            <w:bookmarkEnd w:id="170"/>
            <w:r>
              <w:rPr>
                <w:rFonts w:hint="eastAsia" w:ascii="仿宋" w:hAnsi="仿宋" w:eastAsia="仿宋" w:cs="仿宋"/>
                <w:sz w:val="28"/>
                <w:szCs w:val="28"/>
              </w:rPr>
              <w:t>人民医院</w:t>
            </w:r>
            <w:r>
              <w:rPr>
                <w:rFonts w:hint="eastAsia" w:ascii="仿宋" w:hAnsi="仿宋" w:eastAsia="仿宋" w:cs="仿宋"/>
                <w:sz w:val="28"/>
                <w:szCs w:val="28"/>
                <w:lang w:val="en-US" w:eastAsia="zh-CN"/>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bl>
    <w:p>
      <w:pPr>
        <w:jc w:val="center"/>
        <w:rPr>
          <w:rFonts w:hint="eastAsia" w:ascii="仿宋" w:hAnsi="仿宋" w:eastAsia="仿宋" w:cs="仿宋"/>
          <w:sz w:val="28"/>
          <w:u w:val="none" w:color="auto"/>
          <w:lang w:val="en-US"/>
        </w:rPr>
      </w:pPr>
      <w:r>
        <w:rPr>
          <w:rFonts w:hint="eastAsia" w:ascii="仿宋" w:hAnsi="仿宋" w:eastAsia="仿宋" w:cs="仿宋"/>
          <w:sz w:val="28"/>
          <w:u w:val="none" w:color="auto"/>
          <w:lang w:val="en-US" w:eastAsia="zh-CN"/>
        </w:rPr>
        <w:t>二零二三年 一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tabs>
          <w:tab w:val="right" w:pos="9071"/>
        </w:tabs>
        <w:rPr>
          <w:rFonts w:hint="eastAsia" w:ascii="仿宋_GB2312" w:eastAsia="仿宋_GB2312"/>
          <w:b/>
          <w:sz w:val="44"/>
          <w:szCs w:val="44"/>
          <w:lang w:eastAsia="zh-CN"/>
        </w:rPr>
      </w:pPr>
    </w:p>
    <w:p>
      <w:pPr>
        <w:jc w:val="center"/>
        <w:rPr>
          <w:rFonts w:ascii="仿宋_GB2312" w:eastAsia="仿宋_GB2312"/>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 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合同的主要条款</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第六部分    投标文件及其附件格式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pageBreakBefore/>
        <w:widowControl/>
        <w:numPr>
          <w:ilvl w:val="0"/>
          <w:numId w:val="6"/>
        </w:numPr>
        <w:jc w:val="center"/>
        <w:rPr>
          <w:rFonts w:ascii="仿宋_GB2312" w:eastAsia="仿宋_GB2312"/>
          <w:b/>
          <w:sz w:val="36"/>
          <w:szCs w:val="36"/>
        </w:rPr>
      </w:pPr>
      <w:r>
        <w:rPr>
          <w:rFonts w:hint="eastAsia" w:ascii="仿宋_GB2312" w:eastAsia="仿宋_GB2312"/>
          <w:b/>
          <w:sz w:val="36"/>
          <w:szCs w:val="36"/>
        </w:rPr>
        <w:t>招标公告</w:t>
      </w:r>
    </w:p>
    <w:p>
      <w:pPr>
        <w:spacing w:line="360" w:lineRule="auto"/>
        <w:ind w:firstLine="480" w:firstLineChars="200"/>
      </w:pPr>
      <w:r>
        <w:rPr>
          <w:rFonts w:hint="eastAsia" w:ascii="仿宋" w:eastAsia="仿宋" w:cs="Arial"/>
          <w:bCs/>
          <w:sz w:val="24"/>
          <w:u w:val="single"/>
          <w:lang w:val="en-US" w:eastAsia="zh-CN"/>
        </w:rPr>
        <w:t>华诚工程咨询集团有限公司</w:t>
      </w:r>
      <w:r>
        <w:rPr>
          <w:rFonts w:hint="eastAsia" w:ascii="仿宋" w:eastAsia="仿宋" w:cs="Arial"/>
          <w:bCs/>
          <w:sz w:val="24"/>
        </w:rPr>
        <w:t>受</w:t>
      </w:r>
      <w:r>
        <w:rPr>
          <w:rFonts w:hint="eastAsia" w:ascii="仿宋" w:eastAsia="仿宋" w:cs="Arial"/>
          <w:bCs/>
          <w:sz w:val="24"/>
          <w:u w:val="single"/>
        </w:rPr>
        <w:t>绍兴市人民医院</w:t>
      </w:r>
      <w:r>
        <w:rPr>
          <w:rFonts w:hint="eastAsia" w:ascii="仿宋" w:eastAsia="仿宋" w:cs="Arial"/>
          <w:bCs/>
          <w:sz w:val="24"/>
          <w:u w:val="single"/>
          <w:lang w:val="en-US" w:eastAsia="zh-CN"/>
        </w:rPr>
        <w:t>工会</w:t>
      </w:r>
      <w:r>
        <w:rPr>
          <w:rFonts w:hint="eastAsia" w:ascii="仿宋" w:eastAsia="仿宋" w:cs="Arial"/>
          <w:bCs/>
          <w:sz w:val="24"/>
        </w:rPr>
        <w:t>委托，就下列项目进行</w:t>
      </w:r>
      <w:r>
        <w:rPr>
          <w:rFonts w:ascii="仿宋" w:eastAsia="仿宋" w:cs="Arial"/>
          <w:bCs/>
          <w:sz w:val="24"/>
        </w:rPr>
        <w:t>公开招标</w:t>
      </w:r>
      <w:r>
        <w:rPr>
          <w:rFonts w:hint="eastAsia" w:ascii="仿宋" w:eastAsia="仿宋" w:cs="Arial"/>
          <w:bCs/>
          <w:sz w:val="24"/>
        </w:rPr>
        <w:t>，现将有关事项公告如下：</w:t>
      </w:r>
    </w:p>
    <w:tbl>
      <w:tblPr>
        <w:tblStyle w:val="41"/>
        <w:tblW w:w="8279" w:type="dxa"/>
        <w:tblInd w:w="0" w:type="dxa"/>
        <w:tblLayout w:type="fixed"/>
        <w:tblCellMar>
          <w:top w:w="0" w:type="dxa"/>
          <w:left w:w="0" w:type="dxa"/>
          <w:bottom w:w="0" w:type="dxa"/>
          <w:right w:w="0" w:type="dxa"/>
        </w:tblCellMar>
      </w:tblPr>
      <w:tblGrid>
        <w:gridCol w:w="8279"/>
      </w:tblGrid>
      <w:tr>
        <w:tblPrEx>
          <w:tblCellMar>
            <w:top w:w="0" w:type="dxa"/>
            <w:left w:w="0" w:type="dxa"/>
            <w:bottom w:w="0" w:type="dxa"/>
            <w:right w:w="0" w:type="dxa"/>
          </w:tblCellMar>
        </w:tblPrEx>
        <w:tc>
          <w:tcPr>
            <w:tcW w:w="8279" w:type="dxa"/>
            <w:vAlign w:val="center"/>
          </w:tcPr>
          <w:p>
            <w:pPr>
              <w:pStyle w:val="68"/>
              <w:spacing w:afterLines="0" w:line="440" w:lineRule="exact"/>
              <w:ind w:firstLine="480"/>
              <w:jc w:val="left"/>
              <w:rPr>
                <w:rFonts w:ascii="仿宋_GB2312" w:hAnsi="新宋体" w:eastAsia="仿宋_GB2312"/>
                <w:szCs w:val="24"/>
              </w:rPr>
            </w:pPr>
            <w:r>
              <w:rPr>
                <w:rFonts w:hint="eastAsia" w:ascii="仿宋_GB2312" w:hAnsi="新宋体" w:eastAsia="仿宋_GB2312"/>
                <w:szCs w:val="24"/>
              </w:rPr>
              <w:t>一、项目基本情况</w:t>
            </w:r>
          </w:p>
          <w:p>
            <w:pPr>
              <w:pStyle w:val="68"/>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项目编号：HCZB-2022-0</w:t>
            </w:r>
            <w:r>
              <w:rPr>
                <w:rFonts w:hint="eastAsia" w:ascii="仿宋_GB2312" w:hAnsi="新宋体" w:eastAsia="仿宋_GB2312"/>
                <w:szCs w:val="24"/>
                <w:lang w:val="en-US" w:eastAsia="zh-CN"/>
              </w:rPr>
              <w:t>15</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项目名称：绍兴市人民医院工会生日蛋糕券采购项目</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采购方式：公开招标</w:t>
            </w:r>
          </w:p>
          <w:p>
            <w:pPr>
              <w:pStyle w:val="68"/>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预算金额（元）：</w:t>
            </w:r>
            <w:r>
              <w:rPr>
                <w:rFonts w:hint="eastAsia" w:ascii="仿宋_GB2312" w:hAnsi="新宋体" w:eastAsia="仿宋_GB2312"/>
                <w:szCs w:val="24"/>
                <w:lang w:val="en-US" w:eastAsia="zh-CN"/>
              </w:rPr>
              <w:t xml:space="preserve"> 1050000</w:t>
            </w:r>
          </w:p>
          <w:p>
            <w:pPr>
              <w:pStyle w:val="68"/>
              <w:spacing w:afterLines="0" w:line="440" w:lineRule="exact"/>
              <w:ind w:firstLine="480"/>
              <w:rPr>
                <w:rFonts w:hint="eastAsia" w:ascii="仿宋_GB2312" w:hAnsi="新宋体" w:eastAsia="仿宋_GB2312"/>
                <w:szCs w:val="24"/>
                <w:lang w:val="en-US" w:eastAsia="zh-CN"/>
              </w:rPr>
            </w:pPr>
            <w:r>
              <w:rPr>
                <w:rFonts w:hint="eastAsia" w:ascii="仿宋_GB2312" w:hAnsi="新宋体" w:eastAsia="仿宋_GB2312"/>
                <w:szCs w:val="24"/>
              </w:rPr>
              <w:t>最</w:t>
            </w:r>
            <w:r>
              <w:rPr>
                <w:rFonts w:hint="eastAsia" w:ascii="仿宋_GB2312" w:hAnsi="新宋体" w:eastAsia="仿宋_GB2312"/>
                <w:szCs w:val="24"/>
                <w:lang w:val="en-US" w:eastAsia="zh-CN"/>
              </w:rPr>
              <w:t>高</w:t>
            </w:r>
            <w:r>
              <w:rPr>
                <w:rFonts w:hint="eastAsia" w:ascii="仿宋_GB2312" w:hAnsi="新宋体" w:eastAsia="仿宋_GB2312"/>
                <w:szCs w:val="24"/>
              </w:rPr>
              <w:t>限价（元）：</w:t>
            </w:r>
            <w:r>
              <w:rPr>
                <w:rFonts w:hint="eastAsia" w:ascii="仿宋_GB2312" w:hAnsi="新宋体" w:eastAsia="仿宋_GB2312"/>
                <w:szCs w:val="24"/>
                <w:lang w:val="en-US" w:eastAsia="zh-CN"/>
              </w:rPr>
              <w:t xml:space="preserve"> 1050000</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采购需求：</w:t>
            </w:r>
            <w:r>
              <w:rPr>
                <w:rFonts w:hint="eastAsia" w:ascii="仿宋" w:hAnsi="仿宋" w:eastAsia="仿宋" w:cs="仿宋"/>
                <w:color w:val="000000"/>
                <w:sz w:val="24"/>
                <w:szCs w:val="24"/>
              </w:rPr>
              <w:t>详见采购文件</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标项一:</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标项名称:绍兴市人民医院工会生日蛋糕券采购项目</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数量:</w:t>
            </w:r>
            <w:r>
              <w:rPr>
                <w:rFonts w:hint="eastAsia" w:ascii="仿宋_GB2312" w:hAnsi="新宋体" w:eastAsia="仿宋_GB2312"/>
                <w:szCs w:val="24"/>
                <w:lang w:val="en-US" w:eastAsia="zh-CN"/>
              </w:rPr>
              <w:t>1</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预算金额（元）:</w:t>
            </w:r>
            <w:r>
              <w:rPr>
                <w:rFonts w:hint="eastAsia" w:ascii="仿宋_GB2312" w:hAnsi="新宋体" w:eastAsia="仿宋_GB2312"/>
                <w:szCs w:val="24"/>
                <w:lang w:val="en-US" w:eastAsia="zh-CN"/>
              </w:rPr>
              <w:t>1050000</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简要规格描述或项目基本概况介绍、用途：详见采购文件</w:t>
            </w:r>
            <w:r>
              <w:rPr>
                <w:rFonts w:ascii="仿宋_GB2312" w:hAnsi="新宋体" w:eastAsia="仿宋_GB2312"/>
                <w:szCs w:val="24"/>
              </w:rPr>
              <w:t> </w:t>
            </w:r>
            <w:r>
              <w:rPr>
                <w:rFonts w:hint="eastAsia" w:ascii="仿宋_GB2312" w:hAnsi="新宋体" w:eastAsia="仿宋_GB2312"/>
                <w:szCs w:val="24"/>
              </w:rPr>
              <w:br w:type="textWrapping"/>
            </w:r>
            <w:r>
              <w:rPr>
                <w:rFonts w:ascii="仿宋_GB2312" w:hAnsi="新宋体" w:eastAsia="仿宋_GB2312"/>
                <w:szCs w:val="24"/>
              </w:rPr>
              <w:t>  </w:t>
            </w:r>
            <w:r>
              <w:rPr>
                <w:rFonts w:hint="eastAsia" w:ascii="仿宋_GB2312" w:hAnsi="新宋体" w:eastAsia="仿宋_GB2312"/>
                <w:szCs w:val="24"/>
              </w:rPr>
              <w:t>备注：无</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合同履约期限：按双方合同约定条款执行。</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本项目（</w:t>
            </w:r>
            <w:r>
              <w:rPr>
                <w:rFonts w:hint="eastAsia" w:ascii="仿宋_GB2312" w:hAnsi="新宋体" w:eastAsia="仿宋_GB2312"/>
                <w:szCs w:val="24"/>
                <w:lang w:val="en-US" w:eastAsia="zh-CN"/>
              </w:rPr>
              <w:t>否</w:t>
            </w:r>
            <w:r>
              <w:rPr>
                <w:rFonts w:hint="eastAsia" w:ascii="仿宋_GB2312" w:hAnsi="新宋体" w:eastAsia="仿宋_GB2312"/>
                <w:szCs w:val="24"/>
              </w:rPr>
              <w:t>）接受联合体投标。</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二、申请人的资格要求：</w:t>
            </w:r>
          </w:p>
          <w:p>
            <w:pPr>
              <w:pStyle w:val="68"/>
              <w:spacing w:after="120" w:line="440" w:lineRule="exact"/>
              <w:ind w:firstLine="480"/>
              <w:jc w:val="left"/>
              <w:rPr>
                <w:rFonts w:ascii="仿宋_GB2312" w:hAnsi="新宋体" w:eastAsia="仿宋_GB2312"/>
                <w:szCs w:val="24"/>
              </w:rPr>
            </w:pPr>
            <w:r>
              <w:rPr>
                <w:rFonts w:hint="eastAsia" w:ascii="仿宋_GB2312" w:hAnsi="新宋体" w:eastAsia="仿宋_GB2312"/>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68"/>
              <w:spacing w:after="120" w:line="440" w:lineRule="exact"/>
              <w:ind w:firstLine="480"/>
              <w:jc w:val="left"/>
              <w:rPr>
                <w:rFonts w:ascii="仿宋_GB2312" w:hAnsi="新宋体" w:eastAsia="仿宋_GB2312"/>
                <w:color w:val="auto"/>
                <w:szCs w:val="24"/>
              </w:rPr>
            </w:pPr>
            <w:r>
              <w:rPr>
                <w:rFonts w:hint="eastAsia" w:ascii="仿宋_GB2312" w:hAnsi="新宋体" w:eastAsia="仿宋_GB2312"/>
                <w:szCs w:val="24"/>
              </w:rPr>
              <w:t>2.以联合体形式投标的，提供联合体协议</w:t>
            </w:r>
            <w:r>
              <w:rPr>
                <w:rFonts w:hint="eastAsia" w:ascii="仿宋_GB2312" w:hAnsi="新宋体" w:eastAsia="仿宋_GB2312"/>
                <w:color w:val="auto"/>
                <w:szCs w:val="24"/>
              </w:rPr>
              <w:t>（本项目不接受联合体投标或者投标人不以联合体形式投标的，则不需要提供）；</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3.落实政府采购政策需满足的资格要求：</w:t>
            </w:r>
          </w:p>
          <w:p>
            <w:pPr>
              <w:pStyle w:val="68"/>
              <w:spacing w:afterLines="0" w:line="440" w:lineRule="exact"/>
              <w:ind w:firstLine="420"/>
              <w:rPr>
                <w:rFonts w:ascii="仿宋_GB2312" w:hAnsi="新宋体" w:eastAsia="仿宋_GB2312"/>
                <w:szCs w:val="24"/>
              </w:rPr>
            </w:pPr>
            <w:sdt>
              <w:sdtPr>
                <w:rPr>
                  <w:rFonts w:hint="eastAsia" w:ascii="仿宋_GB2312" w:hAnsi="仿宋" w:eastAsia="仿宋_GB2312" w:cs="Arial"/>
                  <w:sz w:val="21"/>
                  <w:szCs w:val="21"/>
                </w:rPr>
                <w:id w:val="725337177"/>
              </w:sdtPr>
              <w:sdtEndPr>
                <w:rPr>
                  <w:rFonts w:hint="eastAsia" w:ascii="仿宋_GB2312" w:hAnsi="仿宋" w:eastAsia="仿宋_GB2312" w:cs="Arial"/>
                  <w:sz w:val="21"/>
                  <w:szCs w:val="21"/>
                </w:rPr>
              </w:sdtEndPr>
              <w:sdtContent>
                <w:r>
                  <w:rPr>
                    <w:rFonts w:hint="eastAsia" w:ascii="仿宋_GB2312" w:hAnsi="MS Gothic" w:eastAsia="仿宋_GB2312" w:cs="Arial"/>
                  </w:rPr>
                  <w:sym w:font="Wingdings" w:char="00FE"/>
                </w:r>
              </w:sdtContent>
            </w:sdt>
            <w:r>
              <w:rPr>
                <w:rFonts w:hint="eastAsia" w:ascii="仿宋_GB2312" w:hAnsi="仿宋" w:eastAsia="仿宋_GB2312"/>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2365989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0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0690290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1"/>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46959412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60369722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要求以联合体形式参加，提供联合协议和中小企业声明函，联合协议中中小企业合同金额应当达到%，小微企业合同金额应当达到%;</w:t>
            </w:r>
            <w:r>
              <w:rPr>
                <w:rFonts w:hint="eastAsia" w:ascii="仿宋_GB2312" w:hAnsi="仿宋" w:eastAsia="仿宋_GB2312"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r>
              <w:rPr>
                <w:rFonts w:hint="eastAsia" w:ascii="仿宋_GB2312" w:hAnsi="仿宋" w:eastAsia="仿宋_GB2312"/>
                <w:sz w:val="24"/>
              </w:rPr>
              <w:t>要求合同分包，提供分包意向协议和中小企业声明函，分包意向协议中中小企业合同金额应当达到达到% ，小微企业合同金额应当达到% ;</w:t>
            </w:r>
            <w:r>
              <w:rPr>
                <w:rFonts w:hint="eastAsia" w:ascii="仿宋_GB2312" w:hAnsi="仿宋" w:eastAsia="仿宋_GB2312" w:cs="宋体"/>
                <w:spacing w:val="8"/>
                <w:kern w:val="0"/>
                <w:sz w:val="24"/>
              </w:rPr>
              <w:t>如果供应商本身提供所有标的均由中小企业制造、承建或承接，视同符合了资格条件，无需再向中小企业分包，无需提供分包意向协议</w:t>
            </w:r>
            <w:r>
              <w:rPr>
                <w:rFonts w:hint="eastAsia" w:ascii="仿宋_GB2312" w:hAnsi="仿宋" w:eastAsia="仿宋_GB2312"/>
                <w:sz w:val="24"/>
              </w:rPr>
              <w:t>；</w:t>
            </w:r>
          </w:p>
          <w:p>
            <w:pPr>
              <w:spacing w:line="360" w:lineRule="auto"/>
              <w:ind w:left="480" w:firstLine="0"/>
              <w:jc w:val="left"/>
              <w:rPr>
                <w:rFonts w:hint="eastAsia" w:ascii="仿宋_GB2312" w:hAnsi="新宋体" w:eastAsia="仿宋_GB2312" w:cs="Times New Roman"/>
                <w:b/>
                <w:bCs/>
                <w:szCs w:val="24"/>
                <w:lang w:val="en-US" w:eastAsia="zh-CN"/>
              </w:rPr>
            </w:pPr>
            <w:r>
              <w:rPr>
                <w:rFonts w:hint="eastAsia" w:ascii="仿宋" w:eastAsia="仿宋" w:cs="宋体"/>
                <w:kern w:val="0"/>
                <w:sz w:val="24"/>
              </w:rPr>
              <w:t>4.本</w:t>
            </w:r>
            <w:r>
              <w:rPr>
                <w:rFonts w:hint="eastAsia" w:ascii="仿宋_GB2312" w:hAnsi="仿宋" w:eastAsia="仿宋_GB2312" w:cs="宋体"/>
                <w:spacing w:val="8"/>
                <w:kern w:val="0"/>
                <w:sz w:val="24"/>
              </w:rPr>
              <w:t>项目的特定资格要求：</w:t>
            </w:r>
            <w:r>
              <w:rPr>
                <w:rFonts w:hint="eastAsia" w:ascii="仿宋_GB2312" w:hAnsi="新宋体" w:eastAsia="仿宋_GB2312"/>
                <w:b/>
                <w:kern w:val="0"/>
                <w:sz w:val="24"/>
              </w:rPr>
              <w:t>在绍兴市越城区二环范围内具有1家及以上蛋糕经营门店（提供门店营业执照复印件，加盖单位公章）</w:t>
            </w:r>
            <w:r>
              <w:rPr>
                <w:rFonts w:hint="eastAsia" w:ascii="仿宋_GB2312" w:hAnsi="新宋体" w:eastAsia="仿宋_GB2312"/>
                <w:kern w:val="0"/>
                <w:sz w:val="24"/>
              </w:rPr>
              <w:t>。</w:t>
            </w:r>
          </w:p>
          <w:p>
            <w:pPr>
              <w:pStyle w:val="68"/>
              <w:spacing w:afterLines="0" w:line="440" w:lineRule="exact"/>
              <w:ind w:firstLine="480"/>
              <w:rPr>
                <w:rFonts w:ascii="仿宋_GB2312" w:hAnsi="新宋体" w:eastAsia="仿宋_GB2312"/>
                <w:szCs w:val="24"/>
              </w:rPr>
            </w:pPr>
            <w:r>
              <w:rPr>
                <w:rFonts w:hint="eastAsia" w:ascii="仿宋_GB2312" w:hAnsi="新宋体" w:eastAsia="仿宋_GB2312"/>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exact"/>
              <w:ind w:firstLine="540" w:firstLineChars="225"/>
              <w:rPr>
                <w:rFonts w:ascii="仿宋" w:eastAsia="仿宋" w:cs="宋体"/>
                <w:kern w:val="0"/>
                <w:sz w:val="24"/>
              </w:rPr>
            </w:pPr>
            <w:r>
              <w:rPr>
                <w:rFonts w:hint="eastAsia" w:ascii="仿宋" w:eastAsia="仿宋" w:cs="Arial"/>
                <w:sz w:val="24"/>
              </w:rPr>
              <w:t>三、资格审查</w:t>
            </w:r>
            <w:r>
              <w:rPr>
                <w:rFonts w:ascii="仿宋" w:eastAsia="仿宋" w:cs="Arial"/>
                <w:sz w:val="24"/>
              </w:rPr>
              <w:t>方式</w:t>
            </w:r>
          </w:p>
          <w:p>
            <w:pPr>
              <w:spacing w:line="480" w:lineRule="exact"/>
              <w:ind w:firstLine="540" w:firstLineChars="225"/>
              <w:rPr>
                <w:rFonts w:ascii="仿宋" w:eastAsia="仿宋" w:cs="Arial"/>
                <w:sz w:val="24"/>
              </w:rPr>
            </w:pPr>
            <w:r>
              <w:rPr>
                <w:rFonts w:hint="eastAsia" w:ascii="仿宋" w:eastAsia="仿宋" w:cs="Arial"/>
                <w:sz w:val="24"/>
              </w:rPr>
              <w:t>1.资格后审。</w:t>
            </w:r>
          </w:p>
          <w:p>
            <w:pPr>
              <w:spacing w:line="480" w:lineRule="exact"/>
              <w:ind w:firstLine="540" w:firstLineChars="225"/>
              <w:rPr>
                <w:rFonts w:ascii="仿宋" w:eastAsia="仿宋" w:cs="Arial"/>
                <w:sz w:val="24"/>
              </w:rPr>
            </w:pPr>
            <w:r>
              <w:rPr>
                <w:rFonts w:hint="eastAsia" w:ascii="仿宋" w:eastAsia="仿宋" w:cs="Arial"/>
                <w:sz w:val="24"/>
              </w:rPr>
              <w:t>四</w:t>
            </w:r>
            <w:r>
              <w:rPr>
                <w:rFonts w:hint="eastAsia" w:ascii="仿宋" w:eastAsia="仿宋" w:cs="Arial"/>
                <w:sz w:val="24"/>
                <w:highlight w:val="none"/>
              </w:rPr>
              <w:t>、获取招标文件时间、地点及方式：</w:t>
            </w:r>
          </w:p>
          <w:p>
            <w:pPr>
              <w:spacing w:line="480" w:lineRule="exact"/>
              <w:ind w:firstLine="540" w:firstLineChars="225"/>
              <w:rPr>
                <w:rFonts w:hint="eastAsia" w:ascii="仿宋" w:eastAsia="仿宋" w:cs="Arial"/>
                <w:sz w:val="24"/>
                <w:lang w:eastAsia="zh-CN"/>
              </w:rPr>
            </w:pPr>
            <w:r>
              <w:rPr>
                <w:rFonts w:hint="eastAsia" w:ascii="仿宋" w:eastAsia="仿宋" w:cs="Arial"/>
                <w:sz w:val="24"/>
              </w:rPr>
              <w:t>1.获取时间及地点：招标公告发出之时</w:t>
            </w:r>
            <w:r>
              <w:rPr>
                <w:rFonts w:hint="eastAsia" w:ascii="仿宋" w:hAnsi="仿宋" w:eastAsia="仿宋" w:cs="Arial"/>
                <w:sz w:val="24"/>
              </w:rPr>
              <w:t>至</w:t>
            </w:r>
            <w:r>
              <w:rPr>
                <w:rFonts w:hint="eastAsia" w:ascii="仿宋" w:hAnsi="仿宋" w:eastAsia="仿宋" w:cs="Arial"/>
                <w:sz w:val="24"/>
                <w:u w:val="single"/>
              </w:rPr>
              <w:t xml:space="preserve"> 202</w:t>
            </w:r>
            <w:r>
              <w:rPr>
                <w:rFonts w:hint="eastAsia" w:ascii="仿宋" w:hAnsi="仿宋" w:eastAsia="仿宋" w:cs="Arial"/>
                <w:sz w:val="24"/>
                <w:u w:val="single"/>
                <w:lang w:val="en-US" w:eastAsia="zh-CN"/>
              </w:rPr>
              <w:t>3</w:t>
            </w:r>
            <w:r>
              <w:rPr>
                <w:rFonts w:hint="eastAsia" w:ascii="仿宋" w:hAnsi="仿宋" w:eastAsia="仿宋" w:cs="Arial"/>
                <w:sz w:val="24"/>
              </w:rPr>
              <w:t>年</w:t>
            </w:r>
            <w:r>
              <w:rPr>
                <w:rFonts w:hint="eastAsia" w:ascii="仿宋" w:hAnsi="仿宋" w:eastAsia="仿宋" w:cs="Arial"/>
                <w:sz w:val="24"/>
                <w:lang w:val="en-US" w:eastAsia="zh-CN"/>
              </w:rPr>
              <w:t xml:space="preserve"> 2 </w:t>
            </w:r>
            <w:r>
              <w:rPr>
                <w:rFonts w:hint="eastAsia" w:ascii="仿宋" w:hAnsi="仿宋" w:eastAsia="仿宋" w:cs="Arial"/>
                <w:sz w:val="24"/>
              </w:rPr>
              <w:t>月</w:t>
            </w:r>
            <w:r>
              <w:rPr>
                <w:rFonts w:hint="eastAsia" w:ascii="仿宋" w:hAnsi="仿宋" w:eastAsia="仿宋" w:cs="Arial"/>
                <w:sz w:val="24"/>
                <w:lang w:val="en-US" w:eastAsia="zh-CN"/>
              </w:rPr>
              <w:t xml:space="preserve"> 9 </w:t>
            </w:r>
            <w:r>
              <w:rPr>
                <w:rFonts w:hint="eastAsia" w:ascii="仿宋" w:hAnsi="仿宋" w:eastAsia="仿宋" w:cs="Arial"/>
                <w:sz w:val="24"/>
              </w:rPr>
              <w:t>日上午8:30—11:30；</w:t>
            </w:r>
            <w:r>
              <w:rPr>
                <w:rFonts w:hint="eastAsia" w:ascii="仿宋" w:eastAsia="仿宋" w:cs="Arial"/>
                <w:sz w:val="24"/>
              </w:rPr>
              <w:t>下午 14:00～17:00 (双休日及法定节假日除外）地址：</w:t>
            </w:r>
            <w:r>
              <w:rPr>
                <w:rFonts w:ascii="仿宋" w:eastAsia="仿宋" w:cs="Arial"/>
                <w:sz w:val="24"/>
              </w:rPr>
              <w:t xml:space="preserve">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eastAsia="zh-CN"/>
              </w:rPr>
              <w:t>。</w:t>
            </w:r>
          </w:p>
          <w:p>
            <w:pPr>
              <w:spacing w:line="480" w:lineRule="exact"/>
              <w:ind w:firstLine="540" w:firstLineChars="225"/>
              <w:rPr>
                <w:rFonts w:hint="default" w:ascii="仿宋" w:eastAsia="仿宋" w:cs="Arial"/>
                <w:sz w:val="24"/>
                <w:lang w:val="en-US" w:eastAsia="zh-CN"/>
              </w:rPr>
            </w:pPr>
            <w:r>
              <w:rPr>
                <w:rFonts w:hint="eastAsia" w:ascii="仿宋" w:eastAsia="仿宋" w:cs="Arial"/>
                <w:sz w:val="24"/>
              </w:rPr>
              <w:t>2</w:t>
            </w:r>
            <w:r>
              <w:rPr>
                <w:rFonts w:hint="eastAsia" w:ascii="仿宋" w:eastAsia="仿宋" w:cs="Arial"/>
                <w:sz w:val="24"/>
                <w:highlight w:val="none"/>
              </w:rPr>
              <w:t>.获取招标文件时需提供以下资料（复印</w:t>
            </w:r>
            <w:r>
              <w:rPr>
                <w:rFonts w:hint="eastAsia" w:ascii="仿宋" w:eastAsia="仿宋" w:cs="Arial"/>
                <w:sz w:val="24"/>
              </w:rPr>
              <w:t>件加盖单位公章）：投标人营业执照</w:t>
            </w:r>
            <w:r>
              <w:rPr>
                <w:rFonts w:hint="eastAsia" w:ascii="仿宋" w:eastAsia="仿宋" w:cs="Arial"/>
                <w:sz w:val="24"/>
                <w:lang w:val="en-US" w:eastAsia="zh-CN"/>
              </w:rPr>
              <w:t>复印件</w:t>
            </w:r>
            <w:r>
              <w:rPr>
                <w:rFonts w:hint="eastAsia" w:ascii="仿宋" w:eastAsia="仿宋" w:cs="Arial"/>
                <w:sz w:val="24"/>
              </w:rPr>
              <w:t>、报名人身份证</w:t>
            </w:r>
            <w:r>
              <w:rPr>
                <w:rFonts w:hint="eastAsia" w:ascii="仿宋" w:eastAsia="仿宋" w:cs="Arial"/>
                <w:sz w:val="24"/>
                <w:lang w:val="en-US" w:eastAsia="zh-CN"/>
              </w:rPr>
              <w:t>复印件</w:t>
            </w:r>
            <w:r>
              <w:rPr>
                <w:rFonts w:hint="eastAsia" w:ascii="仿宋" w:eastAsia="仿宋" w:cs="Arial"/>
                <w:sz w:val="24"/>
              </w:rPr>
              <w:t>、法定代表人授权委托书及联系方式</w:t>
            </w:r>
            <w:r>
              <w:rPr>
                <w:rFonts w:hint="eastAsia" w:ascii="仿宋" w:eastAsia="仿宋" w:cs="Arial"/>
                <w:sz w:val="24"/>
                <w:lang w:eastAsia="zh-CN"/>
              </w:rPr>
              <w:t>（</w:t>
            </w:r>
            <w:r>
              <w:rPr>
                <w:rFonts w:hint="eastAsia" w:ascii="仿宋" w:eastAsia="仿宋" w:cs="Arial"/>
                <w:sz w:val="24"/>
                <w:lang w:val="en-US" w:eastAsia="zh-CN"/>
              </w:rPr>
              <w:t>手机号码和邮箱</w:t>
            </w:r>
            <w:r>
              <w:rPr>
                <w:rFonts w:hint="eastAsia" w:ascii="仿宋" w:eastAsia="仿宋" w:cs="Arial"/>
                <w:sz w:val="24"/>
                <w:lang w:eastAsia="zh-CN"/>
              </w:rPr>
              <w:t>）</w:t>
            </w:r>
            <w:r>
              <w:rPr>
                <w:rFonts w:hint="eastAsia" w:ascii="仿宋" w:eastAsia="仿宋" w:cs="Arial"/>
                <w:sz w:val="24"/>
              </w:rPr>
              <w:t>。</w:t>
            </w:r>
            <w:r>
              <w:rPr>
                <w:rFonts w:hint="eastAsia" w:ascii="仿宋" w:eastAsia="仿宋" w:cs="Arial"/>
                <w:sz w:val="24"/>
                <w:lang w:val="en-US" w:eastAsia="zh-CN"/>
              </w:rPr>
              <w:t>(因疫情期间，接受邮寄，邮寄方式同投标文件邮寄方式。）</w:t>
            </w:r>
          </w:p>
          <w:p>
            <w:pPr>
              <w:spacing w:line="480" w:lineRule="exact"/>
              <w:ind w:firstLine="540" w:firstLineChars="225"/>
              <w:rPr>
                <w:rFonts w:ascii="仿宋" w:eastAsia="仿宋"/>
                <w:sz w:val="24"/>
              </w:rPr>
            </w:pPr>
            <w:r>
              <w:rPr>
                <w:rFonts w:ascii="仿宋" w:eastAsia="仿宋" w:cs="Arial"/>
                <w:sz w:val="24"/>
              </w:rPr>
              <w:t>3</w:t>
            </w:r>
            <w:r>
              <w:rPr>
                <w:rFonts w:hint="eastAsia" w:ascii="仿宋" w:eastAsia="仿宋" w:cs="Arial"/>
                <w:sz w:val="24"/>
              </w:rPr>
              <w:t>.</w:t>
            </w:r>
            <w:r>
              <w:rPr>
                <w:rFonts w:ascii="仿宋" w:eastAsia="仿宋"/>
                <w:sz w:val="24"/>
              </w:rPr>
              <w:t>采购文件售价：</w:t>
            </w:r>
            <w:r>
              <w:rPr>
                <w:rFonts w:hint="eastAsia" w:ascii="仿宋" w:eastAsia="仿宋"/>
                <w:sz w:val="24"/>
              </w:rPr>
              <w:t>免费</w:t>
            </w:r>
            <w:r>
              <w:rPr>
                <w:rFonts w:ascii="仿宋" w:eastAsia="仿宋"/>
                <w:sz w:val="24"/>
              </w:rPr>
              <w:t>。</w:t>
            </w:r>
          </w:p>
          <w:p>
            <w:pPr>
              <w:spacing w:line="440" w:lineRule="exact"/>
              <w:ind w:firstLine="480" w:firstLineChars="200"/>
              <w:rPr>
                <w:rFonts w:ascii="仿宋" w:eastAsia="仿宋"/>
                <w:sz w:val="24"/>
              </w:rPr>
            </w:pPr>
            <w:r>
              <w:rPr>
                <w:rFonts w:hint="eastAsia" w:ascii="仿宋" w:eastAsia="仿宋" w:cs="Arial"/>
                <w:sz w:val="24"/>
              </w:rPr>
              <w:t>五、投标截止时间及地点：</w:t>
            </w:r>
            <w:r>
              <w:rPr>
                <w:rFonts w:hint="eastAsia" w:ascii="仿宋" w:eastAsia="仿宋"/>
                <w:sz w:val="24"/>
              </w:rPr>
              <w:t>供应商应于</w:t>
            </w:r>
            <w:r>
              <w:rPr>
                <w:rFonts w:hint="eastAsia" w:ascii="仿宋" w:eastAsia="仿宋"/>
                <w:sz w:val="24"/>
                <w:u w:val="single"/>
              </w:rPr>
              <w:t>202</w:t>
            </w:r>
            <w:r>
              <w:rPr>
                <w:rFonts w:hint="eastAsia" w:ascii="仿宋" w:eastAsia="仿宋"/>
                <w:sz w:val="24"/>
                <w:u w:val="single"/>
                <w:lang w:val="en-US" w:eastAsia="zh-CN"/>
              </w:rPr>
              <w:t>3</w:t>
            </w:r>
            <w:r>
              <w:rPr>
                <w:rFonts w:hint="eastAsia" w:ascii="仿宋" w:eastAsia="仿宋"/>
                <w:sz w:val="24"/>
              </w:rPr>
              <w:t>年</w:t>
            </w:r>
            <w:r>
              <w:rPr>
                <w:rFonts w:hint="eastAsia" w:ascii="仿宋" w:eastAsia="仿宋"/>
                <w:sz w:val="24"/>
                <w:lang w:val="en-US" w:eastAsia="zh-CN"/>
              </w:rPr>
              <w:t xml:space="preserve"> 2 </w:t>
            </w:r>
            <w:r>
              <w:rPr>
                <w:rFonts w:hint="eastAsia" w:ascii="仿宋" w:eastAsia="仿宋"/>
                <w:sz w:val="24"/>
              </w:rPr>
              <w:t>月</w:t>
            </w:r>
            <w:r>
              <w:rPr>
                <w:rFonts w:hint="eastAsia" w:ascii="仿宋" w:eastAsia="仿宋"/>
                <w:sz w:val="24"/>
                <w:lang w:val="en-US" w:eastAsia="zh-CN"/>
              </w:rPr>
              <w:t>9</w:t>
            </w:r>
            <w:r>
              <w:rPr>
                <w:rFonts w:hint="eastAsia" w:ascii="仿宋" w:eastAsia="仿宋"/>
                <w:sz w:val="24"/>
              </w:rPr>
              <w:t>日</w:t>
            </w:r>
            <w:r>
              <w:rPr>
                <w:rFonts w:hint="eastAsia" w:ascii="仿宋" w:eastAsia="仿宋"/>
                <w:sz w:val="24"/>
                <w:u w:val="single"/>
                <w:lang w:val="en-US" w:eastAsia="zh-CN"/>
              </w:rPr>
              <w:t>14:30</w:t>
            </w:r>
            <w:r>
              <w:rPr>
                <w:rFonts w:hint="eastAsia" w:ascii="仿宋" w:eastAsia="仿宋"/>
                <w:sz w:val="24"/>
                <w:lang w:eastAsia="zh-CN"/>
              </w:rPr>
              <w:t>（</w:t>
            </w:r>
            <w:r>
              <w:rPr>
                <w:rFonts w:hint="eastAsia" w:ascii="仿宋" w:eastAsia="仿宋"/>
                <w:sz w:val="24"/>
                <w:lang w:val="en-US" w:eastAsia="zh-CN"/>
              </w:rPr>
              <w:t>北京时间</w:t>
            </w:r>
            <w:r>
              <w:rPr>
                <w:rFonts w:hint="eastAsia" w:ascii="仿宋" w:eastAsia="仿宋"/>
                <w:sz w:val="24"/>
                <w:lang w:eastAsia="zh-CN"/>
              </w:rPr>
              <w:t>）</w:t>
            </w:r>
            <w:r>
              <w:rPr>
                <w:rFonts w:hint="eastAsia" w:ascii="仿宋" w:eastAsia="仿宋"/>
                <w:sz w:val="24"/>
              </w:rPr>
              <w:t xml:space="preserve">以前将投标文件密封送交到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eastAsia="仿宋"/>
                <w:sz w:val="24"/>
              </w:rPr>
              <w:t>，</w:t>
            </w:r>
            <w:r>
              <w:rPr>
                <w:rFonts w:hint="eastAsia" w:ascii="仿宋" w:eastAsia="仿宋"/>
                <w:b/>
                <w:bCs/>
                <w:sz w:val="24"/>
                <w:lang w:val="en-US" w:eastAsia="zh-CN"/>
              </w:rPr>
              <w:t>未获取招标文件送达</w:t>
            </w:r>
            <w:r>
              <w:rPr>
                <w:rFonts w:hint="eastAsia" w:ascii="仿宋" w:eastAsia="仿宋"/>
                <w:sz w:val="24"/>
                <w:lang w:val="en-US" w:eastAsia="zh-CN"/>
              </w:rPr>
              <w:t>或</w:t>
            </w:r>
            <w:r>
              <w:rPr>
                <w:rFonts w:hint="eastAsia" w:ascii="仿宋" w:eastAsia="仿宋"/>
                <w:sz w:val="24"/>
              </w:rPr>
              <w:t>逾期送达不予接收</w:t>
            </w:r>
            <w:r>
              <w:rPr>
                <w:rFonts w:ascii="仿宋" w:eastAsia="仿宋"/>
                <w:sz w:val="24"/>
              </w:rPr>
              <w:t>。</w:t>
            </w:r>
          </w:p>
          <w:p>
            <w:pPr>
              <w:spacing w:line="440" w:lineRule="exact"/>
              <w:ind w:firstLine="480" w:firstLineChars="200"/>
              <w:rPr>
                <w:rFonts w:ascii="仿宋" w:eastAsia="仿宋"/>
                <w:sz w:val="24"/>
              </w:rPr>
            </w:pPr>
            <w:r>
              <w:rPr>
                <w:rFonts w:hint="eastAsia" w:ascii="仿宋" w:eastAsia="仿宋"/>
                <w:sz w:val="24"/>
              </w:rPr>
              <w:t>投标文件递交方式（以下两种方式可任选一种）：</w:t>
            </w:r>
          </w:p>
          <w:p>
            <w:pPr>
              <w:spacing w:line="440" w:lineRule="exact"/>
              <w:ind w:firstLine="480" w:firstLineChars="200"/>
              <w:rPr>
                <w:rFonts w:hint="default" w:ascii="仿宋" w:eastAsia="仿宋"/>
                <w:sz w:val="24"/>
                <w:lang w:val="en-US" w:eastAsia="zh-CN"/>
              </w:rPr>
            </w:pPr>
            <w:r>
              <w:rPr>
                <w:rFonts w:hint="eastAsia" w:ascii="仿宋" w:eastAsia="仿宋"/>
                <w:sz w:val="24"/>
              </w:rPr>
              <w:t>（1）采用邮寄方式，邮寄公司建议采用EMS或顺丰（包裹外包装上请注明投标单位名称、项目名称、联系人、联系电话等信息，以便工作人员接收登记工作），接收时间以签收时间为准，如在</w:t>
            </w:r>
            <w:r>
              <w:rPr>
                <w:rFonts w:hint="eastAsia" w:ascii="仿宋" w:eastAsia="仿宋"/>
                <w:sz w:val="24"/>
                <w:u w:val="single"/>
                <w:lang w:val="en-US" w:eastAsia="zh-CN"/>
              </w:rPr>
              <w:t>投标截止时间</w:t>
            </w:r>
            <w:r>
              <w:rPr>
                <w:rFonts w:hint="eastAsia" w:ascii="仿宋" w:eastAsia="仿宋"/>
                <w:sz w:val="24"/>
                <w:lang w:val="en-US" w:eastAsia="zh-CN"/>
              </w:rPr>
              <w:t>前</w:t>
            </w:r>
            <w:r>
              <w:rPr>
                <w:rFonts w:hint="eastAsia" w:ascii="仿宋" w:eastAsia="仿宋"/>
                <w:sz w:val="24"/>
              </w:rPr>
              <w:t>未收到投标文件，则作自动放弃投标处理，由投标供应商自行承担责任，邮寄地址：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 xml:space="preserve">二楼开标室 </w:t>
            </w:r>
            <w:r>
              <w:rPr>
                <w:rFonts w:hint="eastAsia" w:ascii="仿宋" w:eastAsia="仿宋"/>
                <w:sz w:val="24"/>
              </w:rPr>
              <w:t>联系人：</w:t>
            </w:r>
            <w:r>
              <w:rPr>
                <w:rFonts w:hint="eastAsia" w:ascii="仿宋" w:eastAsia="仿宋"/>
                <w:sz w:val="24"/>
                <w:lang w:val="en-US" w:eastAsia="zh-CN"/>
              </w:rPr>
              <w:t>毕龙梅</w:t>
            </w:r>
            <w:r>
              <w:rPr>
                <w:rFonts w:hint="eastAsia" w:ascii="仿宋" w:eastAsia="仿宋"/>
                <w:sz w:val="24"/>
              </w:rPr>
              <w:t xml:space="preserve">   电话：</w:t>
            </w:r>
            <w:r>
              <w:rPr>
                <w:rFonts w:hint="eastAsia" w:ascii="仿宋" w:eastAsia="仿宋"/>
                <w:sz w:val="24"/>
                <w:lang w:val="en-US" w:eastAsia="zh-CN"/>
              </w:rPr>
              <w:t>15068545458</w:t>
            </w:r>
          </w:p>
          <w:p>
            <w:pPr>
              <w:spacing w:line="440" w:lineRule="exact"/>
              <w:ind w:firstLine="480" w:firstLineChars="200"/>
              <w:rPr>
                <w:rFonts w:hint="default" w:ascii="仿宋" w:eastAsia="仿宋"/>
                <w:sz w:val="24"/>
                <w:lang w:val="en-US"/>
              </w:rPr>
            </w:pPr>
            <w:r>
              <w:rPr>
                <w:rFonts w:hint="eastAsia" w:ascii="仿宋" w:eastAsia="仿宋"/>
                <w:sz w:val="24"/>
              </w:rPr>
              <w:t>（2）现场递交，供应商应于</w:t>
            </w:r>
            <w:r>
              <w:rPr>
                <w:rFonts w:hint="eastAsia" w:ascii="仿宋" w:eastAsia="仿宋"/>
                <w:sz w:val="24"/>
                <w:u w:val="single"/>
                <w:lang w:val="en-US" w:eastAsia="zh-CN"/>
              </w:rPr>
              <w:t>投标截止时间</w:t>
            </w:r>
            <w:r>
              <w:rPr>
                <w:rFonts w:hint="eastAsia" w:ascii="仿宋" w:eastAsia="仿宋"/>
                <w:sz w:val="24"/>
              </w:rPr>
              <w:t>前将投标文件密封送交</w:t>
            </w:r>
            <w:r>
              <w:rPr>
                <w:rFonts w:hint="eastAsia" w:ascii="仿宋" w:eastAsia="仿宋"/>
                <w:sz w:val="24"/>
                <w:lang w:eastAsia="zh-CN"/>
              </w:rPr>
              <w:t>，</w:t>
            </w:r>
            <w:r>
              <w:rPr>
                <w:rFonts w:hint="eastAsia" w:ascii="仿宋" w:eastAsia="仿宋"/>
                <w:sz w:val="24"/>
              </w:rPr>
              <w:t xml:space="preserve">         逾期送达不予接收，应即交即走，不参加后续开标会。现场递交地址： </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p>
          <w:p>
            <w:pPr>
              <w:spacing w:line="440" w:lineRule="exact"/>
              <w:ind w:firstLine="480" w:firstLineChars="200"/>
              <w:rPr>
                <w:rFonts w:ascii="仿宋" w:eastAsia="仿宋" w:cs="Arial"/>
                <w:sz w:val="24"/>
              </w:rPr>
            </w:pPr>
            <w:r>
              <w:rPr>
                <w:rFonts w:hint="eastAsia" w:ascii="仿宋" w:eastAsia="仿宋" w:cs="Arial"/>
                <w:sz w:val="24"/>
              </w:rPr>
              <w:t>六、开标时间及地点：</w:t>
            </w:r>
            <w:r>
              <w:rPr>
                <w:rFonts w:ascii="仿宋" w:eastAsia="仿宋"/>
                <w:color w:val="000000"/>
                <w:sz w:val="24"/>
              </w:rPr>
              <w:t>同投标截止时间及地点。</w:t>
            </w:r>
            <w:r>
              <w:rPr>
                <w:rFonts w:hint="eastAsia" w:ascii="仿宋" w:eastAsia="仿宋"/>
                <w:sz w:val="24"/>
              </w:rPr>
              <w:t>由于疫情影响采用不见面开标，法定代表人或其授权代表不用出席开标会议。</w:t>
            </w:r>
          </w:p>
          <w:p>
            <w:pPr>
              <w:spacing w:line="440" w:lineRule="exact"/>
              <w:ind w:firstLine="464" w:firstLineChars="200"/>
              <w:jc w:val="left"/>
              <w:rPr>
                <w:rFonts w:ascii="仿宋" w:eastAsia="仿宋" w:cs="Arial"/>
                <w:spacing w:val="-4"/>
                <w:sz w:val="24"/>
              </w:rPr>
            </w:pPr>
            <w:r>
              <w:rPr>
                <w:rFonts w:hint="eastAsia" w:ascii="仿宋" w:eastAsia="仿宋" w:cs="Arial"/>
                <w:spacing w:val="-4"/>
                <w:sz w:val="24"/>
              </w:rPr>
              <w:t>七、</w:t>
            </w:r>
            <w:r>
              <w:rPr>
                <w:rFonts w:ascii="仿宋" w:eastAsia="仿宋" w:cs="Arial"/>
                <w:spacing w:val="-4"/>
                <w:sz w:val="24"/>
              </w:rPr>
              <w:t>采购</w:t>
            </w:r>
            <w:r>
              <w:rPr>
                <w:rFonts w:hint="eastAsia" w:ascii="仿宋" w:eastAsia="仿宋" w:cs="Arial"/>
                <w:spacing w:val="-4"/>
                <w:sz w:val="24"/>
              </w:rPr>
              <w:t>公告</w:t>
            </w:r>
            <w:r>
              <w:rPr>
                <w:rFonts w:ascii="仿宋" w:eastAsia="仿宋" w:cs="Arial"/>
                <w:spacing w:val="-4"/>
                <w:sz w:val="24"/>
              </w:rPr>
              <w:t>及更正公告</w:t>
            </w:r>
            <w:r>
              <w:rPr>
                <w:rFonts w:hint="eastAsia" w:ascii="仿宋" w:eastAsia="仿宋" w:cs="Arial"/>
                <w:spacing w:val="-4"/>
                <w:sz w:val="24"/>
              </w:rPr>
              <w:t>发布</w:t>
            </w:r>
            <w:r>
              <w:rPr>
                <w:rFonts w:ascii="仿宋" w:eastAsia="仿宋" w:cs="Arial"/>
                <w:spacing w:val="-4"/>
                <w:sz w:val="24"/>
              </w:rPr>
              <w:t>网址</w:t>
            </w:r>
            <w:r>
              <w:rPr>
                <w:rFonts w:hint="eastAsia" w:ascii="仿宋" w:eastAsia="仿宋" w:cs="Arial"/>
                <w:spacing w:val="-4"/>
                <w:sz w:val="24"/>
              </w:rPr>
              <w:t>：</w:t>
            </w:r>
            <w:bookmarkStart w:id="0" w:name="_Hlt10553106"/>
            <w:bookmarkEnd w:id="0"/>
            <w:bookmarkStart w:id="1" w:name="_Hlt10553107"/>
            <w:bookmarkEnd w:id="1"/>
          </w:p>
          <w:p>
            <w:pPr>
              <w:spacing w:line="440" w:lineRule="exact"/>
              <w:ind w:firstLine="464" w:firstLineChars="200"/>
              <w:jc w:val="left"/>
              <w:rPr>
                <w:rFonts w:ascii="仿宋" w:eastAsia="仿宋" w:cs="Arial"/>
                <w:color w:val="auto"/>
                <w:sz w:val="24"/>
              </w:rPr>
            </w:pPr>
            <w:r>
              <w:rPr>
                <w:rFonts w:hint="eastAsia" w:ascii="仿宋" w:hAnsi="仿宋" w:eastAsia="仿宋" w:cs="仿宋"/>
                <w:color w:val="auto"/>
                <w:spacing w:val="-4"/>
                <w:sz w:val="24"/>
              </w:rPr>
              <w:t>浙江政府采购网：http://zfcg.czt.zj.gov.cn/,</w:t>
            </w:r>
            <w:r>
              <w:rPr>
                <w:rFonts w:hint="eastAsia" w:ascii="仿宋" w:hAnsi="仿宋" w:eastAsia="仿宋" w:cs="仿宋"/>
                <w:color w:val="auto"/>
                <w:sz w:val="24"/>
              </w:rPr>
              <w:t>绍兴市人民医院官网：</w:t>
            </w:r>
            <w:r>
              <w:rPr>
                <w:color w:val="auto"/>
              </w:rPr>
              <w:fldChar w:fldCharType="begin"/>
            </w:r>
            <w:r>
              <w:rPr>
                <w:color w:val="auto"/>
              </w:rPr>
              <w:instrText xml:space="preserve"> HYPERLINK "http://www.312000.net/" </w:instrText>
            </w:r>
            <w:r>
              <w:rPr>
                <w:color w:val="auto"/>
              </w:rPr>
              <w:fldChar w:fldCharType="separate"/>
            </w:r>
            <w:r>
              <w:rPr>
                <w:rFonts w:hint="eastAsia"/>
                <w:color w:val="auto"/>
                <w:sz w:val="24"/>
              </w:rPr>
              <w:t>http://www.312000.net/</w:t>
            </w:r>
            <w:r>
              <w:rPr>
                <w:rFonts w:hint="eastAsia"/>
                <w:color w:val="auto"/>
                <w:sz w:val="24"/>
              </w:rPr>
              <w:fldChar w:fldCharType="end"/>
            </w:r>
            <w:r>
              <w:rPr>
                <w:rFonts w:hint="eastAsia" w:ascii="仿宋" w:hAnsi="仿宋" w:eastAsia="仿宋" w:cs="仿宋"/>
                <w:color w:val="auto"/>
                <w:sz w:val="24"/>
              </w:rPr>
              <w:t>，绍兴市卫健委官网：</w:t>
            </w:r>
            <w:r>
              <w:rPr>
                <w:rFonts w:ascii="仿宋" w:hAnsi="仿宋" w:eastAsia="仿宋" w:cs="仿宋"/>
                <w:color w:val="auto"/>
                <w:sz w:val="24"/>
              </w:rPr>
              <w:t>http://sxws.sx.gov.cn/</w:t>
            </w:r>
          </w:p>
          <w:p>
            <w:pPr>
              <w:spacing w:line="440" w:lineRule="exact"/>
              <w:ind w:firstLine="464" w:firstLineChars="200"/>
              <w:rPr>
                <w:rFonts w:ascii="仿宋_GB2312" w:hAnsi="新宋体" w:eastAsia="仿宋_GB2312"/>
                <w:color w:val="auto"/>
              </w:rPr>
            </w:pPr>
            <w:r>
              <w:rPr>
                <w:rFonts w:hint="eastAsia" w:ascii="仿宋" w:eastAsia="仿宋"/>
                <w:color w:val="auto"/>
                <w:spacing w:val="-4"/>
                <w:sz w:val="24"/>
              </w:rPr>
              <w:t>八、</w:t>
            </w:r>
            <w:r>
              <w:rPr>
                <w:rFonts w:ascii="仿宋" w:eastAsia="仿宋"/>
                <w:color w:val="auto"/>
                <w:spacing w:val="-4"/>
                <w:sz w:val="24"/>
              </w:rPr>
              <w:t>采购</w:t>
            </w:r>
            <w:r>
              <w:rPr>
                <w:rFonts w:hint="eastAsia" w:ascii="仿宋" w:eastAsia="仿宋"/>
                <w:color w:val="auto"/>
                <w:spacing w:val="-4"/>
                <w:sz w:val="24"/>
              </w:rPr>
              <w:t>公告期限：本公告发布之日起五个工作日。</w:t>
            </w:r>
          </w:p>
          <w:p>
            <w:pPr>
              <w:pStyle w:val="68"/>
              <w:widowControl w:val="0"/>
              <w:snapToGrid/>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九、其他事宜</w:t>
            </w:r>
          </w:p>
          <w:p>
            <w:pPr>
              <w:pStyle w:val="68"/>
              <w:widowControl w:val="0"/>
              <w:snapToGrid/>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68"/>
              <w:widowControl w:val="0"/>
              <w:snapToGrid/>
              <w:spacing w:afterLines="0" w:line="440" w:lineRule="exact"/>
              <w:ind w:firstLine="480"/>
              <w:rPr>
                <w:rFonts w:ascii="仿宋_GB2312" w:hAnsi="新宋体" w:eastAsia="仿宋_GB2312"/>
                <w:szCs w:val="24"/>
              </w:rPr>
            </w:pPr>
            <w:r>
              <w:rPr>
                <w:rFonts w:hint="eastAsia" w:ascii="仿宋_GB2312" w:hAnsi="新宋体" w:eastAsia="仿宋_GB2312"/>
                <w:szCs w:val="24"/>
              </w:rPr>
              <w:t>十、对本次采购提出询问、质疑、投诉，请按以下方式联系</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68"/>
              <w:widowControl w:val="0"/>
              <w:snapToGrid/>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名称：</w:t>
            </w:r>
            <w:r>
              <w:rPr>
                <w:rFonts w:hint="eastAsia" w:ascii="仿宋" w:hAnsi="仿宋" w:eastAsia="仿宋"/>
              </w:rPr>
              <w:t>绍兴市人民医院</w:t>
            </w:r>
            <w:r>
              <w:rPr>
                <w:rFonts w:hint="eastAsia" w:ascii="仿宋" w:hAnsi="仿宋" w:eastAsia="仿宋"/>
                <w:lang w:val="en-US" w:eastAsia="zh-CN"/>
              </w:rPr>
              <w:t>工会</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rPr>
              <w:t>传真： /</w:t>
            </w:r>
          </w:p>
          <w:p>
            <w:pPr>
              <w:pStyle w:val="68"/>
              <w:widowControl w:val="0"/>
              <w:snapToGrid/>
              <w:spacing w:afterLines="0" w:line="440" w:lineRule="exact"/>
              <w:ind w:firstLine="480"/>
              <w:rPr>
                <w:rFonts w:hint="eastAsia" w:ascii="仿宋" w:hAnsi="仿宋" w:eastAsia="仿宋" w:cs="仿宋"/>
                <w:color w:val="000000"/>
                <w:sz w:val="24"/>
                <w:u w:val="none"/>
              </w:rPr>
            </w:pPr>
            <w:r>
              <w:rPr>
                <w:rFonts w:hint="eastAsia" w:ascii="仿宋" w:hAnsi="仿宋" w:eastAsia="仿宋" w:cs="仿宋"/>
                <w:szCs w:val="24"/>
                <w:u w:val="none"/>
              </w:rPr>
              <w:t>项目联系人（询问）：</w:t>
            </w:r>
            <w:r>
              <w:rPr>
                <w:rFonts w:hint="eastAsia" w:ascii="仿宋" w:hAnsi="仿宋" w:eastAsia="仿宋" w:cs="仿宋"/>
                <w:color w:val="000000"/>
                <w:sz w:val="24"/>
                <w:u w:val="none"/>
              </w:rPr>
              <w:t>丁凯</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u w:val="none"/>
              </w:rPr>
              <w:t>项目联系方式（询问）：</w:t>
            </w:r>
            <w:r>
              <w:rPr>
                <w:rFonts w:hint="eastAsia" w:ascii="仿宋" w:hAnsi="仿宋" w:eastAsia="仿宋" w:cs="仿宋"/>
                <w:color w:val="000000"/>
                <w:sz w:val="24"/>
                <w:u w:val="none"/>
              </w:rPr>
              <w:t>0575-</w:t>
            </w:r>
            <w:r>
              <w:rPr>
                <w:rFonts w:hint="eastAsia" w:ascii="仿宋" w:hAnsi="仿宋" w:eastAsia="仿宋" w:cs="仿宋"/>
                <w:color w:val="000000"/>
                <w:sz w:val="24"/>
                <w:u w:val="none"/>
                <w:lang w:val="en-US" w:eastAsia="zh-CN"/>
              </w:rPr>
              <w:t>88559879</w:t>
            </w:r>
          </w:p>
          <w:p>
            <w:pPr>
              <w:pStyle w:val="68"/>
              <w:widowControl w:val="0"/>
              <w:snapToGrid/>
              <w:spacing w:afterLines="0" w:line="440" w:lineRule="exact"/>
              <w:ind w:firstLine="480"/>
              <w:rPr>
                <w:rFonts w:ascii="仿宋" w:hAnsi="仿宋" w:eastAsia="仿宋" w:cs="仿宋"/>
                <w:szCs w:val="24"/>
                <w:u w:val="none"/>
              </w:rPr>
            </w:pPr>
            <w:r>
              <w:rPr>
                <w:rFonts w:hint="eastAsia" w:ascii="仿宋" w:hAnsi="仿宋" w:eastAsia="仿宋" w:cs="仿宋"/>
                <w:szCs w:val="24"/>
                <w:u w:val="none"/>
              </w:rPr>
              <w:t>质疑联系人：</w:t>
            </w:r>
            <w:r>
              <w:rPr>
                <w:rFonts w:hint="eastAsia" w:ascii="仿宋" w:hAnsi="仿宋" w:eastAsia="仿宋" w:cs="仿宋"/>
                <w:szCs w:val="24"/>
                <w:u w:val="none"/>
                <w:lang w:val="en-US" w:eastAsia="zh-CN"/>
              </w:rPr>
              <w:t>绍兴市人民医院监察室</w:t>
            </w:r>
            <w:r>
              <w:rPr>
                <w:rFonts w:hint="eastAsia" w:ascii="仿宋" w:hAnsi="仿宋" w:eastAsia="仿宋" w:cs="仿宋"/>
                <w:szCs w:val="24"/>
                <w:u w:val="none"/>
              </w:rPr>
              <w:t xml:space="preserve">   </w:t>
            </w:r>
          </w:p>
          <w:p>
            <w:pPr>
              <w:pStyle w:val="68"/>
              <w:widowControl w:val="0"/>
              <w:snapToGrid/>
              <w:spacing w:afterLines="0" w:line="440" w:lineRule="exact"/>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szCs w:val="24"/>
                <w:u w:val="none"/>
              </w:rPr>
              <w:t>质疑联系方式：</w:t>
            </w:r>
            <w:r>
              <w:rPr>
                <w:rFonts w:hint="eastAsia" w:ascii="仿宋" w:hAnsi="仿宋" w:eastAsia="仿宋" w:cs="仿宋"/>
                <w:color w:val="auto"/>
                <w:sz w:val="24"/>
                <w:highlight w:val="none"/>
                <w:u w:val="none"/>
                <w:lang w:val="en-US" w:eastAsia="zh-CN"/>
              </w:rPr>
              <w:t>0575-88558890</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2.采购代理机构信息       </w:t>
            </w:r>
          </w:p>
          <w:p>
            <w:pPr>
              <w:pStyle w:val="68"/>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名称：</w:t>
            </w:r>
            <w:r>
              <w:rPr>
                <w:rFonts w:hint="eastAsia" w:ascii="仿宋" w:hAnsi="仿宋" w:eastAsia="仿宋" w:cs="仿宋"/>
                <w:color w:val="000000"/>
                <w:sz w:val="24"/>
                <w:u w:val="none" w:color="auto"/>
                <w:lang w:val="en-US" w:eastAsia="zh-CN"/>
              </w:rPr>
              <w:t>华诚工程咨询集团有限公司</w:t>
            </w:r>
            <w:r>
              <w:rPr>
                <w:rFonts w:hint="eastAsia" w:ascii="仿宋" w:hAnsi="仿宋" w:eastAsia="仿宋" w:cs="仿宋"/>
                <w:szCs w:val="21"/>
                <w:u w:val="none" w:color="auto"/>
              </w:rPr>
              <w:t xml:space="preserve"> </w:t>
            </w:r>
            <w:r>
              <w:rPr>
                <w:rFonts w:hint="eastAsia" w:ascii="仿宋" w:hAnsi="仿宋" w:eastAsia="仿宋" w:cs="仿宋"/>
                <w:szCs w:val="21"/>
              </w:rPr>
              <w:t xml:space="preserve">       </w:t>
            </w:r>
          </w:p>
          <w:p>
            <w:pPr>
              <w:pStyle w:val="68"/>
              <w:widowControl w:val="0"/>
              <w:snapToGrid/>
              <w:spacing w:afterLines="0" w:line="440" w:lineRule="exact"/>
              <w:ind w:firstLine="480"/>
              <w:rPr>
                <w:rFonts w:hint="eastAsia" w:ascii="仿宋" w:hAnsi="仿宋" w:eastAsia="仿宋" w:cs="仿宋"/>
                <w:szCs w:val="24"/>
              </w:rPr>
            </w:pPr>
            <w:r>
              <w:rPr>
                <w:rFonts w:hint="eastAsia" w:ascii="仿宋" w:hAnsi="仿宋" w:eastAsia="仿宋" w:cs="仿宋"/>
                <w:szCs w:val="24"/>
              </w:rPr>
              <w:t>地址：绍兴市越城区越西路800号金德隆商业中心8幢二楼</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68"/>
              <w:widowControl w:val="0"/>
              <w:snapToGrid/>
              <w:spacing w:afterLines="0" w:line="440" w:lineRule="exact"/>
              <w:ind w:firstLine="480"/>
              <w:rPr>
                <w:rFonts w:hint="eastAsia" w:ascii="仿宋" w:hAnsi="仿宋" w:eastAsia="仿宋" w:cs="仿宋"/>
                <w:szCs w:val="21"/>
                <w:lang w:val="en-US" w:eastAsia="zh-CN"/>
              </w:rPr>
            </w:pPr>
            <w:r>
              <w:rPr>
                <w:rFonts w:hint="eastAsia" w:ascii="仿宋" w:hAnsi="仿宋" w:eastAsia="仿宋" w:cs="仿宋"/>
                <w:szCs w:val="24"/>
              </w:rPr>
              <w:t>项目联系人（询问）：</w:t>
            </w:r>
            <w:r>
              <w:rPr>
                <w:rFonts w:hint="eastAsia" w:ascii="仿宋" w:hAnsi="仿宋" w:eastAsia="仿宋" w:cs="仿宋"/>
                <w:szCs w:val="24"/>
                <w:lang w:val="en-US" w:eastAsia="zh-CN"/>
              </w:rPr>
              <w:t>毕龙梅</w:t>
            </w:r>
          </w:p>
          <w:p>
            <w:pPr>
              <w:pStyle w:val="68"/>
              <w:widowControl w:val="0"/>
              <w:snapToGrid/>
              <w:spacing w:afterLines="0" w:line="440" w:lineRule="exact"/>
              <w:ind w:firstLine="480"/>
              <w:rPr>
                <w:rFonts w:hint="default" w:ascii="仿宋" w:hAnsi="仿宋" w:eastAsia="仿宋" w:cs="仿宋"/>
                <w:szCs w:val="24"/>
                <w:lang w:val="en-US" w:eastAsia="zh-CN"/>
              </w:rPr>
            </w:pPr>
            <w:r>
              <w:rPr>
                <w:rFonts w:hint="eastAsia" w:ascii="仿宋" w:hAnsi="仿宋" w:eastAsia="仿宋" w:cs="仿宋"/>
                <w:szCs w:val="24"/>
              </w:rPr>
              <w:t>项目联系方式（询问）：</w:t>
            </w:r>
            <w:r>
              <w:rPr>
                <w:rFonts w:hint="eastAsia" w:ascii="仿宋" w:hAnsi="仿宋" w:eastAsia="仿宋" w:cs="仿宋"/>
                <w:szCs w:val="24"/>
                <w:lang w:val="en-US" w:eastAsia="zh-CN"/>
              </w:rPr>
              <w:t>15068545458</w:t>
            </w:r>
          </w:p>
          <w:p>
            <w:pPr>
              <w:pStyle w:val="68"/>
              <w:widowControl w:val="0"/>
              <w:snapToGrid/>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质疑联系人：</w:t>
            </w:r>
            <w:r>
              <w:rPr>
                <w:rFonts w:ascii="仿宋" w:hAnsi="仿宋" w:eastAsia="仿宋" w:cs="仿宋"/>
                <w:szCs w:val="24"/>
              </w:rPr>
              <w:t xml:space="preserve"> </w:t>
            </w:r>
            <w:r>
              <w:rPr>
                <w:rFonts w:hint="eastAsia" w:ascii="仿宋" w:hAnsi="仿宋" w:eastAsia="仿宋" w:cs="仿宋"/>
                <w:szCs w:val="24"/>
                <w:lang w:val="en-US" w:eastAsia="zh-CN"/>
              </w:rPr>
              <w:t>詹栋炯</w:t>
            </w:r>
          </w:p>
          <w:p>
            <w:pPr>
              <w:pStyle w:val="68"/>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w:t>
            </w:r>
          </w:p>
          <w:p>
            <w:pPr>
              <w:pStyle w:val="68"/>
              <w:widowControl w:val="0"/>
              <w:spacing w:afterLines="0" w:line="312" w:lineRule="auto"/>
              <w:rPr>
                <w:rFonts w:ascii="仿宋" w:hAnsi="仿宋" w:eastAsia="仿宋" w:cs="仿宋"/>
                <w:szCs w:val="24"/>
              </w:rPr>
            </w:pPr>
          </w:p>
          <w:p>
            <w:pPr>
              <w:pStyle w:val="68"/>
              <w:spacing w:afterLines="0" w:line="440" w:lineRule="exact"/>
              <w:ind w:firstLine="480"/>
              <w:rPr>
                <w:rFonts w:ascii="仿宋_GB2312" w:hAnsi="新宋体" w:eastAsia="仿宋_GB2312"/>
                <w:szCs w:val="24"/>
              </w:rPr>
            </w:pPr>
          </w:p>
        </w:tc>
      </w:tr>
      <w:tr>
        <w:tblPrEx>
          <w:tblCellMar>
            <w:top w:w="0" w:type="dxa"/>
            <w:left w:w="0" w:type="dxa"/>
            <w:bottom w:w="0" w:type="dxa"/>
            <w:right w:w="0" w:type="dxa"/>
          </w:tblCellMar>
        </w:tblPrEx>
        <w:tc>
          <w:tcPr>
            <w:tcW w:w="8279" w:type="dxa"/>
            <w:vAlign w:val="center"/>
          </w:tcPr>
          <w:p>
            <w:pPr>
              <w:rPr>
                <w:rFonts w:ascii="仿宋_GB2312" w:hAnsi="新宋体" w:eastAsia="仿宋_GB2312"/>
              </w:rPr>
            </w:pPr>
          </w:p>
        </w:tc>
      </w:tr>
    </w:tbl>
    <w:p>
      <w:pPr>
        <w:widowControl/>
        <w:jc w:val="right"/>
        <w:rPr>
          <w:rFonts w:hint="default" w:ascii="仿宋_GB2312" w:hAnsi="新宋体" w:eastAsia="仿宋_GB2312"/>
          <w:kern w:val="0"/>
          <w:sz w:val="24"/>
          <w:lang w:val="en-US" w:eastAsia="zh-CN"/>
        </w:rPr>
      </w:pPr>
      <w:r>
        <w:rPr>
          <w:rFonts w:hint="eastAsia" w:ascii="仿宋_GB2312" w:hAnsi="新宋体" w:eastAsia="仿宋_GB2312"/>
          <w:kern w:val="0"/>
          <w:sz w:val="24"/>
          <w:lang w:val="en-US" w:eastAsia="zh-CN"/>
        </w:rPr>
        <w:t>公告时间：2023年1 月 19日</w:t>
      </w:r>
    </w:p>
    <w:p>
      <w:pPr>
        <w:pageBreakBefore/>
        <w:ind w:left="238"/>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bookmarkStart w:id="2" w:name="_Hlk47616320"/>
      <w:r>
        <w:rPr>
          <w:rFonts w:hint="eastAsia" w:ascii="仿宋_GB2312" w:hAnsi="宋体" w:eastAsia="仿宋_GB2312"/>
          <w:b/>
          <w:sz w:val="30"/>
          <w:szCs w:val="36"/>
        </w:rPr>
        <w:t>前附表</w:t>
      </w:r>
    </w:p>
    <w:tbl>
      <w:tblPr>
        <w:tblStyle w:val="4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3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370" w:type="dxa"/>
            <w:vAlign w:val="center"/>
          </w:tcPr>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投标人按照项目要求特许资格、资信证明文件（如果有）：</w:t>
            </w:r>
          </w:p>
          <w:p>
            <w:pPr>
              <w:spacing w:line="440" w:lineRule="exact"/>
              <w:ind w:firstLine="480" w:firstLineChars="200"/>
              <w:rPr>
                <w:rFonts w:ascii="仿宋_GB2312" w:hAnsi="宋体"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370" w:type="dxa"/>
            <w:vAlign w:val="center"/>
          </w:tcPr>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资格审查方式：</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1.资格后审。</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370" w:type="dxa"/>
            <w:vAlign w:val="center"/>
          </w:tcPr>
          <w:p>
            <w:pPr>
              <w:autoSpaceDE w:val="0"/>
              <w:autoSpaceDN w:val="0"/>
              <w:spacing w:line="44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_GB2312" w:hAnsi="仿宋" w:eastAsia="仿宋_GB2312" w:cs="仿宋_GB2312"/>
                <w:sz w:val="24"/>
              </w:rPr>
              <w:t>投标有效期为从提交投标文件的截止之日起90天。</w:t>
            </w:r>
            <w:r>
              <w:rPr>
                <w:rFonts w:hint="eastAsia" w:ascii="仿宋_GB2312" w:hAnsi="仿宋" w:eastAsia="仿宋_GB2312" w:cs="仿宋_GB2312"/>
                <w:b/>
                <w:sz w:val="24"/>
              </w:rPr>
              <w:t>投标人的投标文件中承</w:t>
            </w:r>
            <w:r>
              <w:rPr>
                <w:rFonts w:hint="eastAsia" w:ascii="仿宋_GB2312" w:hAnsi="仿宋" w:eastAsia="仿宋_GB2312"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370" w:type="dxa"/>
            <w:vAlign w:val="center"/>
          </w:tcPr>
          <w:p>
            <w:pPr>
              <w:spacing w:line="440" w:lineRule="exact"/>
              <w:rPr>
                <w:rFonts w:ascii="仿宋_GB2312" w:hAnsi="宋体" w:eastAsia="仿宋_GB2312"/>
                <w:sz w:val="24"/>
              </w:rPr>
            </w:pPr>
            <w:r>
              <w:rPr>
                <w:rFonts w:hint="eastAsia" w:ascii="仿宋_GB2312" w:hAnsi="仿宋" w:eastAsia="仿宋_GB2312" w:cs="仿宋_GB2312"/>
                <w:b/>
                <w:sz w:val="24"/>
              </w:rPr>
              <w:t>转包：</w:t>
            </w:r>
            <w:r>
              <w:rPr>
                <w:rFonts w:hint="eastAsia" w:ascii="仿宋_GB2312" w:hAnsi="仿宋" w:eastAsia="仿宋_GB2312" w:cs="仿宋_GB2312"/>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370" w:type="dxa"/>
            <w:vAlign w:val="center"/>
          </w:tcPr>
          <w:p>
            <w:pPr>
              <w:spacing w:line="440" w:lineRule="exact"/>
              <w:rPr>
                <w:rFonts w:ascii="仿宋_GB2312" w:hAnsi="仿宋" w:eastAsia="仿宋_GB2312"/>
                <w:sz w:val="24"/>
              </w:rPr>
            </w:pPr>
            <w:r>
              <w:rPr>
                <w:rFonts w:hint="eastAsia" w:ascii="仿宋_GB2312" w:hAnsi="仿宋" w:eastAsia="仿宋_GB2312" w:cs="仿宋_GB2312"/>
                <w:b/>
                <w:sz w:val="24"/>
              </w:rPr>
              <w:t>分包：</w:t>
            </w: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440" w:lineRule="exact"/>
              <w:ind w:firstLine="720" w:firstLineChars="300"/>
              <w:rPr>
                <w:rFonts w:ascii="仿宋_GB2312" w:hAnsi="仿宋" w:eastAsia="仿宋_GB2312" w:cs="仿宋_GB2312"/>
                <w:b/>
                <w:sz w:val="24"/>
              </w:rPr>
            </w:pPr>
            <w:r>
              <w:rPr>
                <w:rFonts w:ascii="仿宋_GB2312" w:hAnsi="仿宋"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370" w:type="dxa"/>
            <w:vAlign w:val="center"/>
          </w:tcPr>
          <w:p>
            <w:pPr>
              <w:spacing w:line="440" w:lineRule="exact"/>
              <w:rPr>
                <w:rFonts w:ascii="仿宋_GB2312" w:hAnsi="宋体" w:eastAsia="仿宋_GB2312"/>
                <w:sz w:val="24"/>
              </w:rPr>
            </w:pPr>
            <w:r>
              <w:rPr>
                <w:rFonts w:hint="eastAsia" w:ascii="仿宋_GB2312" w:hAnsi="宋体" w:eastAsia="仿宋_GB2312"/>
                <w:b/>
                <w:sz w:val="24"/>
              </w:rPr>
              <w:t>投标文件份数：</w:t>
            </w:r>
            <w:r>
              <w:rPr>
                <w:rFonts w:ascii="仿宋" w:eastAsia="仿宋"/>
                <w:b/>
                <w:sz w:val="24"/>
              </w:rPr>
              <w:t>正本一份，副本</w:t>
            </w:r>
            <w:r>
              <w:rPr>
                <w:rFonts w:hint="eastAsia" w:ascii="仿宋" w:eastAsia="仿宋"/>
                <w:b/>
                <w:sz w:val="24"/>
              </w:rPr>
              <w:t>四</w:t>
            </w:r>
            <w:r>
              <w:rPr>
                <w:rFonts w:ascii="仿宋" w:eastAsia="仿宋"/>
                <w:b/>
                <w:sz w:val="24"/>
              </w:rPr>
              <w:t>份</w:t>
            </w:r>
            <w:r>
              <w:rPr>
                <w:rFonts w:hint="eastAsia" w:ascii="仿宋" w:eastAsia="仿宋"/>
                <w:sz w:val="24"/>
              </w:rPr>
              <w:t>。</w:t>
            </w:r>
            <w:r>
              <w:rPr>
                <w:rFonts w:ascii="仿宋" w:eastAsia="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70" w:type="dxa"/>
            <w:vAlign w:val="center"/>
          </w:tcPr>
          <w:p>
            <w:pPr>
              <w:spacing w:line="44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7</w:t>
            </w:r>
          </w:p>
        </w:tc>
        <w:tc>
          <w:tcPr>
            <w:tcW w:w="8370" w:type="dxa"/>
            <w:vAlign w:val="center"/>
          </w:tcPr>
          <w:p>
            <w:pPr>
              <w:spacing w:line="440" w:lineRule="exact"/>
              <w:rPr>
                <w:rFonts w:ascii="仿宋_GB2312" w:hAnsi="宋体" w:eastAsia="仿宋_GB2312"/>
                <w:b/>
                <w:sz w:val="24"/>
              </w:rPr>
            </w:pPr>
            <w:r>
              <w:rPr>
                <w:rFonts w:hint="eastAsia" w:ascii="仿宋_GB2312" w:hAnsi="宋体" w:eastAsia="仿宋_GB2312"/>
                <w:b/>
                <w:sz w:val="24"/>
              </w:rPr>
              <w:t>样品提供：</w:t>
            </w:r>
          </w:p>
          <w:p>
            <w:pPr>
              <w:spacing w:line="360" w:lineRule="auto"/>
              <w:rPr>
                <w:rFonts w:ascii="仿宋_GB2312" w:hAnsi="仿宋" w:eastAsia="仿宋_GB2312"/>
                <w:sz w:val="24"/>
              </w:rPr>
            </w:pPr>
            <w:sdt>
              <w:sdtPr>
                <w:rPr>
                  <w:rFonts w:hint="eastAsia" w:ascii="仿宋_GB2312" w:hAnsi="仿宋" w:eastAsia="仿宋_GB2312" w:cs="Arial"/>
                  <w:kern w:val="0"/>
                  <w:sz w:val="24"/>
                </w:rPr>
                <w:id w:val="-74078883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hint="eastAsia"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hint="eastAsia" w:ascii="仿宋_GB2312" w:hAnsi="MS Gothic" w:eastAsia="仿宋_GB2312" w:cs="Arial"/>
                <w:kern w:val="0"/>
                <w:sz w:val="24"/>
              </w:rPr>
              <w:sym w:font="Wingdings 2" w:char="0052"/>
            </w:r>
            <w:r>
              <w:rPr>
                <w:rFonts w:hint="eastAsia" w:ascii="仿宋_GB2312" w:hAnsi="仿宋" w:eastAsia="仿宋_GB2312"/>
                <w:kern w:val="0"/>
                <w:sz w:val="24"/>
              </w:rPr>
              <w:t>B要求提供，</w:t>
            </w:r>
          </w:p>
          <w:p>
            <w:pPr>
              <w:numPr>
                <w:ilvl w:val="0"/>
                <w:numId w:val="7"/>
              </w:numPr>
              <w:spacing w:line="360" w:lineRule="auto"/>
              <w:rPr>
                <w:rFonts w:hint="eastAsia" w:ascii="仿宋_GB2312" w:hAnsi="仿宋" w:eastAsia="仿宋_GB2312" w:cs="Times New Roman"/>
                <w:snapToGrid w:val="0"/>
                <w:kern w:val="28"/>
                <w:sz w:val="24"/>
              </w:rPr>
            </w:pPr>
            <w:r>
              <w:rPr>
                <w:rFonts w:hint="eastAsia" w:ascii="仿宋_GB2312" w:hAnsi="仿宋" w:eastAsia="仿宋_GB2312"/>
                <w:snapToGrid w:val="0"/>
                <w:kern w:val="28"/>
                <w:sz w:val="24"/>
              </w:rPr>
              <w:t>样品：</w:t>
            </w:r>
            <w:r>
              <w:rPr>
                <w:rFonts w:hint="eastAsia" w:ascii="仿宋" w:hAnsi="仿宋" w:eastAsia="仿宋" w:cs="仿宋"/>
                <w:bCs/>
                <w:sz w:val="24"/>
              </w:rPr>
              <w:t>6寸生日蛋糕</w:t>
            </w:r>
            <w:r>
              <w:rPr>
                <w:rFonts w:hint="eastAsia" w:ascii="仿宋_GB2312" w:hAnsi="仿宋" w:eastAsia="仿宋_GB2312" w:cs="Times New Roman"/>
                <w:snapToGrid w:val="0"/>
                <w:kern w:val="28"/>
                <w:sz w:val="24"/>
              </w:rPr>
              <w:t>；</w:t>
            </w:r>
          </w:p>
          <w:p>
            <w:pPr>
              <w:numPr>
                <w:ilvl w:val="0"/>
                <w:numId w:val="7"/>
              </w:numPr>
              <w:spacing w:line="360" w:lineRule="auto"/>
              <w:ind w:left="0" w:leftChars="0" w:firstLine="0" w:firstLineChars="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样品制作的标准和要求：</w:t>
            </w:r>
            <w:r>
              <w:rPr>
                <w:rFonts w:hint="eastAsia" w:ascii="仿宋_GB2312" w:hAnsi="仿宋" w:eastAsia="仿宋_GB2312" w:cs="Times New Roman"/>
                <w:snapToGrid w:val="0"/>
                <w:kern w:val="28"/>
                <w:sz w:val="24"/>
                <w:lang w:val="en-US" w:eastAsia="zh-CN"/>
              </w:rPr>
              <w:t>详见采购需求；</w:t>
            </w:r>
          </w:p>
          <w:p>
            <w:pPr>
              <w:numPr>
                <w:ilvl w:val="0"/>
                <w:numId w:val="0"/>
              </w:numPr>
              <w:spacing w:line="360" w:lineRule="auto"/>
              <w:ind w:leftChars="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（3）样品的评审方法以及评审标准：</w:t>
            </w:r>
            <w:r>
              <w:rPr>
                <w:rFonts w:hint="eastAsia" w:ascii="仿宋_GB2312" w:hAnsi="仿宋" w:eastAsia="仿宋_GB2312" w:cs="Times New Roman"/>
                <w:snapToGrid w:val="0"/>
                <w:kern w:val="28"/>
                <w:sz w:val="24"/>
                <w:u w:val="single"/>
              </w:rPr>
              <w:t>详见评标办法</w:t>
            </w:r>
            <w:r>
              <w:rPr>
                <w:rFonts w:hint="eastAsia" w:ascii="仿宋_GB2312" w:hAnsi="仿宋" w:eastAsia="仿宋_GB2312" w:cs="Times New Roman"/>
                <w:snapToGrid w:val="0"/>
                <w:kern w:val="28"/>
                <w:sz w:val="24"/>
              </w:rPr>
              <w:t>；</w:t>
            </w:r>
          </w:p>
          <w:p>
            <w:pPr>
              <w:numPr>
                <w:ilvl w:val="0"/>
                <w:numId w:val="0"/>
              </w:numPr>
              <w:spacing w:line="360" w:lineRule="auto"/>
              <w:rPr>
                <w:rFonts w:ascii="仿宋_GB2312" w:hAnsi="宋体" w:eastAsia="仿宋_GB2312"/>
                <w:b/>
                <w:sz w:val="24"/>
              </w:rPr>
            </w:pPr>
            <w:r>
              <w:rPr>
                <w:rFonts w:hint="eastAsia" w:ascii="仿宋_GB2312" w:hAnsi="仿宋" w:eastAsia="仿宋_GB2312" w:cs="Times New Roman"/>
                <w:snapToGrid w:val="0"/>
                <w:kern w:val="28"/>
                <w:sz w:val="24"/>
              </w:rPr>
              <w:t>（</w:t>
            </w:r>
            <w:r>
              <w:rPr>
                <w:rFonts w:hint="eastAsia" w:ascii="仿宋_GB2312" w:hAnsi="仿宋" w:eastAsia="仿宋_GB2312" w:cs="Times New Roman"/>
                <w:snapToGrid w:val="0"/>
                <w:kern w:val="28"/>
                <w:sz w:val="24"/>
                <w:lang w:val="en-US" w:eastAsia="zh-CN"/>
              </w:rPr>
              <w:t>4</w:t>
            </w:r>
            <w:r>
              <w:rPr>
                <w:rFonts w:hint="eastAsia" w:ascii="仿宋_GB2312" w:hAnsi="仿宋" w:eastAsia="仿宋_GB2312" w:cs="Times New Roman"/>
                <w:snapToGrid w:val="0"/>
                <w:kern w:val="28"/>
                <w:sz w:val="24"/>
              </w:rPr>
              <w:t>）提供样品的时间：</w:t>
            </w:r>
            <w:r>
              <w:rPr>
                <w:rFonts w:hint="eastAsia" w:ascii="仿宋_GB2312" w:hAnsi="仿宋" w:eastAsia="仿宋_GB2312" w:cs="Times New Roman"/>
                <w:snapToGrid w:val="0"/>
                <w:kern w:val="28"/>
                <w:sz w:val="24"/>
                <w:lang w:val="en-US" w:eastAsia="zh-CN"/>
              </w:rPr>
              <w:t>投标截止时间前</w:t>
            </w:r>
            <w:r>
              <w:rPr>
                <w:rFonts w:hint="eastAsia" w:ascii="仿宋_GB2312" w:hAnsi="仿宋" w:eastAsia="仿宋_GB2312" w:cs="Times New Roman"/>
                <w:snapToGrid w:val="0"/>
                <w:kern w:val="28"/>
                <w:sz w:val="24"/>
              </w:rPr>
              <w:t>；地点：绍兴市越城区越西路800号金德隆商业中心8幢二楼；联系人：</w:t>
            </w:r>
            <w:r>
              <w:rPr>
                <w:rFonts w:hint="eastAsia" w:ascii="仿宋_GB2312" w:hAnsi="仿宋" w:eastAsia="仿宋_GB2312" w:cs="Times New Roman"/>
                <w:snapToGrid w:val="0"/>
                <w:kern w:val="28"/>
                <w:sz w:val="24"/>
                <w:lang w:val="en-US" w:eastAsia="zh-CN"/>
              </w:rPr>
              <w:t>毕龙梅</w:t>
            </w:r>
            <w:r>
              <w:rPr>
                <w:rFonts w:hint="eastAsia" w:ascii="仿宋_GB2312" w:hAnsi="仿宋" w:eastAsia="仿宋_GB2312" w:cs="Times New Roman"/>
                <w:snapToGrid w:val="0"/>
                <w:kern w:val="28"/>
                <w:sz w:val="24"/>
              </w:rPr>
              <w:t>，联系电话：</w:t>
            </w:r>
            <w:r>
              <w:rPr>
                <w:rFonts w:hint="eastAsia" w:ascii="仿宋_GB2312" w:hAnsi="仿宋" w:eastAsia="仿宋_GB2312" w:cs="Times New Roman"/>
                <w:snapToGrid w:val="0"/>
                <w:kern w:val="28"/>
                <w:sz w:val="24"/>
                <w:lang w:val="en-US" w:eastAsia="zh-CN"/>
              </w:rPr>
              <w:t>15068545458</w:t>
            </w:r>
            <w:r>
              <w:rPr>
                <w:rFonts w:hint="eastAsia" w:ascii="仿宋_GB2312" w:hAnsi="仿宋" w:eastAsia="仿宋_GB2312" w:cs="Times New Roman"/>
                <w:snapToGrid w:val="0"/>
                <w:kern w:val="28"/>
                <w:sz w:val="24"/>
              </w:rPr>
              <w:t>。请投标人在上述时间内提供样品。超过截止时间的，采购人或采购代理机构将不予接收，并将清场并封闭样品现场。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70" w:type="dxa"/>
            <w:vAlign w:val="center"/>
          </w:tcPr>
          <w:p>
            <w:pPr>
              <w:spacing w:line="44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8</w:t>
            </w:r>
          </w:p>
        </w:tc>
        <w:tc>
          <w:tcPr>
            <w:tcW w:w="8370" w:type="dxa"/>
            <w:vAlign w:val="center"/>
          </w:tcPr>
          <w:p>
            <w:pPr>
              <w:snapToGrid w:val="0"/>
              <w:spacing w:line="440" w:lineRule="exact"/>
              <w:rPr>
                <w:rFonts w:ascii="仿宋_GB2312" w:hAnsi="仿宋" w:eastAsia="仿宋_GB2312"/>
                <w:sz w:val="24"/>
              </w:rPr>
            </w:pPr>
            <w:r>
              <w:rPr>
                <w:rFonts w:hint="eastAsia" w:ascii="仿宋_GB2312" w:hAnsi="仿宋" w:eastAsia="仿宋_GB2312"/>
                <w:sz w:val="24"/>
              </w:rPr>
              <w:t>需要落实的政府采购政策：包括保护环境、节约能源、科技创新、促进中小企业发展等。详见招标文件第二部分总则。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4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9</w:t>
            </w:r>
          </w:p>
        </w:tc>
        <w:tc>
          <w:tcPr>
            <w:tcW w:w="8370" w:type="dxa"/>
            <w:vAlign w:val="center"/>
          </w:tcPr>
          <w:p>
            <w:pPr>
              <w:snapToGrid w:val="0"/>
              <w:spacing w:line="440" w:lineRule="exact"/>
              <w:rPr>
                <w:rFonts w:ascii="仿宋_GB2312" w:hAnsi="仿宋" w:eastAsia="仿宋_GB2312"/>
                <w:sz w:val="24"/>
              </w:rPr>
            </w:pPr>
            <w:r>
              <w:rPr>
                <w:rFonts w:hint="eastAsia" w:ascii="仿宋_GB2312" w:hAnsi="仿宋" w:eastAsia="仿宋_GB2312"/>
                <w:sz w:val="24"/>
              </w:rPr>
              <w:t>更正补充公告请自行</w:t>
            </w:r>
            <w:r>
              <w:rPr>
                <w:rFonts w:hint="eastAsia" w:ascii="仿宋_GB2312" w:hAnsi="仿宋" w:eastAsia="仿宋_GB2312"/>
                <w:color w:val="auto"/>
                <w:sz w:val="24"/>
              </w:rPr>
              <w:t>登录浙江政府采购网,</w:t>
            </w:r>
            <w:r>
              <w:rPr>
                <w:rFonts w:hint="eastAsia" w:ascii="仿宋" w:hAnsi="仿宋" w:eastAsia="仿宋" w:cs="仿宋"/>
                <w:color w:val="auto"/>
                <w:sz w:val="24"/>
              </w:rPr>
              <w:t>绍兴</w:t>
            </w:r>
            <w:r>
              <w:rPr>
                <w:rFonts w:hint="eastAsia" w:ascii="仿宋" w:hAnsi="仿宋" w:eastAsia="仿宋" w:cs="仿宋"/>
                <w:sz w:val="24"/>
              </w:rPr>
              <w:t>市人民医院官网</w:t>
            </w:r>
            <w:r>
              <w:fldChar w:fldCharType="begin"/>
            </w:r>
            <w:r>
              <w:instrText xml:space="preserve"> HYPERLINK "http://www.312000.net/" </w:instrText>
            </w:r>
            <w:r>
              <w:fldChar w:fldCharType="separate"/>
            </w:r>
            <w:r>
              <w:rPr>
                <w:rFonts w:hint="eastAsia"/>
                <w:sz w:val="24"/>
              </w:rPr>
              <w:t>http://www.312000.net/</w:t>
            </w:r>
            <w:r>
              <w:rPr>
                <w:rFonts w:hint="eastAsia"/>
                <w:sz w:val="24"/>
              </w:rPr>
              <w:fldChar w:fldCharType="end"/>
            </w:r>
            <w:r>
              <w:rPr>
                <w:rFonts w:hint="eastAsia"/>
              </w:rPr>
              <w:t>，</w:t>
            </w:r>
            <w:r>
              <w:rPr>
                <w:rFonts w:hint="eastAsia" w:ascii="仿宋" w:hAnsi="仿宋" w:eastAsia="仿宋" w:cs="仿宋"/>
                <w:sz w:val="24"/>
              </w:rPr>
              <w:t>绍兴市卫健委官网</w:t>
            </w:r>
            <w:r>
              <w:rPr>
                <w:rFonts w:ascii="仿宋" w:hAnsi="仿宋" w:eastAsia="仿宋" w:cs="仿宋"/>
                <w:sz w:val="24"/>
              </w:rPr>
              <w:t>http://sxws.sx.gov.cn/</w:t>
            </w:r>
            <w:r>
              <w:rPr>
                <w:rFonts w:hint="eastAsia" w:ascii="仿宋_GB2312" w:hAnsi="仿宋" w:eastAsia="仿宋_GB2312"/>
                <w:sz w:val="24"/>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40" w:lineRule="exact"/>
              <w:jc w:val="center"/>
              <w:rPr>
                <w:rFonts w:hint="eastAsia"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0</w:t>
            </w:r>
          </w:p>
        </w:tc>
        <w:tc>
          <w:tcPr>
            <w:tcW w:w="8370" w:type="dxa"/>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sz w:val="24"/>
              </w:rPr>
            </w:pPr>
            <w:r>
              <w:rPr>
                <w:rFonts w:hint="eastAsia" w:ascii="仿宋" w:hAnsi="仿宋" w:eastAsia="仿宋" w:cs="仿宋"/>
                <w:sz w:val="24"/>
              </w:rPr>
              <w:t>（1）预算金额作为</w:t>
            </w:r>
            <w:r>
              <w:rPr>
                <w:rFonts w:hint="eastAsia" w:ascii="仿宋" w:hAnsi="仿宋" w:eastAsia="仿宋" w:cs="仿宋"/>
                <w:sz w:val="24"/>
                <w:lang w:val="en-US" w:eastAsia="zh-CN"/>
              </w:rPr>
              <w:t>代理</w:t>
            </w:r>
            <w:r>
              <w:rPr>
                <w:rFonts w:hint="eastAsia" w:ascii="仿宋" w:hAnsi="仿宋" w:eastAsia="仿宋" w:cs="仿宋"/>
                <w:sz w:val="24"/>
              </w:rPr>
              <w:t>服务费的计算基数，参照《招标代理服务收费管理暂行办法》计价格[2002]1980号文和发改价格[2011]534号文件收费标准*60%计取，</w:t>
            </w:r>
            <w:r>
              <w:rPr>
                <w:rFonts w:hint="eastAsia" w:ascii="仿宋" w:hAnsi="仿宋" w:eastAsia="仿宋" w:cs="仿宋"/>
                <w:sz w:val="24"/>
                <w:highlight w:val="none"/>
                <w:lang w:val="en-US" w:eastAsia="zh-CN"/>
              </w:rPr>
              <w:t>不足2000元按2000元计取，超过15000元按15000元计。</w:t>
            </w:r>
          </w:p>
          <w:p>
            <w:pPr>
              <w:spacing w:line="340" w:lineRule="exact"/>
              <w:rPr>
                <w:rFonts w:hint="eastAsia" w:ascii="仿宋" w:hAnsi="仿宋" w:eastAsia="仿宋" w:cs="仿宋"/>
                <w:sz w:val="24"/>
              </w:rPr>
            </w:pPr>
            <w:r>
              <w:rPr>
                <w:rFonts w:hint="eastAsia" w:ascii="仿宋" w:hAnsi="仿宋" w:eastAsia="仿宋" w:cs="仿宋"/>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hint="eastAsia"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hint="eastAsia" w:ascii="仿宋" w:hAnsi="仿宋" w:eastAsia="仿宋" w:cs="仿宋"/>
                <w:sz w:val="24"/>
              </w:rPr>
            </w:pPr>
            <w:r>
              <w:rPr>
                <w:rFonts w:hint="eastAsia" w:ascii="仿宋" w:hAnsi="仿宋" w:eastAsia="仿宋" w:cs="仿宋"/>
                <w:sz w:val="24"/>
              </w:rPr>
              <w:t>账  号：95220078801100000315</w:t>
            </w:r>
          </w:p>
          <w:p>
            <w:pPr>
              <w:rPr>
                <w:rFonts w:ascii="MS Gothic" w:hAnsi="MS Gothic" w:cs="宋体"/>
                <w:color w:val="FF0000"/>
                <w:kern w:val="0"/>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2"/>
            <w:vAlign w:val="center"/>
          </w:tcPr>
          <w:p>
            <w:pPr>
              <w:spacing w:line="440" w:lineRule="exact"/>
              <w:rPr>
                <w:rFonts w:ascii="仿宋_GB2312" w:hAnsi="宋体" w:eastAsia="仿宋_GB2312"/>
                <w:sz w:val="24"/>
              </w:rPr>
            </w:pPr>
            <w:r>
              <w:rPr>
                <w:rFonts w:hint="eastAsia" w:ascii="仿宋_GB2312" w:hAnsi="宋体" w:eastAsia="仿宋_GB2312"/>
                <w:sz w:val="24"/>
              </w:rPr>
              <w:t>解释：凡涉及本招标文件的解释权属于采购人和本代理机构。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2"/>
            <w:vAlign w:val="center"/>
          </w:tcPr>
          <w:p>
            <w:pPr>
              <w:spacing w:line="440" w:lineRule="exact"/>
              <w:rPr>
                <w:rFonts w:ascii="仿宋_GB2312" w:eastAsia="仿宋_GB2312"/>
                <w:b/>
                <w:sz w:val="24"/>
              </w:rPr>
            </w:pPr>
            <w:r>
              <w:rPr>
                <w:rFonts w:hint="eastAsia" w:ascii="仿宋_GB2312" w:eastAsia="仿宋_GB2312"/>
                <w:b/>
                <w:sz w:val="24"/>
              </w:rPr>
              <w:t>注：中标人若不按规定签订合同或弃标的，中标人赔偿给采购人中标价</w:t>
            </w:r>
            <w:r>
              <w:rPr>
                <w:rFonts w:ascii="仿宋_GB2312" w:eastAsia="仿宋_GB2312"/>
                <w:b/>
                <w:sz w:val="24"/>
              </w:rPr>
              <w:t>5</w:t>
            </w:r>
            <w:r>
              <w:rPr>
                <w:rFonts w:hint="eastAsia" w:ascii="仿宋_GB2312" w:eastAsia="仿宋_GB2312"/>
                <w:b/>
                <w:sz w:val="24"/>
              </w:rPr>
              <w:t>%费用及由此带来的损失</w:t>
            </w:r>
            <w:r>
              <w:rPr>
                <w:rFonts w:hint="eastAsia" w:ascii="仿宋_GB2312" w:eastAsia="仿宋_GB2312"/>
                <w:b/>
                <w:sz w:val="24"/>
                <w:lang w:eastAsia="zh-CN"/>
              </w:rPr>
              <w:t>，</w:t>
            </w:r>
            <w:r>
              <w:rPr>
                <w:rFonts w:hint="eastAsia" w:ascii="仿宋_GB2312" w:eastAsia="仿宋_GB2312"/>
                <w:b/>
                <w:sz w:val="24"/>
                <w:lang w:val="en-US" w:eastAsia="zh-CN"/>
              </w:rPr>
              <w:t>且</w:t>
            </w:r>
            <w:r>
              <w:rPr>
                <w:rFonts w:hint="eastAsia" w:ascii="仿宋_GB2312" w:hAnsi="宋体" w:eastAsia="仿宋_GB2312"/>
                <w:b/>
                <w:sz w:val="24"/>
              </w:rPr>
              <w:t>需承担代理费和专家评审费等费用</w:t>
            </w:r>
            <w:r>
              <w:rPr>
                <w:rFonts w:hint="eastAsia" w:ascii="仿宋_GB2312" w:eastAsia="仿宋_GB2312"/>
                <w:b/>
                <w:sz w:val="24"/>
              </w:rPr>
              <w:t>。</w:t>
            </w:r>
          </w:p>
        </w:tc>
      </w:tr>
      <w:bookmarkEnd w:id="2"/>
    </w:tbl>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sz w:val="24"/>
        </w:rPr>
      </w:pPr>
      <w:r>
        <w:rPr>
          <w:rFonts w:hint="eastAsia" w:ascii="仿宋_GB2312" w:hAnsi="宋体" w:eastAsia="仿宋_GB2312"/>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sz w:val="24"/>
        </w:rPr>
      </w:pPr>
      <w:r>
        <w:rPr>
          <w:rFonts w:hint="eastAsia" w:ascii="仿宋_GB2312" w:hAnsi="宋体" w:eastAsia="仿宋_GB2312"/>
          <w:sz w:val="24"/>
        </w:rPr>
        <w:t>1.4本招标文件所称公章是指单位法定名称章或者冠以法定名称的投标业务专用章。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ind w:left="120" w:hanging="120" w:hangingChars="50"/>
        <w:jc w:val="left"/>
        <w:rPr>
          <w:rFonts w:ascii="仿宋_GB2312" w:hAnsi="宋体" w:eastAsia="仿宋_GB2312"/>
          <w:sz w:val="24"/>
        </w:rPr>
      </w:pPr>
      <w:r>
        <w:rPr>
          <w:rFonts w:hint="eastAsia" w:ascii="仿宋_GB2312" w:hAnsi="仿宋_GB2312" w:eastAsia="仿宋_GB2312" w:cs="仿宋_GB2312"/>
          <w:sz w:val="24"/>
        </w:rPr>
        <w:t>2.1政府采购当事人及监管部门：绍兴市人民医院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sz w:val="24"/>
        </w:rPr>
        <w:t>为本项目的采购人（合同中的甲方），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华诚工程咨询集团</w:t>
      </w:r>
      <w:r>
        <w:rPr>
          <w:rFonts w:hint="eastAsia" w:ascii="仿宋_GB2312" w:hAnsi="仿宋_GB2312" w:eastAsia="仿宋_GB2312" w:cs="仿宋_GB2312"/>
          <w:sz w:val="24"/>
          <w:u w:val="single"/>
        </w:rPr>
        <w:t>有</w:t>
      </w:r>
      <w:r>
        <w:rPr>
          <w:rFonts w:hint="eastAsia" w:ascii="仿宋_GB2312" w:hAnsi="仿宋_GB2312" w:eastAsia="仿宋_GB2312" w:cs="仿宋_GB2312"/>
          <w:color w:val="auto"/>
          <w:sz w:val="24"/>
          <w:highlight w:val="none"/>
          <w:u w:val="single"/>
        </w:rPr>
        <w:t>限公司</w:t>
      </w:r>
      <w:r>
        <w:rPr>
          <w:rFonts w:hint="eastAsia" w:ascii="仿宋_GB2312" w:hAnsi="仿宋_GB2312" w:eastAsia="仿宋_GB2312" w:cs="仿宋_GB2312"/>
          <w:color w:val="auto"/>
          <w:sz w:val="24"/>
          <w:highlight w:val="none"/>
        </w:rPr>
        <w:t>为采购代理机构，响应</w:t>
      </w:r>
      <w:r>
        <w:rPr>
          <w:rFonts w:hint="eastAsia" w:ascii="仿宋_GB2312" w:hAnsi="仿宋_GB2312" w:eastAsia="仿宋_GB2312" w:cs="仿宋_GB2312"/>
          <w:sz w:val="24"/>
        </w:rPr>
        <w:t>招标、参加投标竞争的法人、其他组织或者自然人为投标人，经评审产生并经批准的投标人为中标候选人，经公告无异议，并签订合同后的中标人为供应商（合同中的乙方）。</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napToGrid w:val="0"/>
        <w:spacing w:line="440" w:lineRule="exact"/>
        <w:jc w:val="left"/>
        <w:rPr>
          <w:rFonts w:ascii="仿宋_GB2312" w:hAnsi="仿宋" w:eastAsia="仿宋_GB2312"/>
          <w:sz w:val="24"/>
        </w:rPr>
      </w:pPr>
      <w:r>
        <w:rPr>
          <w:rFonts w:hint="eastAsia" w:ascii="仿宋_GB2312" w:hAnsi="宋体" w:eastAsia="仿宋_GB2312"/>
          <w:sz w:val="24"/>
        </w:rPr>
        <w:t>2.6“★”系指实质性指标要求条款，“▲”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napToGrid w:val="0"/>
        <w:spacing w:line="440" w:lineRule="exact"/>
        <w:jc w:val="left"/>
        <w:rPr>
          <w:rFonts w:ascii="仿宋_GB2312" w:hAnsi="宋体" w:eastAsia="仿宋_GB2312"/>
          <w:sz w:val="24"/>
        </w:rPr>
      </w:pPr>
      <w:r>
        <w:rPr>
          <w:rFonts w:hint="eastAsia" w:ascii="仿宋_GB2312" w:hAnsi="仿宋" w:eastAsia="仿宋_GB2312"/>
          <w:sz w:val="24"/>
        </w:rPr>
        <w:t>2.7因特殊原因需要使用冠以法定名称的业务专用章的，投标时须提供《业务专用章使用说明函》(详见附件)。</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3修缮、装修类项目采购建材的，采购人应将绿色建筑和绿色建材性能、指标等作为实质性条件纳入招标文件和合同。</w:t>
      </w:r>
    </w:p>
    <w:p>
      <w:pPr>
        <w:spacing w:line="440" w:lineRule="exact"/>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440" w:lineRule="exact"/>
        <w:rPr>
          <w:rFonts w:ascii="仿宋_GB2312" w:hAnsi="仿宋" w:eastAsia="仿宋_GB2312"/>
          <w:sz w:val="24"/>
        </w:rPr>
      </w:pPr>
      <w:r>
        <w:rPr>
          <w:rFonts w:hint="eastAsia" w:ascii="仿宋_GB2312" w:hAnsi="宋体" w:eastAsia="仿宋_GB2312"/>
          <w:sz w:val="24"/>
        </w:rPr>
        <w:t>★</w:t>
      </w: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rPr>
          <w:rFonts w:ascii="仿宋_GB2312" w:hAnsi="仿宋" w:eastAsia="仿宋_GB2312"/>
          <w:sz w:val="24"/>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1．招标方式</w:t>
      </w:r>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pStyle w:val="19"/>
        <w:snapToGrid w:val="0"/>
        <w:spacing w:after="0" w:line="440" w:lineRule="exact"/>
        <w:ind w:left="0" w:leftChars="0"/>
        <w:jc w:val="left"/>
        <w:rPr>
          <w:rFonts w:ascii="仿宋_GB2312" w:hAnsi="宋体" w:eastAsia="仿宋_GB2312"/>
          <w:b/>
          <w:sz w:val="24"/>
        </w:rPr>
      </w:pPr>
      <w:r>
        <w:rPr>
          <w:rFonts w:hint="eastAsia" w:ascii="仿宋_GB2312" w:hAnsi="宋体" w:eastAsia="仿宋_GB2312"/>
          <w:b/>
          <w:sz w:val="24"/>
        </w:rPr>
        <w:t>2.投标委托</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本项目为邮寄</w:t>
      </w:r>
      <w:r>
        <w:rPr>
          <w:rFonts w:hint="eastAsia" w:ascii="仿宋_GB2312" w:hAnsi="新宋体" w:eastAsia="仿宋_GB2312"/>
          <w:sz w:val="24"/>
        </w:rPr>
        <w:t>（建议使用EMS邮寄或顺丰）</w:t>
      </w:r>
      <w:r>
        <w:rPr>
          <w:rFonts w:hint="eastAsia" w:ascii="仿宋_GB2312" w:hAnsi="宋体" w:eastAsia="仿宋_GB2312"/>
          <w:sz w:val="24"/>
        </w:rPr>
        <w:t>或现场送达（即交即走）的方式递交投标文件，投标人的法定代表人或其授权代表或个体工商户不需要参加现场投标和开标。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3"/>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w:t>
      </w:r>
      <w:r>
        <w:rPr>
          <w:rFonts w:hint="eastAsia" w:ascii="仿宋_GB2312" w:hAnsi="宋体" w:eastAsia="仿宋_GB2312"/>
          <w:b/>
          <w:bCs/>
        </w:rPr>
        <w:t>中标人须向采购代理机构交纳采购代理服务费。</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招标文件包括本招标文件及所有的招标答疑记录（澄清、修改）和发出的补充通知</w:t>
      </w:r>
      <w:r>
        <w:rPr>
          <w:rFonts w:hint="eastAsia" w:ascii="仿宋_GB2312" w:hAnsi="宋体" w:eastAsia="仿宋_GB2312"/>
          <w:sz w:val="24"/>
        </w:rPr>
        <w:t>。</w:t>
      </w:r>
    </w:p>
    <w:p>
      <w:pPr>
        <w:pStyle w:val="13"/>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3"/>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5.参考品牌</w:t>
      </w:r>
    </w:p>
    <w:p>
      <w:pPr>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8"/>
        </w:numPr>
        <w:snapToGrid w:val="0"/>
        <w:spacing w:line="440" w:lineRule="exact"/>
        <w:jc w:val="left"/>
        <w:rPr>
          <w:rFonts w:ascii="仿宋" w:eastAsia="仿宋"/>
          <w:b/>
          <w:sz w:val="24"/>
        </w:rPr>
      </w:pPr>
      <w:r>
        <w:rPr>
          <w:rFonts w:hint="eastAsia" w:ascii="仿宋_GB2312" w:hAnsi="宋体" w:eastAsia="仿宋_GB2312"/>
          <w:b/>
          <w:sz w:val="24"/>
        </w:rPr>
        <w:t>投标文件的语言、计量单位</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 w:eastAsia="仿宋"/>
          <w:sz w:val="24"/>
        </w:rPr>
      </w:pPr>
      <w:r>
        <w:rPr>
          <w:rFonts w:hint="eastAsia" w:ascii="仿宋_GB2312" w:hAnsi="宋体" w:eastAsia="仿宋_GB2312"/>
          <w:sz w:val="24"/>
        </w:rPr>
        <w:t>1.4不按招标文件的要求提供的投标文件可能导致被拒绝。</w:t>
      </w:r>
    </w:p>
    <w:p>
      <w:pPr>
        <w:numPr>
          <w:ilvl w:val="0"/>
          <w:numId w:val="8"/>
        </w:numPr>
        <w:snapToGrid w:val="0"/>
        <w:spacing w:line="440" w:lineRule="exact"/>
        <w:jc w:val="left"/>
        <w:rPr>
          <w:rFonts w:ascii="仿宋" w:eastAsia="仿宋"/>
          <w:b/>
          <w:sz w:val="24"/>
        </w:rPr>
      </w:pPr>
      <w:r>
        <w:rPr>
          <w:rFonts w:hint="eastAsia" w:ascii="仿宋" w:eastAsia="仿宋"/>
          <w:b/>
          <w:sz w:val="24"/>
        </w:rPr>
        <w:t>投标文件的</w:t>
      </w:r>
      <w:r>
        <w:rPr>
          <w:rFonts w:ascii="仿宋" w:eastAsia="仿宋"/>
          <w:b/>
          <w:sz w:val="24"/>
        </w:rPr>
        <w:t>组成</w:t>
      </w:r>
    </w:p>
    <w:p>
      <w:pPr>
        <w:snapToGrid w:val="0"/>
        <w:spacing w:line="440" w:lineRule="exact"/>
        <w:ind w:firstLine="479"/>
        <w:jc w:val="left"/>
        <w:rPr>
          <w:rFonts w:ascii="仿宋" w:eastAsia="仿宋"/>
          <w:sz w:val="24"/>
        </w:rPr>
      </w:pPr>
      <w:r>
        <w:rPr>
          <w:rFonts w:hint="eastAsia" w:ascii="仿宋_GB2312" w:hAnsi="宋体" w:eastAsia="仿宋_GB2312"/>
          <w:sz w:val="24"/>
        </w:rPr>
        <w:t>投标文件由“报价文件资料”、“商务技术（资信）文件资料”两部分组成</w:t>
      </w:r>
      <w:r>
        <w:rPr>
          <w:rFonts w:ascii="仿宋" w:eastAsia="仿宋"/>
          <w:sz w:val="24"/>
        </w:rPr>
        <w:t>：</w:t>
      </w:r>
    </w:p>
    <w:p>
      <w:pPr>
        <w:snapToGrid w:val="0"/>
        <w:spacing w:line="440" w:lineRule="exact"/>
        <w:jc w:val="left"/>
        <w:rPr>
          <w:rFonts w:ascii="仿宋" w:eastAsia="仿宋"/>
          <w:b/>
          <w:bCs/>
          <w:sz w:val="24"/>
        </w:rPr>
      </w:pPr>
      <w:r>
        <w:rPr>
          <w:rFonts w:hint="eastAsia" w:ascii="仿宋" w:eastAsia="仿宋"/>
          <w:b/>
          <w:bCs/>
          <w:sz w:val="24"/>
        </w:rPr>
        <w:t>2.1“报价文件资料”包括以下内容：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 xml:space="preserve">2.1.1投标响应函（格式见第六部分附件）； </w:t>
      </w:r>
    </w:p>
    <w:p>
      <w:pPr>
        <w:snapToGrid w:val="0"/>
        <w:spacing w:line="440" w:lineRule="exact"/>
        <w:jc w:val="left"/>
        <w:rPr>
          <w:rFonts w:ascii="仿宋" w:hAnsi="仿宋" w:eastAsia="仿宋"/>
          <w:sz w:val="24"/>
        </w:rPr>
      </w:pPr>
      <w:r>
        <w:rPr>
          <w:rFonts w:hint="eastAsia" w:ascii="仿宋" w:hAnsi="仿宋" w:eastAsia="仿宋"/>
          <w:sz w:val="24"/>
        </w:rPr>
        <w:t>2.1.2开标一览表（格式见第六部分附件）；</w:t>
      </w:r>
    </w:p>
    <w:p>
      <w:pPr>
        <w:pStyle w:val="24"/>
        <w:spacing w:line="440" w:lineRule="exact"/>
        <w:rPr>
          <w:rFonts w:ascii="仿宋" w:hAnsi="仿宋" w:eastAsia="仿宋"/>
          <w:b w:val="0"/>
          <w:sz w:val="24"/>
        </w:rPr>
      </w:pPr>
      <w:r>
        <w:rPr>
          <w:rFonts w:hint="eastAsia" w:ascii="仿宋" w:hAnsi="仿宋" w:eastAsia="仿宋"/>
          <w:b w:val="0"/>
          <w:sz w:val="24"/>
        </w:rPr>
        <w:t>2.1.3中小企业声明函（如有，格式见第六部分附件）；</w:t>
      </w:r>
    </w:p>
    <w:p>
      <w:pPr>
        <w:pStyle w:val="24"/>
        <w:spacing w:line="440" w:lineRule="exact"/>
        <w:rPr>
          <w:rFonts w:ascii="仿宋" w:hAnsi="仿宋" w:eastAsia="仿宋"/>
          <w:b w:val="0"/>
          <w:sz w:val="24"/>
        </w:rPr>
      </w:pPr>
      <w:r>
        <w:rPr>
          <w:rFonts w:hint="eastAsia" w:ascii="仿宋" w:hAnsi="仿宋" w:eastAsia="仿宋"/>
          <w:b w:val="0"/>
          <w:sz w:val="24"/>
        </w:rPr>
        <w:t>2.1.4残疾人福利性单位声明函（如有，格式见第六部分附件）。</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以上文件组成“报价文件资料”。投标人在“报价文件资料”中应对招标文件作实质性响应，该项内容将作为评标重要指标。</w:t>
      </w:r>
    </w:p>
    <w:p>
      <w:pPr>
        <w:snapToGrid w:val="0"/>
        <w:spacing w:line="440" w:lineRule="exact"/>
        <w:jc w:val="left"/>
        <w:rPr>
          <w:rFonts w:ascii="仿宋" w:eastAsia="仿宋"/>
          <w:b/>
          <w:bCs/>
          <w:sz w:val="24"/>
        </w:rPr>
      </w:pPr>
      <w:r>
        <w:rPr>
          <w:rFonts w:hint="eastAsia" w:ascii="仿宋" w:eastAsia="仿宋"/>
          <w:b/>
          <w:bCs/>
          <w:sz w:val="24"/>
        </w:rPr>
        <w:t>2.2“</w:t>
      </w:r>
      <w:r>
        <w:rPr>
          <w:rFonts w:ascii="仿宋" w:eastAsia="仿宋"/>
          <w:b/>
          <w:bCs/>
          <w:sz w:val="24"/>
        </w:rPr>
        <w:t>商务技术</w:t>
      </w:r>
      <w:r>
        <w:rPr>
          <w:rFonts w:hint="eastAsia" w:ascii="仿宋" w:eastAsia="仿宋"/>
          <w:b/>
          <w:bCs/>
          <w:sz w:val="24"/>
        </w:rPr>
        <w:t>(资信)</w:t>
      </w:r>
      <w:r>
        <w:rPr>
          <w:rFonts w:ascii="仿宋" w:eastAsia="仿宋"/>
          <w:b/>
          <w:bCs/>
          <w:sz w:val="24"/>
        </w:rPr>
        <w:t>文件</w:t>
      </w:r>
      <w:r>
        <w:rPr>
          <w:rFonts w:hint="eastAsia" w:ascii="仿宋" w:eastAsia="仿宋"/>
          <w:b/>
          <w:bCs/>
          <w:sz w:val="24"/>
        </w:rPr>
        <w:t>资料”包括以下内容（正本用原件）：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2.2.1法定代表人授权委托书(格式见第六部分附件)；</w:t>
      </w:r>
    </w:p>
    <w:p>
      <w:pPr>
        <w:snapToGrid w:val="0"/>
        <w:spacing w:line="440" w:lineRule="exact"/>
        <w:jc w:val="left"/>
        <w:rPr>
          <w:rFonts w:hint="eastAsia" w:ascii="仿宋_GB2312" w:hAnsi="宋体" w:eastAsia="仿宋_GB2312"/>
          <w:sz w:val="24"/>
        </w:rPr>
      </w:pPr>
      <w:r>
        <w:rPr>
          <w:rFonts w:hint="eastAsia" w:ascii="仿宋_GB2312" w:hAnsi="宋体" w:eastAsia="仿宋_GB2312"/>
          <w:sz w:val="24"/>
        </w:rPr>
        <w:t>2.2.2授权代表社保证明（格式见第六部分附件）；</w:t>
      </w:r>
    </w:p>
    <w:p>
      <w:pPr>
        <w:snapToGrid w:val="0"/>
        <w:spacing w:line="440" w:lineRule="exact"/>
        <w:jc w:val="left"/>
        <w:rPr>
          <w:rFonts w:hint="eastAsia" w:ascii="仿宋_GB2312" w:hAnsi="宋体" w:eastAsia="仿宋_GB2312"/>
          <w:sz w:val="24"/>
        </w:rPr>
      </w:pPr>
      <w:r>
        <w:rPr>
          <w:rFonts w:hint="eastAsia" w:ascii="仿宋_GB2312" w:hAnsi="宋体" w:eastAsia="仿宋_GB2312"/>
          <w:sz w:val="24"/>
          <w:lang w:val="en-US" w:eastAsia="zh-CN"/>
        </w:rPr>
        <w:t>2.2.3</w:t>
      </w:r>
      <w:r>
        <w:rPr>
          <w:rFonts w:hint="eastAsia" w:ascii="仿宋_GB2312" w:hAnsi="宋体" w:eastAsia="仿宋_GB2312"/>
          <w:sz w:val="24"/>
        </w:rPr>
        <w:t>法定代表人及其授权代表的身份证（复印件）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4</w:t>
      </w:r>
      <w:r>
        <w:rPr>
          <w:rFonts w:hint="eastAsia" w:ascii="仿宋_GB2312" w:hAnsi="宋体" w:eastAsia="仿宋_GB2312"/>
          <w:sz w:val="24"/>
        </w:rPr>
        <w:t>法定代表人身份证明书（格式见第六部分附件）；</w:t>
      </w:r>
    </w:p>
    <w:p>
      <w:pPr>
        <w:snapToGrid w:val="0"/>
        <w:spacing w:line="440" w:lineRule="exact"/>
        <w:rPr>
          <w:rFonts w:ascii="仿宋_GB2312" w:hAnsi="仿宋_GB2312" w:eastAsia="仿宋_GB2312" w:cs="仿宋_GB2312"/>
          <w:kern w:val="0"/>
          <w:sz w:val="24"/>
        </w:rPr>
      </w:pPr>
      <w:r>
        <w:rPr>
          <w:rFonts w:hint="eastAsia" w:ascii="仿宋_GB2312" w:hAnsi="宋体" w:eastAsia="仿宋_GB2312"/>
          <w:sz w:val="24"/>
        </w:rPr>
        <w:t>2.2.</w:t>
      </w:r>
      <w:r>
        <w:rPr>
          <w:rFonts w:hint="eastAsia" w:ascii="仿宋_GB2312" w:hAnsi="宋体" w:eastAsia="仿宋_GB2312"/>
          <w:sz w:val="24"/>
          <w:lang w:val="en-US" w:eastAsia="zh-CN"/>
        </w:rPr>
        <w:t>5</w:t>
      </w:r>
      <w:r>
        <w:rPr>
          <w:rFonts w:hint="eastAsia" w:ascii="仿宋_GB2312" w:hAnsi="Arial" w:eastAsia="仿宋_GB2312" w:cs="Arial"/>
          <w:kern w:val="0"/>
          <w:sz w:val="24"/>
        </w:rPr>
        <w:t>供应商基本资格条件</w:t>
      </w:r>
      <w:r>
        <w:rPr>
          <w:rFonts w:hint="eastAsia" w:ascii="仿宋_GB2312" w:hAnsi="仿宋_GB2312" w:eastAsia="仿宋_GB2312" w:cs="仿宋_GB2312"/>
          <w:sz w:val="24"/>
        </w:rPr>
        <w:t>书面承诺函（</w:t>
      </w:r>
      <w:r>
        <w:rPr>
          <w:rFonts w:hint="eastAsia" w:ascii="仿宋_GB2312" w:hAnsi="宋体" w:eastAsia="仿宋_GB2312"/>
          <w:sz w:val="24"/>
        </w:rPr>
        <w:t>格式见第六部分附件</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napToGrid w:val="0"/>
        <w:spacing w:line="440" w:lineRule="exact"/>
        <w:rPr>
          <w:rFonts w:ascii="仿宋_GB2312" w:hAnsi="Arial" w:eastAsia="仿宋_GB2312" w:cs="Arial"/>
          <w:kern w:val="0"/>
          <w:sz w:val="24"/>
        </w:rPr>
      </w:pPr>
      <w:r>
        <w:rPr>
          <w:rFonts w:hint="eastAsia" w:ascii="仿宋_GB2312" w:hAnsi="Arial" w:eastAsia="仿宋_GB2312" w:cs="Arial"/>
          <w:kern w:val="0"/>
          <w:sz w:val="24"/>
        </w:rPr>
        <w:t>2.2.</w:t>
      </w:r>
      <w:r>
        <w:rPr>
          <w:rFonts w:hint="eastAsia" w:ascii="仿宋_GB2312" w:hAnsi="Arial" w:eastAsia="仿宋_GB2312" w:cs="Arial"/>
          <w:kern w:val="0"/>
          <w:sz w:val="24"/>
          <w:lang w:val="en-US" w:eastAsia="zh-CN"/>
        </w:rPr>
        <w:t>6</w:t>
      </w:r>
      <w:r>
        <w:rPr>
          <w:rFonts w:hint="eastAsia" w:ascii="仿宋_GB2312" w:hAnsi="Arial" w:eastAsia="仿宋_GB2312" w:cs="Arial"/>
          <w:kern w:val="0"/>
          <w:sz w:val="24"/>
        </w:rPr>
        <w:t>供应商</w:t>
      </w:r>
      <w:r>
        <w:rPr>
          <w:rFonts w:hint="eastAsia" w:ascii="仿宋_GB2312" w:hAnsi="仿宋_GB2312" w:eastAsia="仿宋_GB2312" w:cs="仿宋_GB2312"/>
          <w:sz w:val="24"/>
        </w:rPr>
        <w:t>特定资格条件（如项目要求）的有关证明材料（复印件）；</w:t>
      </w:r>
    </w:p>
    <w:p>
      <w:pPr>
        <w:tabs>
          <w:tab w:val="left" w:pos="3870"/>
          <w:tab w:val="left" w:pos="4085"/>
        </w:tabs>
        <w:snapToGrid w:val="0"/>
        <w:spacing w:line="440" w:lineRule="exact"/>
        <w:jc w:val="left"/>
        <w:rPr>
          <w:rFonts w:ascii="仿宋_GB2312" w:hAnsi="宋体" w:eastAsia="仿宋_GB2312"/>
          <w:sz w:val="24"/>
        </w:rPr>
      </w:pPr>
      <w:bookmarkStart w:id="3" w:name="_Hlt68073093"/>
      <w:bookmarkEnd w:id="3"/>
      <w:bookmarkStart w:id="4" w:name="_Hlt68403820"/>
      <w:bookmarkEnd w:id="4"/>
      <w:bookmarkStart w:id="5" w:name="_Hlt68072998"/>
      <w:bookmarkEnd w:id="5"/>
      <w:r>
        <w:rPr>
          <w:rFonts w:hint="eastAsia" w:ascii="仿宋_GB2312" w:hAnsi="宋体" w:eastAsia="仿宋_GB2312"/>
          <w:sz w:val="24"/>
        </w:rPr>
        <w:t>2.2</w:t>
      </w:r>
      <w:r>
        <w:rPr>
          <w:rFonts w:hint="eastAsia" w:ascii="仿宋_GB2312" w:hAnsi="宋体" w:eastAsia="仿宋_GB2312"/>
          <w:sz w:val="24"/>
          <w:lang w:val="en-US" w:eastAsia="zh-CN"/>
        </w:rPr>
        <w:t>.7</w:t>
      </w:r>
      <w:r>
        <w:rPr>
          <w:rFonts w:hint="eastAsia" w:ascii="仿宋_GB2312" w:hAnsi="宋体" w:eastAsia="仿宋_GB2312"/>
          <w:sz w:val="24"/>
        </w:rPr>
        <w:t>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8</w:t>
      </w:r>
      <w:r>
        <w:rPr>
          <w:rFonts w:hint="eastAsia" w:ascii="仿宋_GB2312" w:hAnsi="宋体" w:eastAsia="仿宋_GB2312"/>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2.2.</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sz w:val="24"/>
        </w:rPr>
        <w:t>投标人在投标文件技术偏离说明表中，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仿宋_GB2312" w:hAnsi="仿宋_GB2312" w:eastAsia="仿宋_GB2312" w:cs="仿宋_GB2312"/>
          <w:sz w:val="24"/>
          <w:lang w:val="zh-CN"/>
        </w:rPr>
      </w:pPr>
      <w:r>
        <w:rPr>
          <w:rFonts w:hint="eastAsia" w:ascii="仿宋_GB2312" w:hAnsi="仿宋_GB2312" w:eastAsia="仿宋_GB2312" w:cs="仿宋_GB2312"/>
          <w:kern w:val="0"/>
          <w:sz w:val="24"/>
        </w:rPr>
        <w:t>2.2.1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snapToGrid w:val="0"/>
          <w:sz w:val="24"/>
        </w:rPr>
        <w:t>投标人售后服务证明材料：合作单位营业执照或投标人在本地（绍兴市行政区域范围内）设立的项目部、办公室、办事处等机构的证明材料或投标人作出的中标后提供本地化服务的承诺</w:t>
      </w:r>
      <w:r>
        <w:rPr>
          <w:rFonts w:hint="eastAsia" w:ascii="仿宋_GB2312" w:hAnsi="仿宋_GB2312" w:eastAsia="仿宋_GB2312" w:cs="仿宋_GB2312"/>
          <w:sz w:val="24"/>
          <w:lang w:val="zh-CN"/>
        </w:rPr>
        <w:t>；</w:t>
      </w:r>
    </w:p>
    <w:p>
      <w:pPr>
        <w:snapToGrid w:val="0"/>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lang w:val="zh-CN"/>
        </w:rPr>
        <w:t>2.2.1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val="zh-CN"/>
        </w:rPr>
        <w:t>廉政承诺书</w:t>
      </w:r>
      <w:r>
        <w:rPr>
          <w:rFonts w:hint="eastAsia" w:ascii="仿宋_GB2312" w:hAnsi="宋体" w:eastAsia="仿宋_GB2312"/>
          <w:sz w:val="24"/>
        </w:rPr>
        <w:t>（格式见第六部分附件）；</w:t>
      </w:r>
    </w:p>
    <w:p>
      <w:pPr>
        <w:pStyle w:val="20"/>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w:t>
      </w:r>
      <w:r>
        <w:rPr>
          <w:rFonts w:hint="eastAsia" w:ascii="仿宋_GB2312" w:hAnsi="宋体" w:eastAsia="仿宋_GB2312"/>
          <w:lang w:val="en-US" w:eastAsia="zh-CN"/>
        </w:rPr>
        <w:t>13</w:t>
      </w:r>
      <w:r>
        <w:rPr>
          <w:rFonts w:hint="eastAsia" w:ascii="仿宋_GB2312" w:hAnsi="宋体" w:eastAsia="仿宋_GB2312"/>
        </w:rPr>
        <w:t>中小企业声明函（如有）；</w:t>
      </w:r>
    </w:p>
    <w:p>
      <w:pPr>
        <w:snapToGrid w:val="0"/>
        <w:spacing w:line="440" w:lineRule="exact"/>
        <w:jc w:val="left"/>
        <w:rPr>
          <w:rFonts w:ascii="仿宋_GB2312" w:hAnsi="宋体" w:eastAsia="仿宋_GB2312"/>
          <w:sz w:val="24"/>
        </w:rPr>
      </w:pPr>
      <w:r>
        <w:rPr>
          <w:rFonts w:hint="eastAsia" w:ascii="仿宋_GB2312" w:hAnsi="宋体" w:eastAsia="仿宋_GB2312"/>
          <w:sz w:val="24"/>
        </w:rPr>
        <w:t>2.2.</w:t>
      </w:r>
      <w:r>
        <w:rPr>
          <w:rFonts w:hint="eastAsia" w:ascii="仿宋_GB2312" w:hAnsi="宋体" w:eastAsia="仿宋_GB2312"/>
          <w:sz w:val="24"/>
          <w:lang w:val="en-US" w:eastAsia="zh-CN"/>
        </w:rPr>
        <w:t>14</w:t>
      </w:r>
      <w:r>
        <w:rPr>
          <w:rFonts w:hint="eastAsia" w:ascii="仿宋_GB2312" w:hAnsi="宋体" w:eastAsia="仿宋_GB2312"/>
          <w:sz w:val="24"/>
          <w:u w:val="wave"/>
        </w:rPr>
        <w:t>未尽事宜请各投标单位按评分标准和相对应标项相关要求制作</w:t>
      </w:r>
      <w:r>
        <w:rPr>
          <w:rFonts w:hint="eastAsia" w:ascii="仿宋_GB2312" w:hAnsi="宋体" w:eastAsia="仿宋_GB2312"/>
          <w:sz w:val="24"/>
        </w:rPr>
        <w:t>；</w:t>
      </w:r>
    </w:p>
    <w:p>
      <w:pPr>
        <w:pStyle w:val="20"/>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w:t>
      </w:r>
      <w:r>
        <w:rPr>
          <w:rFonts w:hint="eastAsia" w:ascii="仿宋_GB2312" w:hAnsi="宋体" w:eastAsia="仿宋_GB2312"/>
          <w:lang w:val="en-US" w:eastAsia="zh-CN"/>
        </w:rPr>
        <w:t>15</w:t>
      </w:r>
      <w:r>
        <w:rPr>
          <w:rFonts w:hint="eastAsia" w:ascii="仿宋_GB2312" w:hAnsi="宋体" w:eastAsia="仿宋_GB2312"/>
        </w:rPr>
        <w:t>投标人需要说明的其他文件和说明（格式自拟）。</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以上文件组成“商务技术（资信）文件资料”。投标人在“商务技术（资信）文件资料”中应对招标文件作实质性响应，该项内容将作为评标重要指标。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仿宋_GB2312" w:hAnsi="宋体" w:eastAsia="仿宋_GB2312"/>
        </w:rPr>
      </w:pPr>
      <w:r>
        <w:rPr>
          <w:rFonts w:hint="eastAsia" w:ascii="仿宋_GB2312" w:hAnsi="宋体" w:eastAsia="仿宋_GB2312"/>
        </w:rPr>
        <w:t>投标人不按招标文件的要求提供的投标文件，可能会被评标委员会视为未实质性响应，其风险应由投标人自行承担。</w:t>
      </w:r>
    </w:p>
    <w:p>
      <w:pPr>
        <w:pStyle w:val="20"/>
        <w:tabs>
          <w:tab w:val="left" w:pos="1854"/>
          <w:tab w:val="clear" w:pos="482"/>
        </w:tabs>
        <w:spacing w:afterLines="0" w:line="440" w:lineRule="exact"/>
        <w:ind w:left="338" w:right="-78" w:rightChars="-37" w:hanging="338" w:hangingChars="141"/>
        <w:rPr>
          <w:rFonts w:ascii="仿宋_GB2312" w:hAnsi="宋体" w:eastAsia="仿宋_GB2312"/>
          <w:b/>
        </w:rPr>
      </w:pPr>
      <w:r>
        <w:rPr>
          <w:rFonts w:hint="eastAsia" w:ascii="仿宋_GB2312" w:hAnsi="宋体" w:eastAsia="仿宋_GB2312"/>
        </w:rPr>
        <w:t>2.2.</w:t>
      </w:r>
      <w:r>
        <w:rPr>
          <w:rFonts w:hint="eastAsia" w:ascii="仿宋_GB2312" w:hAnsi="宋体" w:eastAsia="仿宋_GB2312"/>
          <w:lang w:val="en-US" w:eastAsia="zh-CN"/>
        </w:rPr>
        <w:t>16</w:t>
      </w:r>
      <w:r>
        <w:rPr>
          <w:rFonts w:hint="eastAsia" w:ascii="仿宋" w:hAnsi="仿宋" w:eastAsia="仿宋"/>
        </w:rPr>
        <w:t>代理服务费支付承诺书。</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3"/>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sz w:val="24"/>
        </w:rPr>
        <w:t>投标报价只允许有一个报价，有选择的报价将不予接受（除指定外）。</w:t>
      </w:r>
    </w:p>
    <w:p>
      <w:pPr>
        <w:pStyle w:val="13"/>
        <w:widowControl w:val="0"/>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3"/>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_GB2312" w:hAnsi="仿宋" w:eastAsia="仿宋_GB2312" w:cs="仿宋_GB2312"/>
        </w:rPr>
        <w:t>投标有效期为从提交投标文件的截止之日起90天。</w:t>
      </w:r>
      <w:r>
        <w:rPr>
          <w:rFonts w:hint="eastAsia" w:ascii="仿宋_GB2312" w:hAnsi="仿宋" w:eastAsia="仿宋_GB2312" w:cs="仿宋_GB2312"/>
          <w:b/>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3"/>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ascii="仿宋" w:eastAsia="仿宋"/>
          <w:b/>
        </w:rPr>
      </w:pPr>
      <w:r>
        <w:rPr>
          <w:rFonts w:hint="eastAsia" w:ascii="仿宋_GB2312" w:hAnsi="宋体" w:eastAsia="仿宋_GB2312"/>
          <w:szCs w:val="24"/>
        </w:rPr>
        <w:t>4.3投标人可拒绝接受延期要求。同意延长有效期的投标人不能修改投标文件。</w:t>
      </w:r>
    </w:p>
    <w:p>
      <w:pPr>
        <w:snapToGrid w:val="0"/>
        <w:spacing w:line="440" w:lineRule="exact"/>
        <w:jc w:val="left"/>
        <w:rPr>
          <w:rFonts w:ascii="仿宋" w:eastAsia="仿宋"/>
          <w:b/>
          <w:sz w:val="24"/>
        </w:rPr>
      </w:pPr>
      <w:r>
        <w:rPr>
          <w:rFonts w:hint="eastAsia" w:ascii="仿宋" w:eastAsia="仿宋"/>
          <w:b/>
          <w:sz w:val="24"/>
        </w:rPr>
        <w:t>5.投标文件的</w:t>
      </w:r>
      <w:r>
        <w:rPr>
          <w:rFonts w:ascii="仿宋" w:eastAsia="仿宋"/>
          <w:b/>
          <w:sz w:val="24"/>
        </w:rPr>
        <w:t>制作要求</w:t>
      </w:r>
    </w:p>
    <w:p>
      <w:pPr>
        <w:snapToGrid w:val="0"/>
        <w:spacing w:line="440" w:lineRule="exact"/>
        <w:jc w:val="left"/>
        <w:rPr>
          <w:rFonts w:ascii="仿宋" w:eastAsia="仿宋"/>
          <w:sz w:val="24"/>
        </w:rPr>
      </w:pPr>
      <w:r>
        <w:rPr>
          <w:rFonts w:hint="eastAsia" w:ascii="仿宋" w:eastAsia="仿宋"/>
          <w:sz w:val="24"/>
        </w:rPr>
        <w:t>5.1封包要求：“商务技术（资信）文件”和“报价文件”需</w:t>
      </w:r>
      <w:r>
        <w:rPr>
          <w:rFonts w:ascii="仿宋" w:eastAsia="仿宋"/>
          <w:sz w:val="24"/>
        </w:rPr>
        <w:t>装订成册，</w:t>
      </w:r>
      <w:r>
        <w:rPr>
          <w:rFonts w:hint="eastAsia" w:ascii="仿宋" w:eastAsia="仿宋"/>
          <w:sz w:val="24"/>
        </w:rPr>
        <w:t>分两部分分别密封封装</w:t>
      </w:r>
      <w:r>
        <w:rPr>
          <w:rFonts w:ascii="仿宋" w:eastAsia="仿宋"/>
          <w:sz w:val="24"/>
        </w:rPr>
        <w:t>。</w:t>
      </w:r>
      <w:r>
        <w:rPr>
          <w:rFonts w:hint="eastAsia" w:ascii="仿宋" w:eastAsia="仿宋"/>
          <w:sz w:val="24"/>
        </w:rPr>
        <w:t>正本一份，副本四份，封装表面</w:t>
      </w:r>
      <w:r>
        <w:rPr>
          <w:rFonts w:ascii="仿宋" w:eastAsia="仿宋"/>
          <w:sz w:val="24"/>
        </w:rPr>
        <w:t>至少标注项目名称、项目编号、投标人名称并加盖供应商公章，若要修改</w:t>
      </w:r>
      <w:r>
        <w:rPr>
          <w:rFonts w:hint="eastAsia" w:ascii="仿宋" w:eastAsia="仿宋"/>
          <w:sz w:val="24"/>
        </w:rPr>
        <w:t>须</w:t>
      </w:r>
      <w:r>
        <w:rPr>
          <w:rFonts w:ascii="仿宋" w:eastAsia="仿宋"/>
          <w:sz w:val="24"/>
        </w:rPr>
        <w:t>在修改处</w:t>
      </w:r>
      <w:r>
        <w:rPr>
          <w:rFonts w:hint="eastAsia" w:ascii="仿宋" w:eastAsia="仿宋"/>
          <w:sz w:val="24"/>
        </w:rPr>
        <w:t>加盖单位公章或其授权代表签字或盖章。未按照</w:t>
      </w:r>
      <w:r>
        <w:rPr>
          <w:rFonts w:ascii="仿宋" w:eastAsia="仿宋"/>
          <w:sz w:val="24"/>
        </w:rPr>
        <w:t>采购</w:t>
      </w:r>
      <w:r>
        <w:rPr>
          <w:rFonts w:hint="eastAsia" w:ascii="仿宋" w:eastAsia="仿宋"/>
          <w:sz w:val="24"/>
        </w:rPr>
        <w:t>文件规定制作、密封封装的</w:t>
      </w:r>
      <w:r>
        <w:rPr>
          <w:rFonts w:ascii="仿宋" w:eastAsia="仿宋"/>
          <w:sz w:val="24"/>
        </w:rPr>
        <w:t>投标</w:t>
      </w:r>
      <w:r>
        <w:rPr>
          <w:rFonts w:hint="eastAsia" w:ascii="仿宋" w:eastAsia="仿宋"/>
          <w:sz w:val="24"/>
        </w:rPr>
        <w:t>文件</w:t>
      </w:r>
      <w:r>
        <w:rPr>
          <w:rFonts w:ascii="仿宋" w:eastAsia="仿宋"/>
          <w:sz w:val="24"/>
        </w:rPr>
        <w:t>可</w:t>
      </w:r>
      <w:r>
        <w:rPr>
          <w:rFonts w:hint="eastAsia" w:ascii="仿宋" w:eastAsia="仿宋"/>
          <w:sz w:val="24"/>
        </w:rPr>
        <w:t>不予接收。</w:t>
      </w:r>
    </w:p>
    <w:p>
      <w:pPr>
        <w:snapToGrid w:val="0"/>
        <w:spacing w:line="440" w:lineRule="exact"/>
        <w:jc w:val="left"/>
        <w:rPr>
          <w:rFonts w:ascii="仿宋" w:eastAsia="仿宋"/>
          <w:sz w:val="24"/>
        </w:rPr>
      </w:pPr>
      <w:r>
        <w:rPr>
          <w:rFonts w:hint="eastAsia" w:ascii="仿宋" w:eastAsia="仿宋"/>
          <w:sz w:val="24"/>
        </w:rPr>
        <w:t>5</w:t>
      </w:r>
      <w:r>
        <w:rPr>
          <w:rFonts w:ascii="仿宋" w:eastAsia="仿宋"/>
          <w:sz w:val="24"/>
        </w:rPr>
        <w:t>.2签署要求：按采购文件第六章</w:t>
      </w:r>
      <w:r>
        <w:rPr>
          <w:rFonts w:hint="eastAsia" w:ascii="仿宋" w:eastAsia="仿宋"/>
          <w:sz w:val="24"/>
        </w:rPr>
        <w:t>“</w:t>
      </w:r>
      <w:r>
        <w:rPr>
          <w:rFonts w:ascii="仿宋" w:eastAsia="仿宋"/>
          <w:sz w:val="24"/>
        </w:rPr>
        <w:t>投标文件格式附件</w:t>
      </w:r>
      <w:r>
        <w:rPr>
          <w:rFonts w:hint="eastAsia" w:ascii="仿宋" w:eastAsia="仿宋"/>
          <w:sz w:val="24"/>
        </w:rPr>
        <w:t>”</w:t>
      </w:r>
      <w:r>
        <w:rPr>
          <w:rFonts w:ascii="仿宋" w:eastAsia="仿宋"/>
          <w:sz w:val="24"/>
        </w:rPr>
        <w:t>各表单要求签署。</w:t>
      </w:r>
    </w:p>
    <w:p>
      <w:pPr>
        <w:snapToGrid w:val="0"/>
        <w:spacing w:line="440" w:lineRule="exact"/>
        <w:jc w:val="left"/>
        <w:rPr>
          <w:rFonts w:ascii="仿宋" w:eastAsia="仿宋"/>
          <w:sz w:val="24"/>
        </w:rPr>
      </w:pPr>
      <w:r>
        <w:rPr>
          <w:rFonts w:hint="eastAsia" w:ascii="仿宋" w:eastAsia="仿宋"/>
          <w:sz w:val="24"/>
        </w:rPr>
        <w:t>5</w:t>
      </w:r>
      <w:r>
        <w:rPr>
          <w:rFonts w:ascii="仿宋" w:eastAsia="仿宋"/>
          <w:sz w:val="24"/>
        </w:rPr>
        <w:t>.3制作要求：建议采用A4幅面，编制页码，制作目录，提倡双面打印。</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widowControl/>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投标人应按“招标公告”规定的时间、方式将投标文件提交给采购机构，</w:t>
      </w:r>
      <w:r>
        <w:rPr>
          <w:rFonts w:hint="eastAsia" w:ascii="仿宋_GB2312" w:eastAsia="仿宋_GB2312"/>
          <w:b/>
          <w:sz w:val="24"/>
        </w:rPr>
        <w:t>采购机构将拒绝接受逾期提交的投标文件。</w:t>
      </w:r>
    </w:p>
    <w:p>
      <w:pPr>
        <w:widowControl/>
        <w:snapToGrid w:val="0"/>
        <w:spacing w:line="440" w:lineRule="exact"/>
        <w:rPr>
          <w:rFonts w:ascii="仿宋" w:eastAsia="仿宋"/>
          <w:b/>
          <w:kern w:val="0"/>
          <w:sz w:val="24"/>
        </w:rPr>
      </w:pPr>
      <w:r>
        <w:rPr>
          <w:rFonts w:hint="eastAsia" w:ascii="仿宋" w:eastAsia="仿宋"/>
          <w:b/>
          <w:sz w:val="24"/>
        </w:rPr>
        <w:t>7．</w:t>
      </w:r>
      <w:r>
        <w:rPr>
          <w:rFonts w:hint="eastAsia" w:ascii="仿宋" w:eastAsia="仿宋"/>
          <w:b/>
          <w:kern w:val="0"/>
          <w:sz w:val="24"/>
        </w:rPr>
        <w:t>投标文件的补充和修改</w:t>
      </w:r>
    </w:p>
    <w:p>
      <w:pPr>
        <w:widowControl/>
        <w:snapToGrid w:val="0"/>
        <w:spacing w:line="440" w:lineRule="exact"/>
        <w:ind w:firstLine="482" w:firstLineChars="200"/>
        <w:rPr>
          <w:rFonts w:ascii="仿宋" w:eastAsia="仿宋"/>
          <w:kern w:val="0"/>
          <w:sz w:val="24"/>
        </w:rPr>
      </w:pPr>
      <w:r>
        <w:rPr>
          <w:rFonts w:hint="eastAsia" w:ascii="仿宋" w:eastAsia="仿宋"/>
          <w:b/>
          <w:bCs/>
          <w:kern w:val="0"/>
          <w:sz w:val="24"/>
        </w:rPr>
        <w:t>投标截止时间前</w:t>
      </w:r>
      <w:r>
        <w:rPr>
          <w:rFonts w:hint="eastAsia" w:ascii="仿宋" w:eastAsia="仿宋"/>
          <w:kern w:val="0"/>
          <w:sz w:val="24"/>
        </w:rPr>
        <w:t>，供应商可以</w:t>
      </w:r>
      <w:r>
        <w:rPr>
          <w:rFonts w:ascii="仿宋" w:eastAsia="仿宋"/>
          <w:kern w:val="0"/>
          <w:sz w:val="24"/>
        </w:rPr>
        <w:t>以</w:t>
      </w:r>
      <w:r>
        <w:rPr>
          <w:rFonts w:hint="eastAsia" w:ascii="仿宋" w:eastAsia="仿宋"/>
          <w:kern w:val="0"/>
          <w:sz w:val="24"/>
        </w:rPr>
        <w:t>书面形式提出对投标文件进行补充和修改，相应部分以最后的补充和修改为准。</w:t>
      </w:r>
      <w:r>
        <w:rPr>
          <w:rFonts w:ascii="仿宋" w:eastAsia="仿宋"/>
          <w:kern w:val="0"/>
          <w:sz w:val="24"/>
        </w:rPr>
        <w:t>若修改和补充为</w:t>
      </w:r>
      <w:r>
        <w:rPr>
          <w:rFonts w:hint="eastAsia" w:ascii="仿宋" w:eastAsia="仿宋"/>
          <w:kern w:val="0"/>
          <w:sz w:val="24"/>
        </w:rPr>
        <w:t>书面材料</w:t>
      </w:r>
      <w:r>
        <w:rPr>
          <w:rFonts w:ascii="仿宋" w:eastAsia="仿宋"/>
          <w:kern w:val="0"/>
          <w:sz w:val="24"/>
        </w:rPr>
        <w:t>的</w:t>
      </w:r>
      <w:r>
        <w:rPr>
          <w:rFonts w:hint="eastAsia" w:ascii="仿宋" w:eastAsia="仿宋"/>
          <w:kern w:val="0"/>
          <w:sz w:val="24"/>
        </w:rPr>
        <w:t>应</w:t>
      </w:r>
      <w:r>
        <w:rPr>
          <w:rFonts w:ascii="仿宋" w:eastAsia="仿宋"/>
          <w:kern w:val="0"/>
          <w:sz w:val="24"/>
        </w:rPr>
        <w:t>当</w:t>
      </w:r>
      <w:r>
        <w:rPr>
          <w:rFonts w:hint="eastAsia" w:ascii="仿宋" w:eastAsia="仿宋"/>
          <w:kern w:val="0"/>
          <w:sz w:val="24"/>
        </w:rPr>
        <w:t>密封，</w:t>
      </w:r>
      <w:r>
        <w:rPr>
          <w:rFonts w:hint="eastAsia" w:ascii="仿宋" w:eastAsia="仿宋"/>
          <w:sz w:val="24"/>
        </w:rPr>
        <w:t>并明确注明“</w:t>
      </w:r>
      <w:r>
        <w:rPr>
          <w:rFonts w:ascii="仿宋" w:eastAsia="仿宋"/>
          <w:kern w:val="0"/>
          <w:sz w:val="24"/>
        </w:rPr>
        <w:t>商务</w:t>
      </w:r>
      <w:r>
        <w:rPr>
          <w:rFonts w:hint="eastAsia" w:ascii="仿宋" w:eastAsia="仿宋"/>
          <w:kern w:val="0"/>
          <w:sz w:val="24"/>
        </w:rPr>
        <w:t>技术（资信）文件（或</w:t>
      </w:r>
      <w:r>
        <w:rPr>
          <w:rFonts w:ascii="仿宋" w:eastAsia="仿宋"/>
          <w:kern w:val="0"/>
          <w:sz w:val="24"/>
        </w:rPr>
        <w:t>报价</w:t>
      </w:r>
      <w:r>
        <w:rPr>
          <w:rFonts w:hint="eastAsia" w:ascii="仿宋" w:eastAsia="仿宋"/>
          <w:kern w:val="0"/>
          <w:sz w:val="24"/>
        </w:rPr>
        <w:t>文件）修改（或补充）</w:t>
      </w:r>
      <w:r>
        <w:rPr>
          <w:rFonts w:ascii="仿宋" w:eastAsia="仿宋"/>
          <w:kern w:val="0"/>
          <w:sz w:val="24"/>
        </w:rPr>
        <w:t>材料</w:t>
      </w:r>
      <w:r>
        <w:rPr>
          <w:rFonts w:hint="eastAsia" w:ascii="仿宋" w:eastAsia="仿宋"/>
          <w:kern w:val="0"/>
          <w:sz w:val="24"/>
        </w:rPr>
        <w:t>、项目名称</w:t>
      </w:r>
      <w:r>
        <w:rPr>
          <w:rFonts w:ascii="仿宋" w:eastAsia="仿宋"/>
          <w:kern w:val="0"/>
          <w:sz w:val="24"/>
        </w:rPr>
        <w:t>或项目编号</w:t>
      </w:r>
      <w:r>
        <w:rPr>
          <w:rFonts w:hint="eastAsia" w:ascii="仿宋" w:eastAsia="仿宋"/>
          <w:kern w:val="0"/>
          <w:sz w:val="24"/>
        </w:rPr>
        <w:t>、供应商名称</w:t>
      </w:r>
      <w:r>
        <w:rPr>
          <w:rFonts w:hint="eastAsia" w:ascii="仿宋" w:eastAsia="仿宋"/>
          <w:sz w:val="24"/>
        </w:rPr>
        <w:t>”</w:t>
      </w:r>
      <w:r>
        <w:rPr>
          <w:rFonts w:hint="eastAsia" w:ascii="仿宋" w:eastAsia="仿宋"/>
          <w:kern w:val="0"/>
          <w:sz w:val="24"/>
        </w:rPr>
        <w:t>字样</w:t>
      </w:r>
      <w:r>
        <w:rPr>
          <w:rFonts w:hint="eastAsia" w:ascii="仿宋" w:eastAsia="仿宋"/>
          <w:sz w:val="24"/>
        </w:rPr>
        <w:t>，</w:t>
      </w:r>
      <w:r>
        <w:rPr>
          <w:rFonts w:hint="eastAsia" w:ascii="仿宋" w:eastAsia="仿宋"/>
          <w:kern w:val="0"/>
          <w:sz w:val="24"/>
        </w:rPr>
        <w:t>同时由</w:t>
      </w:r>
      <w:r>
        <w:rPr>
          <w:rFonts w:hint="eastAsia" w:ascii="仿宋" w:eastAsia="仿宋"/>
          <w:sz w:val="24"/>
        </w:rPr>
        <w:t>法定代表人或其授权代表签字或盖章</w:t>
      </w:r>
      <w:r>
        <w:rPr>
          <w:rFonts w:hint="eastAsia" w:ascii="仿宋" w:eastAsia="仿宋"/>
          <w:kern w:val="0"/>
          <w:sz w:val="24"/>
        </w:rPr>
        <w:t>。</w:t>
      </w:r>
      <w:r>
        <w:rPr>
          <w:rFonts w:ascii="仿宋" w:eastAsia="仿宋"/>
          <w:kern w:val="0"/>
          <w:sz w:val="24"/>
        </w:rPr>
        <w:t>未按上述规则制作的补充和修改材料将被拒收。</w:t>
      </w: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 w:hAnsi="仿宋" w:eastAsia="仿宋" w:cs="仿宋"/>
          <w:b/>
          <w:color w:val="000000"/>
          <w:sz w:val="24"/>
        </w:rPr>
      </w:pPr>
      <w:bookmarkStart w:id="6" w:name="_Toc84325929"/>
      <w:bookmarkStart w:id="7" w:name="_Toc81372776"/>
      <w:bookmarkStart w:id="8" w:name="_Toc81372953"/>
      <w:r>
        <w:rPr>
          <w:rFonts w:hint="eastAsia" w:ascii="仿宋" w:hAnsi="仿宋" w:eastAsia="仿宋" w:cs="仿宋"/>
          <w:b/>
          <w:color w:val="000000"/>
          <w:sz w:val="24"/>
        </w:rPr>
        <w:t>1．开标出席</w:t>
      </w:r>
    </w:p>
    <w:p>
      <w:pPr>
        <w:snapToGrid w:val="0"/>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因疫情防控，投标供应商法定代表人或其授权代表或个体工商户经营者无需出席开标会议。</w:t>
      </w:r>
      <w:r>
        <w:rPr>
          <w:rFonts w:hint="eastAsia" w:ascii="仿宋" w:eastAsia="仿宋"/>
          <w:b/>
          <w:bCs/>
          <w:color w:val="auto"/>
          <w:sz w:val="24"/>
        </w:rPr>
        <w:t>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开标大会由采购代理机构主持。</w:t>
      </w:r>
    </w:p>
    <w:p>
      <w:pPr>
        <w:snapToGrid w:val="0"/>
        <w:spacing w:line="480" w:lineRule="exact"/>
        <w:jc w:val="left"/>
        <w:rPr>
          <w:rFonts w:ascii="仿宋" w:hAnsi="仿宋" w:eastAsia="仿宋" w:cs="仿宋"/>
          <w:b/>
          <w:color w:val="000000"/>
          <w:sz w:val="24"/>
        </w:rPr>
      </w:pPr>
    </w:p>
    <w:p>
      <w:pPr>
        <w:snapToGrid w:val="0"/>
        <w:spacing w:line="480" w:lineRule="exact"/>
        <w:jc w:val="left"/>
        <w:rPr>
          <w:rFonts w:ascii="仿宋_GB2312" w:hAnsi="宋体" w:eastAsia="仿宋_GB2312"/>
          <w:sz w:val="24"/>
        </w:rPr>
      </w:pPr>
      <w:r>
        <w:rPr>
          <w:rFonts w:hint="eastAsia" w:ascii="仿宋_GB2312" w:hAnsi="宋体" w:eastAsia="仿宋_GB2312"/>
          <w:sz w:val="24"/>
        </w:rPr>
        <w:t>3.1主持人宣布开标会开始。</w:t>
      </w:r>
    </w:p>
    <w:p>
      <w:pPr>
        <w:snapToGrid w:val="0"/>
        <w:spacing w:line="480" w:lineRule="exact"/>
        <w:jc w:val="left"/>
        <w:rPr>
          <w:rFonts w:ascii="仿宋_GB2312" w:hAnsi="宋体" w:eastAsia="仿宋_GB2312"/>
          <w:sz w:val="24"/>
        </w:rPr>
      </w:pPr>
      <w:r>
        <w:rPr>
          <w:rFonts w:hint="eastAsia" w:ascii="仿宋_GB2312" w:hAnsi="宋体" w:eastAsia="仿宋_GB2312"/>
          <w:sz w:val="24"/>
        </w:rPr>
        <w:t>3.2检查投标文件密封情况。</w:t>
      </w:r>
    </w:p>
    <w:p>
      <w:pPr>
        <w:snapToGrid w:val="0"/>
        <w:spacing w:line="480" w:lineRule="exact"/>
        <w:jc w:val="left"/>
        <w:rPr>
          <w:rFonts w:ascii="仿宋_GB2312" w:hAnsi="宋体" w:eastAsia="仿宋_GB2312"/>
          <w:sz w:val="24"/>
        </w:rPr>
      </w:pPr>
      <w:r>
        <w:rPr>
          <w:rFonts w:hint="eastAsia" w:ascii="仿宋_GB2312" w:hAnsi="宋体" w:eastAsia="仿宋_GB2312"/>
          <w:sz w:val="24"/>
        </w:rPr>
        <w:t>3.3启封投标文件商务技术（资信）资料。</w:t>
      </w:r>
    </w:p>
    <w:p>
      <w:pPr>
        <w:snapToGrid w:val="0"/>
        <w:spacing w:line="480" w:lineRule="exact"/>
        <w:jc w:val="left"/>
        <w:rPr>
          <w:rFonts w:ascii="仿宋_GB2312" w:hAnsi="宋体" w:eastAsia="仿宋_GB2312"/>
          <w:sz w:val="24"/>
        </w:rPr>
      </w:pPr>
      <w:r>
        <w:rPr>
          <w:rFonts w:hint="eastAsia" w:ascii="仿宋_GB2312" w:hAnsi="宋体" w:eastAsia="仿宋_GB2312"/>
          <w:sz w:val="24"/>
        </w:rPr>
        <w:t>3.4评标委员会对商务技术（资信）文件进行评审。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3.5主持人宣布商务技术得分及</w:t>
      </w:r>
      <w:r>
        <w:rPr>
          <w:rFonts w:hint="eastAsia" w:ascii="仿宋_GB2312" w:eastAsia="仿宋_GB2312"/>
          <w:sz w:val="24"/>
        </w:rPr>
        <w:t>无效（废）投标情形</w:t>
      </w:r>
      <w:r>
        <w:rPr>
          <w:rFonts w:hint="eastAsia" w:ascii="仿宋_GB2312" w:hAnsi="宋体" w:eastAsia="仿宋_GB2312"/>
          <w:sz w:val="24"/>
        </w:rPr>
        <w:t>（如有），</w:t>
      </w:r>
      <w:r>
        <w:rPr>
          <w:rFonts w:hint="eastAsia" w:ascii="仿宋_GB2312" w:hAnsi="Arial" w:eastAsia="仿宋_GB2312" w:cs="Arial"/>
          <w:sz w:val="24"/>
        </w:rPr>
        <w:t>宣读经商务技术（资信）评审符合招标文件要求的投标人名单及其商务技术得分。</w:t>
      </w:r>
    </w:p>
    <w:p>
      <w:pPr>
        <w:snapToGrid w:val="0"/>
        <w:spacing w:line="480" w:lineRule="exact"/>
        <w:jc w:val="left"/>
        <w:rPr>
          <w:rFonts w:ascii="仿宋_GB2312" w:hAnsi="宋体" w:eastAsia="仿宋_GB2312"/>
          <w:sz w:val="24"/>
        </w:rPr>
      </w:pPr>
      <w:r>
        <w:rPr>
          <w:rFonts w:hint="eastAsia" w:ascii="仿宋_GB2312" w:eastAsia="仿宋_GB2312"/>
          <w:sz w:val="24"/>
        </w:rPr>
        <w:t>3.6</w:t>
      </w:r>
      <w:r>
        <w:rPr>
          <w:rFonts w:hint="eastAsia" w:ascii="仿宋_GB2312" w:hAnsi="宋体" w:eastAsia="仿宋_GB2312"/>
          <w:sz w:val="24"/>
        </w:rPr>
        <w:t>启封</w:t>
      </w:r>
      <w:r>
        <w:rPr>
          <w:rFonts w:hint="eastAsia" w:ascii="仿宋_GB2312" w:hAnsi="Arial" w:eastAsia="仿宋_GB2312" w:cs="Arial"/>
          <w:sz w:val="24"/>
        </w:rPr>
        <w:t>报价文件资料</w:t>
      </w:r>
      <w:r>
        <w:rPr>
          <w:rFonts w:hint="eastAsia" w:ascii="仿宋_GB2312" w:hAnsi="宋体" w:eastAsia="仿宋_GB2312"/>
          <w:sz w:val="24"/>
        </w:rPr>
        <w:t>，由唱读人当众宣读投标人名称、投标价格和投标文件的其他内容。未宣读的投标报价和招标文件未允许提供的备选投标方案等实质性内容，评标时不予承认。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_GB2312" w:hAnsi="宋体" w:eastAsia="仿宋_GB2312"/>
          <w:sz w:val="24"/>
        </w:rPr>
      </w:pPr>
      <w:r>
        <w:rPr>
          <w:rFonts w:hint="eastAsia" w:ascii="仿宋_GB2312" w:hAnsi="宋体" w:eastAsia="仿宋_GB2312"/>
          <w:sz w:val="24"/>
        </w:rPr>
        <w:t>3.7评标委员会对投标文件</w:t>
      </w:r>
      <w:r>
        <w:rPr>
          <w:rFonts w:hint="eastAsia" w:ascii="仿宋_GB2312" w:hAnsi="Arial" w:eastAsia="仿宋_GB2312" w:cs="Arial"/>
          <w:sz w:val="24"/>
        </w:rPr>
        <w:t>报价文件资料</w:t>
      </w:r>
      <w:r>
        <w:rPr>
          <w:rFonts w:hint="eastAsia" w:ascii="仿宋_GB2312" w:hAnsi="宋体" w:eastAsia="仿宋_GB2312"/>
          <w:sz w:val="24"/>
        </w:rPr>
        <w:t>进行评审，核准投标报价及计算价格分，汇总商务技术分、价格分，根据得分排序确定中标候选人并出具评审报告。</w:t>
      </w:r>
    </w:p>
    <w:p>
      <w:pPr>
        <w:snapToGrid w:val="0"/>
        <w:spacing w:line="480" w:lineRule="exact"/>
        <w:jc w:val="left"/>
        <w:rPr>
          <w:rFonts w:ascii="仿宋_GB2312" w:hAnsi="宋体" w:eastAsia="仿宋_GB2312"/>
          <w:sz w:val="24"/>
        </w:rPr>
      </w:pPr>
      <w:r>
        <w:rPr>
          <w:rFonts w:hint="eastAsia" w:ascii="仿宋_GB2312" w:hAnsi="宋体" w:eastAsia="仿宋_GB2312"/>
          <w:sz w:val="24"/>
        </w:rPr>
        <w:t>3.8主持人向投标单位公布评审结果。</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4．评标</w:t>
      </w:r>
    </w:p>
    <w:p>
      <w:pPr>
        <w:spacing w:line="480" w:lineRule="exact"/>
        <w:jc w:val="left"/>
        <w:rPr>
          <w:rFonts w:ascii="仿宋_GB2312" w:hAnsi="宋体" w:eastAsia="仿宋_GB2312" w:cs="宋体"/>
          <w:sz w:val="24"/>
        </w:rPr>
      </w:pPr>
      <w:r>
        <w:rPr>
          <w:rFonts w:hint="eastAsia" w:ascii="仿宋_GB2312" w:hAnsi="宋体" w:eastAsia="仿宋_GB2312"/>
          <w:sz w:val="24"/>
        </w:rPr>
        <w:t>4.1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4.2评标委员会由采购人代表和有关方面的专家组成，成员人数为五人以上单数。</w:t>
      </w:r>
    </w:p>
    <w:p>
      <w:pPr>
        <w:spacing w:line="480" w:lineRule="exact"/>
        <w:jc w:val="left"/>
        <w:rPr>
          <w:rFonts w:ascii="仿宋_GB2312" w:hAnsi="宋体" w:eastAsia="仿宋_GB2312" w:cs="宋体"/>
          <w:sz w:val="24"/>
        </w:rPr>
      </w:pPr>
      <w:r>
        <w:rPr>
          <w:rFonts w:hint="eastAsia" w:ascii="仿宋_GB2312" w:hAnsi="宋体" w:eastAsia="仿宋_GB2312" w:cs="宋体"/>
          <w:sz w:val="24"/>
        </w:rPr>
        <w:t>4.3评标委员会负责对投标人资格的最终审定。</w:t>
      </w:r>
    </w:p>
    <w:p>
      <w:pPr>
        <w:spacing w:line="440" w:lineRule="exact"/>
        <w:jc w:val="left"/>
        <w:rPr>
          <w:rFonts w:ascii="仿宋_GB2312" w:hAnsi="宋体" w:eastAsia="仿宋_GB2312"/>
          <w:sz w:val="24"/>
        </w:rPr>
      </w:pPr>
      <w:r>
        <w:rPr>
          <w:rFonts w:hint="eastAsia" w:ascii="仿宋_GB2312" w:hAnsi="宋体" w:eastAsia="仿宋_GB2312"/>
          <w:sz w:val="24"/>
        </w:rPr>
        <w:t>4.4评标委员会可以要求投标人对其投标文件中含义不明确的内容作必要的澄清或者说明，但澄清或者说明不得超过投标文件的范围或者改变投标文件的实质性内容。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4.5</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4.6评标委员会不向落标方解释落标的原因，不退还投标文件。</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5．投标文件的初审鉴定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5.1资格性审查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5.1.1依据法律、法规和招标文件规定，评标委员会对投标人进行资格审查，以确定投标人是否具备投标资格。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5.2符合性审查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5.3如果投标文件实质不响应招标文件的各项要求，评标委员会将予以拒绝，并且不允许投标人通过修改或撤销其不符合要求的差异或保留，使之成为具有实质性响应的投标。</w:t>
      </w:r>
    </w:p>
    <w:bookmarkEnd w:id="6"/>
    <w:bookmarkEnd w:id="7"/>
    <w:bookmarkEnd w:id="8"/>
    <w:p>
      <w:pPr>
        <w:spacing w:line="440" w:lineRule="exact"/>
        <w:jc w:val="left"/>
        <w:rPr>
          <w:rFonts w:ascii="仿宋_GB2312" w:hAnsi="宋体" w:eastAsia="仿宋_GB2312" w:cs="宋体"/>
          <w:b/>
          <w:sz w:val="24"/>
        </w:rPr>
      </w:pPr>
      <w:r>
        <w:rPr>
          <w:rFonts w:hint="eastAsia" w:ascii="仿宋_GB2312" w:hAnsi="宋体" w:eastAsia="仿宋_GB2312"/>
          <w:b/>
          <w:kern w:val="0"/>
          <w:sz w:val="24"/>
        </w:rPr>
        <w:t xml:space="preserve">6.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6.1投标文件中开标一览表（报价表）内容与投标文件中相应内容不一致的，以开标一览表（报价表）为准；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6.2大写金额和小写金额不一致的，以大写金额为准；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6.3单价金额小数点或者百分比有明显错位的，以开标一览表的总价为准，并修改单价；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6.4总价金额与按单价汇总金额不一致的，以单价金额计算结果为准。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7.投标文件的评审、比较和否决</w:t>
      </w:r>
    </w:p>
    <w:p>
      <w:pPr>
        <w:spacing w:line="440" w:lineRule="exact"/>
        <w:jc w:val="left"/>
        <w:rPr>
          <w:rFonts w:ascii="仿宋_GB2312" w:hAnsi="宋体" w:eastAsia="仿宋_GB2312" w:cs="宋体"/>
          <w:sz w:val="24"/>
        </w:rPr>
      </w:pPr>
      <w:r>
        <w:rPr>
          <w:rFonts w:hint="eastAsia" w:ascii="仿宋_GB2312" w:hAnsi="宋体" w:eastAsia="仿宋_GB2312" w:cs="宋体"/>
          <w:sz w:val="24"/>
        </w:rPr>
        <w:t>7.1评标委员会将对在实质上响应招标文件要求的投标文件进行评估和比较。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7.2在评审过程中，评标委员会可以书面形式要求投标人就投标文件含义不明确的内容进行书面说明并提供相关材料，但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spacing w:line="440" w:lineRule="exact"/>
        <w:jc w:val="left"/>
        <w:rPr>
          <w:rFonts w:ascii="仿宋_GB2312" w:hAnsi="宋体" w:eastAsia="仿宋_GB2312" w:cs="宋体"/>
          <w:sz w:val="24"/>
        </w:rPr>
      </w:pPr>
      <w:r>
        <w:rPr>
          <w:rFonts w:hint="eastAsia" w:ascii="仿宋_GB2312" w:hAnsi="宋体" w:eastAsia="仿宋_GB2312" w:cs="宋体"/>
          <w:sz w:val="24"/>
        </w:rPr>
        <w:t>7.3在评标过程中，如发现与招标文件要求相偏离的，评标委员会可对其偏离情形进行必要的核实。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7.4在评审过程中，如属于实质性偏离或符合无效响应条件的，应当询问相关投标人，并可对其进行书面确认，但不允许对偏离条款进行补充、修正或撤回。</w:t>
      </w:r>
    </w:p>
    <w:p>
      <w:pPr>
        <w:spacing w:line="440" w:lineRule="exact"/>
        <w:jc w:val="left"/>
        <w:rPr>
          <w:rFonts w:ascii="仿宋_GB2312" w:hAnsi="宋体" w:eastAsia="仿宋_GB2312" w:cs="宋体"/>
          <w:sz w:val="24"/>
        </w:rPr>
      </w:pPr>
      <w:r>
        <w:rPr>
          <w:rFonts w:hint="eastAsia" w:ascii="仿宋_GB2312" w:hAnsi="宋体" w:eastAsia="仿宋_GB2312" w:cs="宋体"/>
          <w:sz w:val="24"/>
        </w:rPr>
        <w:t>7.5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标委员会应当按照评标标准，对符合性审查合格的投标文件进行商务和技术评估，综合比较与评价。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7.6</w:t>
      </w:r>
      <w:r>
        <w:rPr>
          <w:rFonts w:ascii="仿宋_GB2312" w:hAnsi="宋体" w:eastAsia="仿宋_GB2312" w:cs="宋体"/>
          <w:sz w:val="24"/>
        </w:rPr>
        <w:t>汇总</w:t>
      </w:r>
      <w:r>
        <w:rPr>
          <w:rFonts w:hint="eastAsia" w:ascii="仿宋_GB2312" w:hAnsi="宋体" w:eastAsia="仿宋_GB2312" w:cs="宋体"/>
          <w:sz w:val="24"/>
        </w:rPr>
        <w:t>（商务技术得分情况）。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商务技术（资信）文件</w:t>
      </w:r>
      <w:r>
        <w:rPr>
          <w:rFonts w:ascii="仿宋_GB2312" w:hAnsi="宋体" w:eastAsia="仿宋_GB2312" w:cs="宋体"/>
          <w:sz w:val="24"/>
        </w:rPr>
        <w:t>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40" w:lineRule="exact"/>
        <w:jc w:val="left"/>
        <w:rPr>
          <w:rFonts w:ascii="仿宋_GB2312" w:hAnsi="宋体" w:eastAsia="仿宋_GB2312" w:cs="宋体"/>
          <w:sz w:val="24"/>
        </w:rPr>
      </w:pPr>
      <w:r>
        <w:rPr>
          <w:rFonts w:hint="eastAsia" w:ascii="仿宋_GB2312" w:hAnsi="宋体" w:eastAsia="仿宋_GB2312" w:cs="宋体"/>
          <w:sz w:val="24"/>
        </w:rPr>
        <w:t>7.7 报价审核。对符合采购需求且通过商务技术（资信）评审的投标人的报价的合理性、准确性等进行审查核实。</w:t>
      </w:r>
    </w:p>
    <w:p>
      <w:pPr>
        <w:spacing w:line="440" w:lineRule="exact"/>
        <w:jc w:val="left"/>
        <w:rPr>
          <w:rFonts w:ascii="仿宋_GB2312" w:hAnsi="宋体" w:eastAsia="仿宋_GB2312" w:cs="宋体"/>
          <w:sz w:val="24"/>
        </w:rPr>
      </w:pPr>
      <w:r>
        <w:rPr>
          <w:rFonts w:hint="eastAsia" w:ascii="仿宋_GB2312" w:hAnsi="宋体" w:eastAsia="仿宋_GB2312" w:cs="宋体"/>
          <w:sz w:val="24"/>
        </w:rPr>
        <w:t>7.7.1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40" w:lineRule="exact"/>
        <w:jc w:val="left"/>
        <w:rPr>
          <w:rFonts w:ascii="仿宋_GB2312" w:hAnsi="宋体" w:eastAsia="仿宋_GB2312" w:cs="宋体"/>
          <w:sz w:val="24"/>
        </w:rPr>
      </w:pPr>
      <w:r>
        <w:rPr>
          <w:rFonts w:hint="eastAsia" w:ascii="仿宋_GB2312" w:hAnsi="宋体" w:eastAsia="仿宋_GB2312" w:cs="宋体"/>
          <w:sz w:val="24"/>
        </w:rPr>
        <w:t>7.7.2根据财政部发布的《政府采购促进中小企业发展</w:t>
      </w:r>
      <w:r>
        <w:rPr>
          <w:rFonts w:hint="eastAsia" w:ascii="仿宋_GB2312" w:hAnsi="宋体" w:eastAsia="仿宋_GB2312" w:cs="宋体"/>
          <w:sz w:val="24"/>
          <w:lang w:val="en-US" w:eastAsia="zh-CN"/>
        </w:rPr>
        <w:t>管理</w:t>
      </w:r>
      <w:r>
        <w:rPr>
          <w:rFonts w:hint="eastAsia" w:ascii="仿宋_GB2312" w:hAnsi="宋体" w:eastAsia="仿宋_GB2312" w:cs="宋体"/>
          <w:sz w:val="24"/>
        </w:rPr>
        <w:t>办法》规定，对于非专门面向中小企业的项目，对小型和微型企业产品的价格给予一定的扣除，用扣除后的价格参与评审。</w:t>
      </w:r>
    </w:p>
    <w:p>
      <w:pPr>
        <w:spacing w:line="440" w:lineRule="exact"/>
        <w:jc w:val="left"/>
        <w:rPr>
          <w:rFonts w:ascii="仿宋_GB2312" w:hAnsi="宋体" w:eastAsia="仿宋_GB2312" w:cs="宋体"/>
          <w:sz w:val="24"/>
        </w:rPr>
      </w:pPr>
      <w:r>
        <w:rPr>
          <w:rFonts w:hint="eastAsia" w:ascii="仿宋_GB2312" w:hAnsi="宋体" w:eastAsia="仿宋_GB2312" w:cs="宋体"/>
          <w:sz w:val="24"/>
        </w:rPr>
        <w:t>7.7.3如需投标价格修正，按财政部87号令第五十九条的规定对投标价格进行修正。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7.8评标委员会依据招标文件规定的评标标准和方法，对投标文件进行评审和比较后，提供书面评标报告，并按得分高低排序推荐中标候选供应商。</w:t>
      </w:r>
    </w:p>
    <w:p>
      <w:pPr>
        <w:pStyle w:val="13"/>
        <w:widowControl w:val="0"/>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8.投标文件的澄清</w:t>
      </w:r>
    </w:p>
    <w:p>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9.1未按照招标文件规定要求密封封装、签署、盖章的；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9.4投标人未提供招标文件中规定的基本资格条件书面承诺函的，或投标人未提供有效的特定资格证明文件的，视为投标人不具备招标文件中规定的资格要求；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_GB2312" w:hAnsi="宋体" w:eastAsia="仿宋_GB2312"/>
          <w:b/>
          <w:sz w:val="24"/>
        </w:rPr>
      </w:pPr>
      <w:r>
        <w:rPr>
          <w:rFonts w:hint="eastAsia" w:ascii="仿宋_GB2312" w:hAnsi="宋体" w:eastAsia="仿宋_GB2312"/>
          <w:b/>
          <w:kern w:val="0"/>
          <w:sz w:val="24"/>
        </w:rPr>
        <w:t>9.5《法定代表人身份证明书》与提供的身份证复印件信息不符的；《法定代表人授权委托书》与提供的身份证复印件信息不符的；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9.6《法定代表人授权委托书》或《法定代表人身份证明书》填写不全、错误、未加盖公章(《法定代表人授权委托书》要求“公章”和“签字或盖章”缺一不可）的；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9.7授权代表非投标单位正式职工的（以</w:t>
      </w:r>
      <w:r>
        <w:rPr>
          <w:rFonts w:ascii="仿宋_GB2312" w:hAnsi="宋体" w:eastAsia="仿宋_GB2312"/>
          <w:b/>
          <w:kern w:val="0"/>
          <w:sz w:val="24"/>
        </w:rPr>
        <w:t>社保证明</w:t>
      </w:r>
      <w:r>
        <w:rPr>
          <w:rFonts w:hint="eastAsia" w:ascii="仿宋_GB2312" w:hAnsi="宋体" w:eastAsia="仿宋_GB2312"/>
          <w:b/>
          <w:kern w:val="0"/>
          <w:sz w:val="24"/>
        </w:rPr>
        <w:t>为准，如授权代表为</w:t>
      </w:r>
      <w:r>
        <w:rPr>
          <w:rFonts w:ascii="仿宋_GB2312" w:hAnsi="宋体" w:eastAsia="仿宋_GB2312"/>
          <w:b/>
          <w:kern w:val="0"/>
          <w:sz w:val="24"/>
        </w:rPr>
        <w:t>离退休返聘人员的，</w:t>
      </w:r>
      <w:r>
        <w:rPr>
          <w:rFonts w:hint="eastAsia" w:ascii="仿宋_GB2312" w:hAnsi="宋体" w:eastAsia="仿宋_GB2312"/>
          <w:b/>
          <w:kern w:val="0"/>
          <w:sz w:val="24"/>
        </w:rPr>
        <w:t>需提供</w:t>
      </w:r>
      <w:r>
        <w:rPr>
          <w:rFonts w:ascii="仿宋_GB2312" w:hAnsi="宋体" w:eastAsia="仿宋_GB2312"/>
          <w:b/>
          <w:kern w:val="0"/>
          <w:sz w:val="24"/>
        </w:rPr>
        <w:t>退休证明及单位聘用证明</w:t>
      </w:r>
      <w:r>
        <w:rPr>
          <w:rFonts w:hint="eastAsia" w:ascii="仿宋_GB2312" w:hAnsi="宋体" w:eastAsia="仿宋_GB2312"/>
          <w:b/>
          <w:kern w:val="0"/>
          <w:sz w:val="24"/>
        </w:rPr>
        <w:t>），法定代表人及个体工商户除外；</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9.8投标文件中的投标函</w:t>
      </w:r>
      <w:r>
        <w:rPr>
          <w:rFonts w:hint="eastAsia" w:ascii="仿宋_GB2312" w:hAnsi="宋体" w:eastAsia="仿宋_GB2312"/>
          <w:b/>
          <w:kern w:val="0"/>
          <w:sz w:val="24"/>
        </w:rPr>
        <w:t>未加盖公章</w:t>
      </w:r>
      <w:r>
        <w:rPr>
          <w:rFonts w:hint="eastAsia" w:ascii="仿宋_GB2312" w:hAnsi="宋体" w:eastAsia="仿宋_GB2312"/>
          <w:b/>
          <w:sz w:val="24"/>
        </w:rPr>
        <w:t>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9.9报</w:t>
      </w:r>
      <w:r>
        <w:rPr>
          <w:rFonts w:hint="eastAsia" w:ascii="仿宋_GB2312" w:hAnsi="宋体" w:eastAsia="仿宋_GB2312"/>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9.10</w:t>
      </w:r>
      <w:r>
        <w:rPr>
          <w:rFonts w:hint="eastAsia" w:ascii="仿宋_GB2312" w:hAnsi="宋体" w:eastAsia="仿宋_GB2312"/>
          <w:b/>
          <w:sz w:val="24"/>
        </w:rPr>
        <w:t>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9.11出现同一标的物或本次招标产品(服务)内的主要产品(重要组成部分)出现</w:t>
      </w:r>
      <w:r>
        <w:rPr>
          <w:rFonts w:hint="eastAsia" w:ascii="仿宋_GB2312" w:hAnsi="宋体" w:eastAsia="仿宋_GB2312"/>
          <w:b/>
          <w:sz w:val="24"/>
        </w:rPr>
        <w:t>商务技术（资信）文件资料</w:t>
      </w:r>
      <w:r>
        <w:rPr>
          <w:rFonts w:hint="eastAsia" w:ascii="仿宋_GB2312" w:hAnsi="宋体" w:eastAsia="仿宋_GB2312"/>
          <w:b/>
          <w:sz w:val="24"/>
          <w:szCs w:val="24"/>
        </w:rPr>
        <w:t>、</w:t>
      </w:r>
      <w:r>
        <w:rPr>
          <w:rFonts w:hint="eastAsia" w:ascii="仿宋_GB2312" w:hAnsi="宋体" w:eastAsia="仿宋_GB2312"/>
          <w:b/>
          <w:sz w:val="24"/>
        </w:rPr>
        <w:t>报价文件资料</w:t>
      </w:r>
      <w:r>
        <w:rPr>
          <w:rFonts w:hint="eastAsia" w:ascii="仿宋_GB2312" w:hAnsi="宋体" w:eastAsia="仿宋_GB2312"/>
          <w:b/>
          <w:sz w:val="24"/>
          <w:szCs w:val="24"/>
        </w:rPr>
        <w:t>描述不一致或前后描述不一致，经评标委员会认定后为无法评审的；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9.12《技</w:t>
      </w:r>
      <w:r>
        <w:rPr>
          <w:rFonts w:hint="eastAsia" w:ascii="仿宋_GB2312" w:hAnsi="宋体" w:eastAsia="仿宋_GB2312"/>
          <w:b/>
          <w:sz w:val="24"/>
        </w:rPr>
        <w:t>术偏离说明表</w:t>
      </w:r>
      <w:r>
        <w:rPr>
          <w:rFonts w:hint="eastAsia" w:ascii="仿宋_GB2312" w:hAnsi="宋体" w:eastAsia="仿宋_GB2312"/>
          <w:b/>
          <w:sz w:val="24"/>
          <w:szCs w:val="24"/>
        </w:rPr>
        <w:t>》</w:t>
      </w:r>
      <w:r>
        <w:rPr>
          <w:rFonts w:hint="eastAsia" w:ascii="仿宋_GB2312" w:hAnsi="宋体" w:eastAsia="仿宋_GB2312"/>
          <w:b/>
          <w:sz w:val="24"/>
        </w:rPr>
        <w:t>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9.13投</w:t>
      </w:r>
      <w:r>
        <w:rPr>
          <w:rFonts w:hint="eastAsia" w:ascii="仿宋_GB2312" w:hAnsi="宋体" w:eastAsia="仿宋_GB2312"/>
          <w:b/>
          <w:kern w:val="0"/>
          <w:sz w:val="24"/>
        </w:rPr>
        <w:t>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highlight w:val="none"/>
        </w:rPr>
      </w:pPr>
      <w:r>
        <w:rPr>
          <w:rFonts w:hint="eastAsia" w:ascii="仿宋_GB2312" w:hAnsi="宋体" w:eastAsia="仿宋_GB2312"/>
          <w:b/>
          <w:kern w:val="0"/>
          <w:sz w:val="24"/>
        </w:rPr>
        <w:t>9.14评</w:t>
      </w:r>
      <w:r>
        <w:rPr>
          <w:rFonts w:hint="eastAsia" w:ascii="仿宋_GB2312" w:hAnsi="宋体" w:eastAsia="仿宋_GB2312"/>
          <w:b/>
          <w:sz w:val="24"/>
        </w:rPr>
        <w:t>标委员会认为投标人的报价明显</w:t>
      </w:r>
      <w:r>
        <w:rPr>
          <w:rFonts w:hint="eastAsia" w:ascii="仿宋_GB2312" w:hAnsi="宋体" w:eastAsia="仿宋_GB2312"/>
          <w:b/>
          <w:color w:val="FF0000"/>
          <w:sz w:val="24"/>
          <w:lang w:val="en-US" w:eastAsia="zh-CN"/>
        </w:rPr>
        <w:t>高于</w:t>
      </w:r>
      <w:r>
        <w:rPr>
          <w:rFonts w:hint="eastAsia" w:ascii="仿宋_GB2312" w:hAnsi="宋体" w:eastAsia="仿宋_GB2312"/>
          <w:b/>
          <w:sz w:val="24"/>
        </w:rPr>
        <w:t>其他通过符合性审查投标人的报价，有可能影响产品质量或者不能诚信履约的，未能按要求提供书面说明或者提交相关证明材料</w:t>
      </w:r>
      <w:r>
        <w:rPr>
          <w:rFonts w:hint="eastAsia" w:ascii="仿宋_GB2312" w:hAnsi="宋体" w:eastAsia="仿宋_GB2312"/>
          <w:b/>
          <w:sz w:val="24"/>
          <w:highlight w:val="none"/>
        </w:rPr>
        <w:t>证明其报价合理性的;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5</w:t>
      </w:r>
      <w:r>
        <w:rPr>
          <w:rFonts w:hint="eastAsia" w:ascii="仿宋_GB2312" w:hAnsi="宋体" w:eastAsia="仿宋_GB2312"/>
          <w:b/>
          <w:sz w:val="24"/>
        </w:rPr>
        <w:t>投标文件“商务技术（资信）文件资料”部分中出现《开标一览表》相关内容的；</w:t>
      </w:r>
    </w:p>
    <w:p>
      <w:pPr>
        <w:tabs>
          <w:tab w:val="left" w:pos="3870"/>
          <w:tab w:val="left" w:pos="4085"/>
        </w:tabs>
        <w:snapToGrid w:val="0"/>
        <w:spacing w:line="440" w:lineRule="exact"/>
        <w:jc w:val="left"/>
        <w:rPr>
          <w:rFonts w:ascii="仿宋_GB2312" w:hAnsi="仿宋" w:eastAsia="仿宋_GB2312" w:cs="仿宋_GB2312"/>
          <w:b/>
          <w:sz w:val="24"/>
          <w:szCs w:val="21"/>
        </w:rPr>
      </w:pPr>
      <w:r>
        <w:rPr>
          <w:rFonts w:hint="eastAsia" w:ascii="仿宋_GB2312" w:hAnsi="仿宋" w:eastAsia="仿宋_GB2312" w:cs="仿宋_GB2312"/>
          <w:b/>
          <w:sz w:val="24"/>
          <w:szCs w:val="21"/>
        </w:rPr>
        <w:t>9.1</w:t>
      </w:r>
      <w:r>
        <w:rPr>
          <w:rFonts w:hint="eastAsia" w:ascii="仿宋_GB2312" w:hAnsi="仿宋" w:eastAsia="仿宋_GB2312" w:cs="仿宋_GB2312"/>
          <w:b/>
          <w:sz w:val="24"/>
          <w:szCs w:val="21"/>
          <w:lang w:val="en-US" w:eastAsia="zh-CN"/>
        </w:rPr>
        <w:t>6</w:t>
      </w:r>
      <w:r>
        <w:rPr>
          <w:rFonts w:hint="eastAsia" w:ascii="仿宋_GB2312" w:hAnsi="仿宋" w:eastAsia="仿宋_GB2312" w:cs="仿宋_GB2312"/>
          <w:b/>
          <w:sz w:val="24"/>
          <w:szCs w:val="21"/>
        </w:rPr>
        <w:t>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7</w:t>
      </w:r>
      <w:r>
        <w:rPr>
          <w:rFonts w:hint="eastAsia" w:ascii="仿宋_GB2312" w:hAnsi="宋体" w:eastAsia="仿宋_GB2312"/>
          <w:b/>
          <w:sz w:val="24"/>
        </w:rPr>
        <w:t>《开标一览表》填写不完整或字迹不能辨认或有漏项的，经评标委员会认定属于重大偏差的；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9.1</w:t>
      </w:r>
      <w:r>
        <w:rPr>
          <w:rFonts w:hint="eastAsia" w:ascii="仿宋_GB2312" w:hAnsi="宋体" w:eastAsia="仿宋_GB2312"/>
          <w:b/>
          <w:sz w:val="24"/>
          <w:lang w:val="en-US" w:eastAsia="zh-CN"/>
        </w:rPr>
        <w:t>8</w:t>
      </w:r>
      <w:r>
        <w:rPr>
          <w:rFonts w:hint="eastAsia" w:ascii="仿宋_GB2312" w:hAnsi="宋体" w:eastAsia="仿宋_GB2312"/>
          <w:b/>
          <w:sz w:val="24"/>
        </w:rPr>
        <w:t>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w:t>
      </w:r>
      <w:r>
        <w:rPr>
          <w:rFonts w:hint="eastAsia" w:ascii="仿宋_GB2312" w:hAnsi="宋体" w:eastAsia="仿宋_GB2312"/>
          <w:b/>
          <w:sz w:val="24"/>
          <w:lang w:val="en-US" w:eastAsia="zh-CN"/>
        </w:rPr>
        <w:t>19</w:t>
      </w:r>
      <w:r>
        <w:rPr>
          <w:rFonts w:hint="eastAsia" w:ascii="仿宋_GB2312" w:hAnsi="宋体" w:eastAsia="仿宋_GB2312"/>
          <w:b/>
          <w:sz w:val="24"/>
        </w:rPr>
        <w:t>投标人提供虚假材料投标的（包括但不限于以下情节）；</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.1使用伪造、变造的许可证件；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.2提供虚假的财务状况或者业绩；</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.4提供虚假的信用状况；</w:t>
      </w:r>
    </w:p>
    <w:p>
      <w:pPr>
        <w:tabs>
          <w:tab w:val="left" w:pos="3870"/>
          <w:tab w:val="left" w:pos="4085"/>
        </w:tabs>
        <w:snapToGrid w:val="0"/>
        <w:spacing w:line="440" w:lineRule="exact"/>
        <w:ind w:firstLine="480"/>
        <w:jc w:val="left"/>
        <w:rPr>
          <w:rFonts w:ascii="仿宋_GB2312" w:hAnsi="宋体" w:eastAsia="仿宋_GB2312"/>
          <w:sz w:val="24"/>
        </w:rPr>
      </w:pPr>
      <w:r>
        <w:rPr>
          <w:rFonts w:hint="eastAsia" w:ascii="仿宋_GB2312" w:hAnsi="宋体" w:eastAsia="仿宋_GB2312"/>
          <w:sz w:val="24"/>
        </w:rPr>
        <w:t>9.</w:t>
      </w:r>
      <w:r>
        <w:rPr>
          <w:rFonts w:hint="eastAsia" w:ascii="仿宋_GB2312" w:hAnsi="宋体" w:eastAsia="仿宋_GB2312"/>
          <w:sz w:val="24"/>
          <w:lang w:val="en-US" w:eastAsia="zh-CN"/>
        </w:rPr>
        <w:t>19</w:t>
      </w:r>
      <w:r>
        <w:rPr>
          <w:rFonts w:hint="eastAsia" w:ascii="仿宋_GB2312" w:hAnsi="宋体" w:eastAsia="仿宋_GB2312"/>
          <w:sz w:val="24"/>
        </w:rPr>
        <w:t>.5其他弄虚作假的行为。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0</w:t>
      </w:r>
      <w:r>
        <w:rPr>
          <w:rFonts w:hint="eastAsia" w:ascii="仿宋_GB2312" w:hAnsi="宋体" w:eastAsia="仿宋_GB2312"/>
          <w:b/>
          <w:sz w:val="24"/>
        </w:rPr>
        <w:t>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.5不同投标人的投标文件相互混装；</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9.2</w:t>
      </w:r>
      <w:r>
        <w:rPr>
          <w:rFonts w:hint="eastAsia" w:ascii="仿宋_GB2312" w:hAnsi="宋体" w:eastAsia="仿宋_GB2312"/>
          <w:sz w:val="24"/>
          <w:lang w:val="en-US" w:eastAsia="zh-CN"/>
        </w:rPr>
        <w:t>0</w:t>
      </w:r>
      <w:r>
        <w:rPr>
          <w:rFonts w:hint="eastAsia" w:ascii="仿宋_GB2312" w:hAnsi="宋体" w:eastAsia="仿宋_GB2312"/>
          <w:sz w:val="24"/>
        </w:rPr>
        <w:t>.6有二份及二份以上投标文件的相互之间有特别相同或相似之处，且经询标澄清投标人无令人信服的理由和可靠证据证明其合理性的，经评标委员会半数以上成员确认有串通投标嫌疑的；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1</w:t>
      </w:r>
      <w:r>
        <w:rPr>
          <w:rFonts w:hint="eastAsia" w:ascii="仿宋_GB2312" w:hAnsi="宋体" w:eastAsia="仿宋_GB2312"/>
          <w:b/>
          <w:sz w:val="24"/>
        </w:rPr>
        <w:t>有下列情形之一的，属于恶意串通，其投标无效：</w:t>
      </w:r>
    </w:p>
    <w:p>
      <w:pPr>
        <w:spacing w:line="440" w:lineRule="exact"/>
        <w:ind w:firstLine="480" w:firstLineChars="200"/>
        <w:rPr>
          <w:rFonts w:ascii="仿宋_GB2312" w:hAnsi="仿宋" w:eastAsia="仿宋_GB2312" w:cs="仿宋_GB2312"/>
          <w:sz w:val="24"/>
        </w:rPr>
      </w:pPr>
      <w:r>
        <w:rPr>
          <w:rFonts w:hint="eastAsia" w:ascii="仿宋_GB2312" w:hAnsi="仿宋" w:eastAsia="仿宋_GB2312"/>
          <w:sz w:val="24"/>
        </w:rPr>
        <w:t>9.2</w:t>
      </w:r>
      <w:r>
        <w:rPr>
          <w:rFonts w:hint="eastAsia" w:ascii="仿宋_GB2312" w:hAnsi="仿宋" w:eastAsia="仿宋_GB2312"/>
          <w:sz w:val="24"/>
          <w:lang w:val="en-US" w:eastAsia="zh-CN"/>
        </w:rPr>
        <w:t>1</w:t>
      </w:r>
      <w:r>
        <w:rPr>
          <w:rFonts w:hint="eastAsia" w:ascii="仿宋_GB2312" w:hAnsi="仿宋" w:eastAsia="仿宋_GB2312"/>
          <w:sz w:val="24"/>
        </w:rPr>
        <w:t>.1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.2供应商按照采购人或者采购机构的授意撤换、修改投标文件或者响应文件；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.3供应商之间协商报价、技术方案等投标文件或者响应文件的实质性内容；</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.4属于同一集团、协会、商会等组织成员的供应商按照该组织要求协同参加政府采购活动；</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.5供应商之间事先约定由某一特定供应商中标、成交；</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9.2</w:t>
      </w:r>
      <w:r>
        <w:rPr>
          <w:rFonts w:hint="eastAsia" w:ascii="仿宋_GB2312" w:hAnsi="仿宋" w:eastAsia="仿宋_GB2312" w:cs="仿宋_GB2312"/>
          <w:sz w:val="24"/>
          <w:szCs w:val="21"/>
          <w:lang w:val="en-US" w:eastAsia="zh-CN"/>
        </w:rPr>
        <w:t>1</w:t>
      </w:r>
      <w:r>
        <w:rPr>
          <w:rFonts w:hint="eastAsia" w:ascii="仿宋_GB2312" w:hAnsi="仿宋" w:eastAsia="仿宋_GB2312" w:cs="仿宋_GB2312"/>
          <w:sz w:val="24"/>
          <w:szCs w:val="21"/>
        </w:rPr>
        <w:t>.7供应商与采购人或者采购机构之间、供应商相互之间，为谋求特定供应商中标、成交或者排斥其他供应商的其他串通行为。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9.2</w:t>
      </w:r>
      <w:r>
        <w:rPr>
          <w:rFonts w:hint="eastAsia" w:ascii="仿宋_GB2312" w:hAnsi="仿宋_GB2312" w:eastAsia="仿宋_GB2312" w:cs="仿宋_GB2312"/>
          <w:b/>
          <w:sz w:val="24"/>
          <w:szCs w:val="21"/>
          <w:lang w:val="en-US" w:eastAsia="zh-CN"/>
        </w:rPr>
        <w:t>2</w:t>
      </w:r>
      <w:r>
        <w:rPr>
          <w:rFonts w:hint="eastAsia" w:ascii="仿宋_GB2312" w:hAnsi="宋体" w:eastAsia="仿宋_GB2312"/>
          <w:b/>
          <w:sz w:val="24"/>
        </w:rPr>
        <w:t>评标委员会认定有重大偏差或实质性不响应招标文件要求的；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9.2</w:t>
      </w:r>
      <w:r>
        <w:rPr>
          <w:rFonts w:hint="eastAsia" w:ascii="仿宋_GB2312" w:hAnsi="宋体" w:eastAsia="仿宋_GB2312"/>
          <w:b/>
          <w:sz w:val="24"/>
          <w:lang w:val="en-US" w:eastAsia="zh-CN"/>
        </w:rPr>
        <w:t>3</w:t>
      </w:r>
      <w:r>
        <w:rPr>
          <w:rFonts w:hint="eastAsia" w:ascii="仿宋_GB2312" w:hAnsi="宋体" w:eastAsia="仿宋_GB2312"/>
          <w:b/>
          <w:sz w:val="24"/>
        </w:rPr>
        <w:t>投标文件出现不是唯一的、有选择性投标报价的；</w:t>
      </w:r>
    </w:p>
    <w:p>
      <w:pPr>
        <w:spacing w:line="440" w:lineRule="exact"/>
      </w:pPr>
      <w:r>
        <w:rPr>
          <w:rFonts w:hint="eastAsia" w:ascii="仿宋_GB2312" w:eastAsia="仿宋_GB2312"/>
          <w:b/>
          <w:sz w:val="24"/>
        </w:rPr>
        <w:t>9.2</w:t>
      </w:r>
      <w:r>
        <w:rPr>
          <w:rFonts w:hint="eastAsia" w:ascii="仿宋_GB2312" w:eastAsia="仿宋_GB2312"/>
          <w:b/>
          <w:sz w:val="24"/>
          <w:lang w:val="en-US" w:eastAsia="zh-CN"/>
        </w:rPr>
        <w:t>4</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10.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10.1</w:t>
      </w:r>
      <w:r>
        <w:rPr>
          <w:rFonts w:hint="eastAsia" w:ascii="仿宋_GB2312" w:hAnsi="仿宋"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10.2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p>
      <w:pPr>
        <w:pStyle w:val="13"/>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sz w:val="24"/>
        </w:rPr>
      </w:pPr>
      <w:r>
        <w:rPr>
          <w:rFonts w:hint="eastAsia" w:ascii="仿宋_GB2312" w:hAnsi="宋体" w:eastAsia="仿宋_GB2312"/>
          <w:sz w:val="24"/>
        </w:rPr>
        <w:t>2.3采购人应在确认中标人前再次对资格条件和相关证件材料进一步查验核实。</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2"/>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w:t>
      </w:r>
      <w:r>
        <w:rPr>
          <w:rFonts w:hint="eastAsia" w:ascii="仿宋_GB2312" w:hAnsi="宋体" w:eastAsia="仿宋_GB2312"/>
          <w:highlight w:val="none"/>
        </w:rPr>
        <w:t>标结果在</w:t>
      </w:r>
      <w:r>
        <w:rPr>
          <w:rFonts w:hint="eastAsia" w:ascii="仿宋_GB2312" w:hAnsi="Helvetica" w:eastAsia="仿宋_GB2312" w:cs="Helvetica"/>
          <w:kern w:val="0"/>
          <w:highlight w:val="none"/>
        </w:rPr>
        <w:t>浙江政府采购网</w:t>
      </w:r>
      <w:r>
        <w:rPr>
          <w:highlight w:val="none"/>
        </w:rPr>
        <w:fldChar w:fldCharType="begin"/>
      </w:r>
      <w:r>
        <w:rPr>
          <w:highlight w:val="none"/>
        </w:rPr>
        <w:instrText xml:space="preserve"> HYPERLINK "http://www.zjzfcg.gov.cn" </w:instrText>
      </w:r>
      <w:r>
        <w:rPr>
          <w:highlight w:val="none"/>
        </w:rPr>
        <w:fldChar w:fldCharType="separate"/>
      </w:r>
      <w:r>
        <w:rPr>
          <w:rStyle w:val="48"/>
          <w:rFonts w:hint="eastAsia" w:ascii="仿宋_GB2312" w:hAnsi="Helvetica" w:eastAsia="仿宋_GB2312" w:cs="Helvetica"/>
          <w:color w:val="auto"/>
          <w:kern w:val="0"/>
          <w:highlight w:val="none"/>
        </w:rPr>
        <w:t>http://zfcg.czt.zj.gov.cn/</w:t>
      </w:r>
      <w:r>
        <w:rPr>
          <w:rStyle w:val="48"/>
          <w:rFonts w:hint="eastAsia" w:ascii="仿宋_GB2312" w:hAnsi="Helvetica" w:eastAsia="仿宋_GB2312" w:cs="Helvetica"/>
          <w:color w:val="auto"/>
          <w:kern w:val="0"/>
          <w:highlight w:val="none"/>
        </w:rPr>
        <w:fldChar w:fldCharType="end"/>
      </w:r>
      <w:r>
        <w:rPr>
          <w:rFonts w:hint="eastAsia"/>
        </w:rPr>
        <w:t>，</w:t>
      </w:r>
      <w:r>
        <w:rPr>
          <w:rFonts w:hint="eastAsia" w:ascii="仿宋" w:hAnsi="仿宋" w:eastAsia="仿宋" w:cs="仿宋"/>
        </w:rPr>
        <w:t>绍兴市人民医院官网</w:t>
      </w:r>
      <w:r>
        <w:fldChar w:fldCharType="begin"/>
      </w:r>
      <w:r>
        <w:instrText xml:space="preserve"> HYPERLINK "http://www.312000.net/" </w:instrText>
      </w:r>
      <w:r>
        <w:fldChar w:fldCharType="separate"/>
      </w:r>
      <w:r>
        <w:rPr>
          <w:rFonts w:hint="eastAsia"/>
        </w:rPr>
        <w:t>http://www.312000.net/</w:t>
      </w:r>
      <w:r>
        <w:rPr>
          <w:rFonts w:hint="eastAsia"/>
        </w:rPr>
        <w:fldChar w:fldCharType="end"/>
      </w:r>
      <w:r>
        <w:rPr>
          <w:rFonts w:hint="eastAsia" w:ascii="仿宋" w:hAnsi="仿宋" w:eastAsia="仿宋" w:cs="仿宋"/>
        </w:rPr>
        <w:t>，绍兴市卫健委官网</w:t>
      </w:r>
      <w:r>
        <w:rPr>
          <w:rFonts w:ascii="仿宋" w:hAnsi="仿宋" w:eastAsia="仿宋" w:cs="仿宋"/>
        </w:rPr>
        <w:t>http://sxws.sx.gov.cn/</w:t>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3.2采购机构向中标供应商签发中标通知书。在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spacing w:line="440" w:lineRule="exact"/>
        <w:jc w:val="left"/>
        <w:rPr>
          <w:rFonts w:ascii="仿宋_GB2312" w:hAnsi="宋体" w:eastAsia="仿宋_GB2312"/>
          <w:sz w:val="24"/>
        </w:rPr>
      </w:pPr>
      <w:r>
        <w:rPr>
          <w:rFonts w:hint="eastAsia" w:ascii="仿宋_GB2312" w:hAnsi="宋体" w:eastAsia="仿宋_GB2312"/>
          <w:sz w:val="24"/>
        </w:rPr>
        <w:t>3.3采购代理机构对中标结果不作任何说明和解释，也不回答任何提问。</w:t>
      </w:r>
    </w:p>
    <w:p>
      <w:pPr>
        <w:spacing w:line="440" w:lineRule="exact"/>
        <w:jc w:val="left"/>
        <w:rPr>
          <w:rFonts w:ascii="仿宋_GB2312" w:hAnsi="宋体" w:eastAsia="仿宋_GB2312"/>
          <w:b/>
          <w:sz w:val="24"/>
        </w:rPr>
      </w:pPr>
      <w:r>
        <w:rPr>
          <w:rFonts w:hint="eastAsia" w:ascii="仿宋_GB2312" w:hAnsi="宋体" w:eastAsia="仿宋_GB2312"/>
          <w:b/>
          <w:sz w:val="24"/>
        </w:rPr>
        <w:t>4．履约保证金</w:t>
      </w:r>
    </w:p>
    <w:p>
      <w:pPr>
        <w:spacing w:line="440" w:lineRule="exact"/>
        <w:jc w:val="left"/>
        <w:rPr>
          <w:rFonts w:ascii="仿宋_GB2312" w:hAnsi="宋体" w:eastAsia="仿宋_GB2312"/>
          <w:sz w:val="24"/>
        </w:rPr>
      </w:pPr>
      <w:r>
        <w:rPr>
          <w:rFonts w:hint="eastAsia" w:ascii="仿宋_GB2312" w:hAnsi="宋体" w:eastAsia="仿宋_GB2312"/>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_GB2312" w:hAnsi="宋体" w:eastAsia="仿宋_GB2312"/>
          <w:sz w:val="24"/>
        </w:rPr>
      </w:pPr>
      <w:r>
        <w:rPr>
          <w:rFonts w:hint="eastAsia" w:ascii="仿宋_GB2312" w:hAnsi="宋体" w:eastAsia="仿宋_GB2312"/>
          <w:sz w:val="24"/>
        </w:rPr>
        <w:t>4.2</w:t>
      </w:r>
      <w:r>
        <w:rPr>
          <w:rFonts w:ascii="仿宋_GB2312" w:hAnsi="宋体" w:eastAsia="仿宋_GB2312"/>
          <w:sz w:val="24"/>
        </w:rPr>
        <w:t>项目验收结束</w:t>
      </w:r>
      <w:r>
        <w:rPr>
          <w:rFonts w:hint="eastAsia" w:ascii="仿宋_GB2312" w:hAnsi="宋体" w:eastAsia="仿宋_GB2312"/>
          <w:sz w:val="24"/>
        </w:rPr>
        <w:t>后，采购人应及时退还履约保证金。</w:t>
      </w:r>
    </w:p>
    <w:p>
      <w:pPr>
        <w:spacing w:line="440" w:lineRule="exact"/>
        <w:jc w:val="left"/>
        <w:rPr>
          <w:rFonts w:ascii="仿宋_GB2312" w:hAnsi="宋体" w:eastAsia="仿宋_GB2312"/>
          <w:sz w:val="24"/>
        </w:rPr>
      </w:pPr>
      <w:r>
        <w:rPr>
          <w:rFonts w:hint="eastAsia" w:ascii="仿宋_GB2312" w:hAnsi="宋体" w:eastAsia="仿宋_GB2312"/>
          <w:sz w:val="24"/>
        </w:rPr>
        <w:t>4.3供应商以银行、保险公司出具保函形式提交履约保证金的，采购人不得拒收。</w:t>
      </w:r>
    </w:p>
    <w:p>
      <w:pPr>
        <w:spacing w:line="440" w:lineRule="exact"/>
        <w:jc w:val="left"/>
        <w:rPr>
          <w:rFonts w:ascii="仿宋_GB2312" w:hAnsi="宋体" w:eastAsia="仿宋_GB2312"/>
          <w:sz w:val="24"/>
        </w:rPr>
      </w:pPr>
      <w:r>
        <w:rPr>
          <w:rFonts w:ascii="仿宋_GB2312" w:hAnsi="宋体" w:eastAsia="仿宋_GB2312"/>
          <w:sz w:val="24"/>
        </w:rPr>
        <w:t>4.4政府采购货物和服务项目不得收取质量保证金。</w:t>
      </w:r>
    </w:p>
    <w:p>
      <w:pPr>
        <w:spacing w:line="440" w:lineRule="exact"/>
        <w:jc w:val="left"/>
        <w:rPr>
          <w:rFonts w:ascii="仿宋_GB2312" w:hAnsi="宋体" w:eastAsia="仿宋_GB2312"/>
          <w:b/>
          <w:sz w:val="24"/>
        </w:rPr>
      </w:pPr>
      <w:r>
        <w:rPr>
          <w:rFonts w:hint="eastAsia" w:ascii="仿宋_GB2312" w:hAnsi="宋体" w:eastAsia="仿宋_GB2312"/>
          <w:b/>
          <w:sz w:val="24"/>
        </w:rPr>
        <w:t>5．合同签订及备案</w:t>
      </w:r>
    </w:p>
    <w:p>
      <w:pPr>
        <w:spacing w:line="440" w:lineRule="exact"/>
        <w:jc w:val="left"/>
        <w:rPr>
          <w:rFonts w:ascii="仿宋_GB2312" w:hAnsi="宋体" w:eastAsia="仿宋_GB2312"/>
          <w:sz w:val="24"/>
        </w:rPr>
      </w:pPr>
      <w:r>
        <w:rPr>
          <w:rFonts w:hint="eastAsia" w:ascii="仿宋_GB2312" w:hAnsi="宋体" w:eastAsia="仿宋_GB2312"/>
          <w:sz w:val="24"/>
        </w:rPr>
        <w:t>5.1中标人应当在中标通知书发出之日起30天内与采购人签订合同，自采购合同签订之日起</w:t>
      </w:r>
      <w:r>
        <w:rPr>
          <w:rFonts w:hint="eastAsia" w:ascii="仿宋_GB2312" w:hAnsi="宋体" w:eastAsia="仿宋_GB2312"/>
          <w:b/>
          <w:sz w:val="24"/>
        </w:rPr>
        <w:t>3个工作日内</w:t>
      </w:r>
      <w:r>
        <w:rPr>
          <w:rFonts w:hint="eastAsia" w:ascii="仿宋_GB2312" w:hAnsi="宋体" w:eastAsia="仿宋_GB2312"/>
          <w:sz w:val="24"/>
        </w:rPr>
        <w:t>向采购机构进行备案。</w:t>
      </w:r>
    </w:p>
    <w:p>
      <w:pPr>
        <w:spacing w:line="440" w:lineRule="exact"/>
        <w:jc w:val="left"/>
        <w:rPr>
          <w:rFonts w:ascii="仿宋_GB2312" w:hAnsi="宋体" w:eastAsia="仿宋_GB2312"/>
          <w:sz w:val="24"/>
        </w:rPr>
      </w:pPr>
      <w:r>
        <w:rPr>
          <w:rFonts w:hint="eastAsia" w:ascii="仿宋_GB2312" w:hAnsi="宋体" w:eastAsia="仿宋_GB2312"/>
          <w:sz w:val="24"/>
        </w:rPr>
        <w:t>5.2如中标人为联合体的，由联合体成员各方法定代表人或其授权代表与采购人代表签订合同。</w:t>
      </w:r>
    </w:p>
    <w:p>
      <w:pPr>
        <w:spacing w:line="440" w:lineRule="exact"/>
        <w:jc w:val="left"/>
        <w:rPr>
          <w:rFonts w:ascii="仿宋_GB2312" w:hAnsi="宋体" w:eastAsia="仿宋_GB2312"/>
          <w:b/>
          <w:sz w:val="24"/>
        </w:rPr>
      </w:pPr>
      <w:r>
        <w:rPr>
          <w:rFonts w:hint="eastAsia" w:ascii="仿宋_GB2312" w:hAnsi="宋体" w:eastAsia="仿宋_GB2312"/>
          <w:b/>
          <w:sz w:val="24"/>
        </w:rPr>
        <w:t>6.验收</w:t>
      </w:r>
    </w:p>
    <w:p>
      <w:pPr>
        <w:spacing w:line="440" w:lineRule="exact"/>
        <w:jc w:val="left"/>
        <w:rPr>
          <w:rFonts w:ascii="仿宋_GB2312" w:hAnsi="宋体" w:eastAsia="仿宋_GB2312"/>
          <w:sz w:val="24"/>
        </w:rPr>
      </w:pPr>
      <w:r>
        <w:rPr>
          <w:rFonts w:hint="eastAsia" w:ascii="仿宋_GB2312" w:hAnsi="宋体" w:eastAsia="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sz w:val="24"/>
        </w:rPr>
      </w:pPr>
      <w:r>
        <w:rPr>
          <w:rFonts w:hint="eastAsia" w:ascii="仿宋_GB2312" w:hAnsi="宋体" w:eastAsia="仿宋_GB2312"/>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sz w:val="24"/>
        </w:rPr>
      </w:pPr>
      <w:r>
        <w:rPr>
          <w:rFonts w:hint="eastAsia" w:ascii="仿宋_GB2312" w:hAnsi="宋体" w:eastAsia="仿宋_GB2312"/>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b/>
          <w:sz w:val="24"/>
        </w:rPr>
      </w:pPr>
      <w:r>
        <w:rPr>
          <w:rFonts w:hint="eastAsia" w:ascii="仿宋_GB2312" w:hAnsi="宋体" w:eastAsia="仿宋_GB2312"/>
          <w:b/>
          <w:sz w:val="24"/>
        </w:rPr>
        <w:t>7. 售后服务考核</w:t>
      </w:r>
    </w:p>
    <w:p>
      <w:pPr>
        <w:spacing w:line="440" w:lineRule="exact"/>
        <w:ind w:firstLine="480" w:firstLineChars="200"/>
        <w:jc w:val="left"/>
        <w:rPr>
          <w:rFonts w:ascii="仿宋" w:eastAsia="仿宋"/>
          <w:sz w:val="24"/>
        </w:rPr>
      </w:pPr>
      <w:r>
        <w:rPr>
          <w:rFonts w:hint="eastAsia" w:ascii="仿宋_GB2312" w:hAnsi="宋体" w:eastAsia="仿宋_GB2312"/>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
        <w:br w:type="page"/>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rPr>
        <w:tab/>
      </w:r>
      <w:r>
        <w:rPr>
          <w:rFonts w:hint="eastAsia" w:ascii="仿宋_GB2312" w:hAnsi="仿宋" w:eastAsia="仿宋_GB2312"/>
          <w:sz w:val="24"/>
        </w:rPr>
        <w:t>原则上由采购人回复的质疑：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（1）对采购文件中特定资格条件、采购需求、评分办法提出的质疑；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（2）对采购过程中有关现场考察或开标前答疑会事项提出的质疑。</w:t>
      </w:r>
    </w:p>
    <w:p>
      <w:pPr>
        <w:pStyle w:val="23"/>
        <w:spacing w:line="360" w:lineRule="auto"/>
        <w:ind w:firstLine="720" w:firstLineChars="300"/>
        <w:rPr>
          <w:rFonts w:ascii="仿宋_GB2312" w:hAnsi="仿宋" w:eastAsia="仿宋_GB2312"/>
          <w:sz w:val="24"/>
        </w:rPr>
      </w:pPr>
      <w:r>
        <w:rPr>
          <w:rFonts w:hint="eastAsia" w:ascii="仿宋_GB2312" w:hAnsi="仿宋" w:eastAsia="仿宋_GB2312"/>
          <w:sz w:val="24"/>
        </w:rPr>
        <w:t>原则上由采购代理机构回复的质疑：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（1）除特定资格条件、采购需求、评分办法外，对采购文件中其他内容提出的质疑；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（2）除有关现场考察或开标前答疑会事项外，对采购过程中其它事项提出的质疑；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3"/>
        <w:spacing w:line="360" w:lineRule="auto"/>
        <w:ind w:firstLine="480" w:firstLineChars="200"/>
        <w:rPr>
          <w:rFonts w:ascii="仿宋_GB2312" w:hAnsi="仿宋" w:eastAsia="仿宋_GB2312"/>
          <w:sz w:val="24"/>
        </w:rPr>
      </w:pPr>
      <w:r>
        <w:rPr>
          <w:rFonts w:hint="eastAsia" w:ascii="仿宋_GB2312" w:hAnsi="宋体" w:eastAsia="仿宋_GB2312" w:cs="宋体"/>
          <w:kern w:val="0"/>
          <w:sz w:val="24"/>
        </w:rPr>
        <w:t>7.质疑函范本、投诉书范本请到浙江政府采购网下载专区下载。</w:t>
      </w:r>
    </w:p>
    <w:p>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pStyle w:val="23"/>
        <w:spacing w:line="360" w:lineRule="auto"/>
        <w:ind w:firstLine="480" w:firstLineChars="200"/>
        <w:rPr>
          <w:rFonts w:hint="eastAsia" w:ascii="仿宋_GB2312" w:hAnsi="仿宋" w:eastAsia="仿宋_GB2312" w:cs="Times New Roman"/>
          <w:sz w:val="28"/>
          <w:szCs w:val="28"/>
          <w:lang w:val="en-US" w:eastAsia="zh-CN"/>
        </w:rPr>
      </w:pPr>
      <w:bookmarkStart w:id="9" w:name="_Toc84325981"/>
      <w:bookmarkStart w:id="10" w:name="_Toc80157775"/>
      <w:bookmarkStart w:id="11" w:name="_Toc81372787"/>
      <w:bookmarkStart w:id="12" w:name="_Toc81372964"/>
      <w:r>
        <w:rPr>
          <w:rFonts w:hint="eastAsia" w:ascii="宋体" w:hAnsi="宋体" w:cs="Arial"/>
          <w:bCs/>
          <w:sz w:val="24"/>
          <w:lang w:val="en-US" w:eastAsia="zh-CN"/>
        </w:rPr>
        <w:t>一</w:t>
      </w:r>
      <w:r>
        <w:rPr>
          <w:rFonts w:hint="eastAsia" w:ascii="仿宋_GB2312" w:hAnsi="仿宋" w:eastAsia="仿宋_GB2312" w:cs="Times New Roman"/>
          <w:sz w:val="28"/>
          <w:szCs w:val="28"/>
          <w:lang w:val="en-US" w:eastAsia="zh-CN"/>
        </w:rPr>
        <w:t>．招标项目范围及要求</w:t>
      </w:r>
    </w:p>
    <w:p>
      <w:pPr>
        <w:pStyle w:val="23"/>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bdr w:val="single" w:color="auto" w:sz="4" w:space="0"/>
        </w:rPr>
        <w:t>01</w:t>
      </w:r>
      <w:r>
        <w:rPr>
          <w:rFonts w:hint="eastAsia" w:ascii="仿宋" w:hAnsi="仿宋" w:eastAsia="仿宋" w:cs="仿宋"/>
          <w:b/>
          <w:bCs/>
          <w:sz w:val="24"/>
          <w:szCs w:val="24"/>
        </w:rPr>
        <w:t xml:space="preserve"> 标 绍兴市人民医院工会生日蛋糕劵采购项目，</w:t>
      </w:r>
      <w:r>
        <w:rPr>
          <w:rFonts w:hint="eastAsia" w:ascii="仿宋" w:hAnsi="仿宋" w:eastAsia="仿宋" w:cs="仿宋"/>
          <w:b/>
          <w:bCs/>
          <w:sz w:val="24"/>
          <w:szCs w:val="24"/>
          <w:highlight w:val="none"/>
        </w:rPr>
        <w:t>预算金额;</w:t>
      </w:r>
      <w:r>
        <w:rPr>
          <w:rFonts w:hint="eastAsia" w:ascii="仿宋" w:hAnsi="仿宋" w:eastAsia="仿宋" w:cs="仿宋"/>
          <w:b/>
          <w:bCs/>
          <w:sz w:val="24"/>
          <w:szCs w:val="24"/>
          <w:highlight w:val="none"/>
          <w:lang w:val="en-US" w:eastAsia="zh-CN"/>
        </w:rPr>
        <w:t>105</w:t>
      </w:r>
      <w:r>
        <w:rPr>
          <w:rFonts w:hint="eastAsia" w:ascii="仿宋" w:hAnsi="仿宋" w:eastAsia="仿宋" w:cs="仿宋"/>
          <w:b/>
          <w:bCs/>
          <w:sz w:val="24"/>
          <w:szCs w:val="24"/>
          <w:highlight w:val="none"/>
        </w:rPr>
        <w:t>万元</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1.采购内容</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366"/>
        <w:gridCol w:w="1957"/>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采购支付金额</w:t>
            </w:r>
          </w:p>
          <w:p>
            <w:pPr>
              <w:jc w:val="center"/>
              <w:rPr>
                <w:rFonts w:hint="eastAsia" w:ascii="仿宋" w:hAnsi="仿宋" w:eastAsia="仿宋" w:cs="仿宋"/>
                <w:b/>
                <w:bCs/>
                <w:sz w:val="24"/>
                <w:szCs w:val="24"/>
              </w:rPr>
            </w:pPr>
            <w:r>
              <w:rPr>
                <w:rFonts w:hint="eastAsia" w:ascii="仿宋" w:hAnsi="仿宋" w:eastAsia="仿宋" w:cs="仿宋"/>
                <w:b/>
                <w:bCs/>
                <w:sz w:val="24"/>
                <w:szCs w:val="24"/>
              </w:rPr>
              <w:t>（每人份）</w:t>
            </w:r>
          </w:p>
        </w:tc>
        <w:tc>
          <w:tcPr>
            <w:tcW w:w="2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生日蛋糕劵</w:t>
            </w:r>
          </w:p>
        </w:tc>
        <w:tc>
          <w:tcPr>
            <w:tcW w:w="2366"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生日蛋糕劵面值=300元，劵价值≥300元</w:t>
            </w:r>
          </w:p>
        </w:tc>
        <w:tc>
          <w:tcPr>
            <w:tcW w:w="1957"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300元</w:t>
            </w:r>
          </w:p>
        </w:tc>
        <w:tc>
          <w:tcPr>
            <w:tcW w:w="250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凭兑换劵可兑换其所属所有门店内所有商品。</w:t>
            </w:r>
          </w:p>
        </w:tc>
      </w:tr>
    </w:tbl>
    <w:p>
      <w:pPr>
        <w:pStyle w:val="23"/>
        <w:spacing w:line="360" w:lineRule="auto"/>
        <w:ind w:left="559" w:leftChars="266"/>
        <w:rPr>
          <w:rFonts w:hint="eastAsia" w:ascii="仿宋" w:hAnsi="仿宋" w:eastAsia="仿宋" w:cs="仿宋"/>
          <w:sz w:val="24"/>
          <w:szCs w:val="24"/>
          <w:highlight w:val="none"/>
          <w:lang w:val="zh-CN"/>
        </w:rPr>
      </w:pP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2、其他要求：</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（1）采购数量具体以实际需求为准，按实结算。</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（2）供货时间和地点：中标单位需在合同签订后10日内将兑换劵送到指定地点，并做好签收手续。</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（3）兑换劵必须能在其所属所有门店都能使用。</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（4）兑换劵有效期：24个月及以上。</w:t>
      </w:r>
    </w:p>
    <w:p>
      <w:pPr>
        <w:pStyle w:val="23"/>
        <w:spacing w:line="360" w:lineRule="auto"/>
        <w:ind w:left="559" w:leftChars="266"/>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（5）付款方式：货到验收合格后支付合同总价的90%，余款24个月之后支付。</w:t>
      </w:r>
    </w:p>
    <w:p>
      <w:pPr>
        <w:pStyle w:val="23"/>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（6）样品提供：</w:t>
      </w:r>
    </w:p>
    <w:p>
      <w:pPr>
        <w:pStyle w:val="23"/>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rPr>
        <w:t>1.时间要求：提交投标文件截止时间</w:t>
      </w:r>
      <w:r>
        <w:rPr>
          <w:rFonts w:hint="eastAsia" w:ascii="仿宋" w:hAnsi="仿宋" w:eastAsia="仿宋" w:cs="仿宋"/>
          <w:sz w:val="24"/>
          <w:szCs w:val="24"/>
          <w:highlight w:val="none"/>
        </w:rPr>
        <w:t>前</w:t>
      </w:r>
      <w:r>
        <w:rPr>
          <w:rFonts w:hint="eastAsia" w:ascii="仿宋" w:hAnsi="仿宋" w:eastAsia="仿宋" w:cs="仿宋"/>
          <w:sz w:val="24"/>
          <w:szCs w:val="24"/>
          <w:highlight w:val="none"/>
          <w:lang w:eastAsia="zh-CN"/>
        </w:rPr>
        <w:t>；</w:t>
      </w:r>
    </w:p>
    <w:p>
      <w:pPr>
        <w:pStyle w:val="23"/>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2.样品规格及数量：</w:t>
      </w:r>
      <w:r>
        <w:rPr>
          <w:rFonts w:hint="eastAsia" w:ascii="仿宋" w:hAnsi="仿宋" w:eastAsia="仿宋" w:cs="仿宋"/>
          <w:bCs/>
          <w:sz w:val="24"/>
        </w:rPr>
        <w:t>6寸生日蛋糕</w:t>
      </w:r>
      <w:r>
        <w:rPr>
          <w:rFonts w:hint="eastAsia" w:ascii="仿宋" w:hAnsi="仿宋" w:eastAsia="仿宋" w:cs="仿宋"/>
          <w:color w:val="auto"/>
          <w:sz w:val="24"/>
          <w:szCs w:val="24"/>
          <w:highlight w:val="none"/>
          <w:lang w:val="zh-CN"/>
        </w:rPr>
        <w:t>；</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3.样品送达地点：绍兴市越城区越西路800号金德隆商业中心8幢二楼</w:t>
      </w:r>
      <w:r>
        <w:rPr>
          <w:rFonts w:hint="eastAsia" w:ascii="仿宋" w:hAnsi="仿宋" w:eastAsia="仿宋" w:cs="仿宋"/>
          <w:sz w:val="24"/>
          <w:szCs w:val="24"/>
          <w:lang w:val="zh-CN"/>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4.送样联系方式：</w:t>
      </w:r>
      <w:r>
        <w:rPr>
          <w:rFonts w:hint="eastAsia" w:ascii="仿宋" w:hAnsi="仿宋" w:eastAsia="仿宋" w:cs="仿宋"/>
          <w:sz w:val="24"/>
          <w:szCs w:val="24"/>
        </w:rPr>
        <w:t>15068545458</w:t>
      </w:r>
    </w:p>
    <w:p>
      <w:pPr>
        <w:pStyle w:val="2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5.其他：样品需贴有标注供应商名称且加盖公章的标签。</w:t>
      </w:r>
      <w:r>
        <w:rPr>
          <w:rFonts w:hint="eastAsia" w:ascii="仿宋" w:hAnsi="仿宋" w:eastAsia="仿宋" w:cs="仿宋"/>
          <w:sz w:val="24"/>
          <w:szCs w:val="24"/>
          <w:lang w:val="zh-CN"/>
        </w:rPr>
        <w:br w:type="textWrapping"/>
      </w:r>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 xml:space="preserve">第四部分  </w:t>
      </w:r>
      <w:r>
        <w:rPr>
          <w:rFonts w:hint="eastAsia" w:ascii="仿宋_GB2312" w:hAnsi="仿宋" w:eastAsia="仿宋_GB2312" w:cs="仿宋_GB2312"/>
          <w:b/>
          <w:sz w:val="36"/>
          <w:szCs w:val="36"/>
        </w:rPr>
        <w:t>政府采购合同参考范本</w:t>
      </w:r>
    </w:p>
    <w:p>
      <w:pPr>
        <w:rPr>
          <w:rFonts w:ascii="仿宋_GB2312" w:hAnsi="楷体" w:eastAsia="仿宋_GB2312"/>
          <w:sz w:val="24"/>
        </w:rPr>
      </w:pPr>
    </w:p>
    <w:p>
      <w:pPr>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480" w:lineRule="auto"/>
        <w:jc w:val="center"/>
        <w:rPr>
          <w:rFonts w:ascii="仿宋_GB2312" w:hAnsi="楷体" w:eastAsia="仿宋_GB2312"/>
          <w:b/>
          <w:sz w:val="28"/>
          <w:szCs w:val="28"/>
        </w:rPr>
      </w:pPr>
    </w:p>
    <w:p>
      <w:pPr>
        <w:spacing w:line="480" w:lineRule="auto"/>
        <w:jc w:val="center"/>
        <w:rPr>
          <w:rFonts w:ascii="仿宋_GB2312" w:hAnsi="仿宋" w:eastAsia="仿宋_GB2312"/>
          <w:b/>
          <w:sz w:val="24"/>
        </w:rPr>
      </w:pPr>
    </w:p>
    <w:p>
      <w:pPr>
        <w:spacing w:line="480" w:lineRule="auto"/>
        <w:jc w:val="center"/>
        <w:rPr>
          <w:rFonts w:ascii="仿宋_GB2312" w:hAnsi="仿宋" w:eastAsia="仿宋_GB2312"/>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282"/>
        <w:rPr>
          <w:rFonts w:ascii="仿宋_GB2312" w:hAnsi="仿宋" w:eastAsia="仿宋_GB2312"/>
          <w:szCs w:val="24"/>
        </w:rPr>
      </w:pPr>
    </w:p>
    <w:p>
      <w:pPr>
        <w:pStyle w:val="282"/>
        <w:rPr>
          <w:rFonts w:ascii="仿宋_GB2312" w:hAnsi="仿宋" w:eastAsia="仿宋_GB2312"/>
          <w:szCs w:val="24"/>
        </w:rPr>
      </w:pPr>
    </w:p>
    <w:p>
      <w:pPr>
        <w:pStyle w:val="282"/>
        <w:jc w:val="center"/>
        <w:rPr>
          <w:rFonts w:ascii="仿宋_GB2312" w:hAnsi="仿宋" w:eastAsia="仿宋_GB2312"/>
          <w:szCs w:val="24"/>
        </w:rPr>
      </w:pPr>
    </w:p>
    <w:p>
      <w:pPr>
        <w:pStyle w:val="282"/>
        <w:ind w:firstLine="2843" w:firstLineChars="1180"/>
        <w:rPr>
          <w:rFonts w:ascii="仿宋_GB2312" w:hAnsi="仿宋" w:eastAsia="仿宋_GB2312"/>
          <w:b/>
          <w:szCs w:val="24"/>
        </w:rPr>
      </w:pPr>
      <w:r>
        <w:rPr>
          <w:rFonts w:hint="eastAsia" w:ascii="仿宋_GB2312" w:hAnsi="仿宋" w:eastAsia="仿宋_GB2312"/>
          <w:b/>
          <w:szCs w:val="24"/>
        </w:rPr>
        <w:t>第一部分   合同书</w:t>
      </w:r>
    </w:p>
    <w:p>
      <w:pPr>
        <w:pStyle w:val="282"/>
        <w:rPr>
          <w:rFonts w:ascii="仿宋_GB2312" w:hAnsi="仿宋" w:eastAsia="仿宋_GB2312"/>
          <w:szCs w:val="24"/>
        </w:rPr>
      </w:pPr>
    </w:p>
    <w:p>
      <w:pPr>
        <w:pStyle w:val="282"/>
        <w:rPr>
          <w:rFonts w:ascii="仿宋_GB2312" w:hAnsi="仿宋" w:eastAsia="仿宋_GB2312"/>
          <w:szCs w:val="24"/>
        </w:rPr>
      </w:pP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rPr>
      </w:pPr>
      <w:r>
        <w:rPr>
          <w:rFonts w:hint="eastAsia" w:ascii="仿宋_GB2312" w:hAnsi="仿宋" w:eastAsia="仿宋_GB2312"/>
          <w:sz w:val="24"/>
        </w:rPr>
        <w:t>项目名称：</w:t>
      </w:r>
      <w:r>
        <w:rPr>
          <w:rFonts w:hint="eastAsia" w:ascii="仿宋_GB2312" w:hAnsi="仿宋" w:eastAsia="仿宋_GB2312"/>
          <w:sz w:val="24"/>
          <w:u w:val="single"/>
        </w:rPr>
        <w:t xml:space="preserve">                                   </w:t>
      </w:r>
    </w:p>
    <w:p>
      <w:pPr>
        <w:pStyle w:val="281"/>
        <w:spacing w:before="120" w:line="22" w:lineRule="atLeast"/>
        <w:rPr>
          <w:rFonts w:hAnsi="仿宋"/>
          <w:szCs w:val="24"/>
        </w:rPr>
      </w:pPr>
    </w:p>
    <w:p>
      <w:pPr>
        <w:pStyle w:val="281"/>
        <w:spacing w:before="120" w:line="22" w:lineRule="atLeast"/>
        <w:rPr>
          <w:rFonts w:hAnsi="仿宋"/>
          <w:szCs w:val="24"/>
        </w:rPr>
      </w:pPr>
    </w:p>
    <w:p>
      <w:pPr>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甲方：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left="960"/>
        <w:rPr>
          <w:rFonts w:ascii="仿宋_GB2312" w:hAnsi="仿宋" w:eastAsia="仿宋_GB2312"/>
          <w:sz w:val="24"/>
          <w:u w:val="single"/>
        </w:rPr>
      </w:pPr>
      <w:r>
        <w:rPr>
          <w:rFonts w:hint="eastAsia" w:ascii="仿宋_GB2312" w:hAnsi="仿宋" w:eastAsia="仿宋_GB2312"/>
          <w:sz w:val="24"/>
        </w:rPr>
        <w:t>乙方：</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签订地：</w:t>
      </w:r>
      <w:r>
        <w:rPr>
          <w:rFonts w:hint="eastAsia" w:ascii="仿宋_GB2312" w:hAnsi="仿宋" w:eastAsia="仿宋_GB2312"/>
          <w:sz w:val="24"/>
          <w:u w:val="single"/>
        </w:rPr>
        <w:t xml:space="preserve">                                     </w:t>
      </w:r>
    </w:p>
    <w:p>
      <w:pPr>
        <w:spacing w:before="120" w:line="22" w:lineRule="atLeast"/>
        <w:rPr>
          <w:rFonts w:ascii="仿宋_GB2312" w:hAnsi="仿宋" w:eastAsia="仿宋_GB2312"/>
          <w:sz w:val="24"/>
        </w:rPr>
      </w:pPr>
    </w:p>
    <w:p>
      <w:pPr>
        <w:spacing w:before="120" w:line="22" w:lineRule="atLeast"/>
        <w:ind w:firstLine="960" w:firstLineChars="400"/>
        <w:rPr>
          <w:rFonts w:ascii="仿宋_GB2312" w:hAnsi="仿宋" w:eastAsia="仿宋_GB2312"/>
          <w:sz w:val="24"/>
          <w:u w:val="single"/>
        </w:rPr>
      </w:pPr>
      <w:r>
        <w:rPr>
          <w:rFonts w:hint="eastAsia" w:ascii="仿宋_GB2312" w:hAnsi="仿宋" w:eastAsia="仿宋_GB2312"/>
          <w:sz w:val="24"/>
        </w:rPr>
        <w:t>签订日期：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widowControl/>
        <w:jc w:val="left"/>
        <w:rPr>
          <w:rFonts w:ascii="仿宋_GB2312" w:hAnsi="仿宋" w:eastAsia="仿宋_GB2312"/>
          <w:kern w:val="0"/>
          <w:sz w:val="24"/>
        </w:rPr>
        <w:sectPr>
          <w:footerReference r:id="rId8" w:type="first"/>
          <w:headerReference r:id="rId6" w:type="default"/>
          <w:footerReference r:id="rId7" w:type="default"/>
          <w:pgSz w:w="11907" w:h="16840"/>
          <w:pgMar w:top="1474" w:right="1814" w:bottom="1474" w:left="1814" w:header="851" w:footer="851" w:gutter="0"/>
          <w:pgNumType w:fmt="decimal" w:start="2"/>
          <w:cols w:space="720" w:num="1"/>
          <w:titlePg/>
          <w:docGrid w:linePitch="286" w:charSpace="0"/>
        </w:sectPr>
      </w:pPr>
    </w:p>
    <w:p>
      <w:pPr>
        <w:spacing w:line="560" w:lineRule="exact"/>
        <w:ind w:firstLine="480" w:firstLineChars="200"/>
        <w:rPr>
          <w:rFonts w:ascii="仿宋_GB2312" w:hAnsi="仿宋" w:eastAsia="仿宋_GB2312"/>
          <w:sz w:val="24"/>
        </w:rPr>
      </w:pPr>
      <w:r>
        <w:rPr>
          <w:rFonts w:hint="eastAsia" w:ascii="仿宋_GB2312" w:hAnsi="仿宋" w:eastAsia="仿宋_GB2312"/>
          <w:sz w:val="24"/>
          <w:u w:val="single"/>
          <w:lang w:val="zh-CN"/>
        </w:rPr>
        <w:t xml:space="preserve">        </w:t>
      </w:r>
      <w:r>
        <w:rPr>
          <w:rFonts w:hint="eastAsia" w:ascii="仿宋_GB2312" w:hAnsi="仿宋" w:eastAsia="仿宋_GB2312"/>
          <w:sz w:val="24"/>
          <w:lang w:val="zh-CN"/>
        </w:rPr>
        <w:t>年</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月</w:t>
      </w:r>
      <w:r>
        <w:rPr>
          <w:rFonts w:hint="eastAsia" w:ascii="仿宋_GB2312" w:hAnsi="仿宋" w:eastAsia="仿宋_GB2312"/>
          <w:sz w:val="24"/>
          <w:u w:val="single"/>
          <w:lang w:val="zh-CN"/>
        </w:rPr>
        <w:t xml:space="preserve">    </w:t>
      </w:r>
      <w:r>
        <w:rPr>
          <w:rFonts w:hint="eastAsia" w:ascii="仿宋_GB2312" w:hAnsi="仿宋" w:eastAsia="仿宋_GB2312"/>
          <w:sz w:val="24"/>
          <w:lang w:val="zh-CN"/>
        </w:rPr>
        <w:t>日</w:t>
      </w:r>
      <w:r>
        <w:rPr>
          <w:rFonts w:hint="eastAsia" w:ascii="仿宋_GB2312" w:hAnsi="仿宋" w:eastAsia="仿宋_GB2312"/>
          <w:sz w:val="24"/>
        </w:rPr>
        <w:t>，</w:t>
      </w:r>
      <w:r>
        <w:rPr>
          <w:rFonts w:hint="eastAsia" w:ascii="仿宋_GB2312" w:hAnsi="仿宋" w:eastAsia="仿宋_GB2312"/>
          <w:sz w:val="24"/>
          <w:u w:val="single"/>
        </w:rPr>
        <w:t xml:space="preserve">   （采购人）   </w:t>
      </w:r>
      <w:r>
        <w:rPr>
          <w:rFonts w:hint="eastAsia" w:ascii="仿宋_GB2312" w:hAnsi="仿宋" w:eastAsia="仿宋_GB2312"/>
          <w:sz w:val="24"/>
        </w:rPr>
        <w:t>以</w:t>
      </w:r>
      <w:r>
        <w:rPr>
          <w:rFonts w:hint="eastAsia" w:ascii="仿宋_GB2312" w:hAnsi="仿宋" w:eastAsia="仿宋_GB2312"/>
          <w:sz w:val="24"/>
          <w:u w:val="single"/>
        </w:rPr>
        <w:t xml:space="preserve">   （政府采购方式）  </w:t>
      </w:r>
      <w:r>
        <w:rPr>
          <w:rFonts w:hint="eastAsia" w:ascii="仿宋_GB2312" w:hAnsi="仿宋" w:eastAsia="仿宋_GB2312"/>
          <w:sz w:val="24"/>
        </w:rPr>
        <w:t>对</w:t>
      </w:r>
      <w:r>
        <w:rPr>
          <w:rFonts w:hint="eastAsia" w:ascii="仿宋_GB2312" w:hAnsi="仿宋" w:eastAsia="仿宋_GB2312"/>
          <w:sz w:val="24"/>
          <w:u w:val="single"/>
        </w:rPr>
        <w:t xml:space="preserve">   （同前页项目名称）   </w:t>
      </w:r>
      <w:r>
        <w:rPr>
          <w:rFonts w:hint="eastAsia" w:ascii="仿宋_GB2312" w:hAnsi="仿宋" w:eastAsia="仿宋_GB2312"/>
          <w:sz w:val="24"/>
        </w:rPr>
        <w:t>项目进行了采购。经</w:t>
      </w:r>
      <w:r>
        <w:rPr>
          <w:rFonts w:hint="eastAsia" w:ascii="仿宋_GB2312" w:hAnsi="仿宋" w:eastAsia="仿宋_GB2312"/>
          <w:sz w:val="24"/>
          <w:u w:val="single"/>
        </w:rPr>
        <w:t xml:space="preserve">   （相关评定主体名称）   </w:t>
      </w:r>
      <w:r>
        <w:rPr>
          <w:rFonts w:hint="eastAsia" w:ascii="仿宋_GB2312" w:hAnsi="仿宋" w:eastAsia="仿宋_GB2312"/>
          <w:sz w:val="24"/>
        </w:rPr>
        <w:t>评定，</w:t>
      </w:r>
      <w:r>
        <w:rPr>
          <w:rFonts w:hint="eastAsia" w:ascii="仿宋_GB2312" w:hAnsi="仿宋" w:eastAsia="仿宋_GB2312"/>
          <w:sz w:val="24"/>
          <w:u w:val="single"/>
        </w:rPr>
        <w:t xml:space="preserve">   （中标供应商名称）</w:t>
      </w:r>
      <w:r>
        <w:rPr>
          <w:rFonts w:hint="eastAsia" w:ascii="仿宋_GB2312" w:hAnsi="仿宋" w:eastAsia="仿宋_GB2312"/>
          <w:sz w:val="24"/>
        </w:rPr>
        <w:t>为该项目中标供应商。现于中标通知书发出之日起三十日内，按照采购文件确定的事项签订本合同。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lang w:val="zh-CN"/>
        </w:rPr>
        <w:t>根据《中华人民共和国民法典》、《中华人民共和国政府采购法》等相关法律法规之规定，按照平等、自愿、公平、诚实信用和绿色的原则，经</w:t>
      </w:r>
      <w:r>
        <w:rPr>
          <w:rFonts w:hint="eastAsia" w:ascii="仿宋_GB2312" w:hAnsi="仿宋" w:eastAsia="仿宋_GB2312"/>
          <w:sz w:val="24"/>
          <w:u w:val="single"/>
        </w:rPr>
        <w:t xml:space="preserve">   （采购人）   </w:t>
      </w:r>
      <w:r>
        <w:rPr>
          <w:rFonts w:hint="eastAsia" w:ascii="仿宋_GB2312" w:hAnsi="仿宋" w:eastAsia="仿宋_GB2312"/>
          <w:sz w:val="24"/>
          <w:lang w:val="zh-CN"/>
        </w:rPr>
        <w:t>(以下简称：甲方)和</w:t>
      </w:r>
      <w:r>
        <w:rPr>
          <w:rFonts w:hint="eastAsia" w:ascii="仿宋_GB2312" w:hAnsi="仿宋" w:eastAsia="仿宋_GB2312"/>
          <w:sz w:val="24"/>
          <w:u w:val="single"/>
        </w:rPr>
        <w:t xml:space="preserve">   （中标供应商名称）   </w:t>
      </w:r>
      <w:r>
        <w:rPr>
          <w:rFonts w:hint="eastAsia" w:ascii="仿宋_GB2312" w:hAnsi="仿宋" w:eastAsia="仿宋_GB2312"/>
          <w:sz w:val="24"/>
          <w:lang w:val="zh-CN"/>
        </w:rPr>
        <w:t>(以下简称：乙方)协商一致，约定以下合同</w:t>
      </w:r>
      <w:r>
        <w:rPr>
          <w:rFonts w:hint="eastAsia" w:ascii="仿宋_GB2312" w:hAnsi="仿宋" w:eastAsia="仿宋_GB2312"/>
          <w:sz w:val="24"/>
        </w:rPr>
        <w:t>条款，以兹共同遵守、全面履行。</w:t>
      </w:r>
    </w:p>
    <w:p>
      <w:pPr>
        <w:spacing w:line="560" w:lineRule="exact"/>
        <w:ind w:firstLine="482" w:firstLineChars="200"/>
        <w:outlineLvl w:val="0"/>
        <w:rPr>
          <w:rFonts w:ascii="仿宋_GB2312" w:hAnsi="仿宋" w:eastAsia="仿宋_GB2312"/>
          <w:b/>
          <w:sz w:val="24"/>
        </w:rPr>
      </w:pPr>
      <w:bookmarkStart w:id="13" w:name="_Toc24059"/>
      <w:bookmarkStart w:id="14" w:name="_Toc2232"/>
      <w:bookmarkStart w:id="15" w:name="_Toc3029"/>
      <w:r>
        <w:rPr>
          <w:rFonts w:hint="eastAsia" w:ascii="仿宋_GB2312" w:hAnsi="仿宋" w:eastAsia="仿宋_GB2312"/>
          <w:b/>
          <w:sz w:val="24"/>
        </w:rPr>
        <w:t>1.1 合同组成部分</w:t>
      </w:r>
      <w:bookmarkEnd w:id="13"/>
      <w:bookmarkEnd w:id="14"/>
      <w:bookmarkEnd w:id="15"/>
    </w:p>
    <w:p>
      <w:pPr>
        <w:spacing w:line="560" w:lineRule="exact"/>
        <w:ind w:firstLine="480" w:firstLineChars="200"/>
        <w:rPr>
          <w:rFonts w:ascii="仿宋_GB2312" w:hAnsi="仿宋" w:eastAsia="仿宋_GB2312"/>
          <w:sz w:val="24"/>
        </w:rPr>
      </w:pPr>
      <w:r>
        <w:rPr>
          <w:rFonts w:hint="eastAsia" w:ascii="仿宋_GB2312" w:hAnsi="仿宋"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1.1.1 本合同及其补充合同、变更协议；</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1.1.2 中标通知书；</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1.1.3 投标文件（含澄清或者说明文件）；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1.1.4 招标文件（含澄清或者修改文件）；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1.1.5 其他相关采购文件。</w:t>
      </w:r>
    </w:p>
    <w:p>
      <w:pPr>
        <w:spacing w:line="560" w:lineRule="exact"/>
        <w:ind w:firstLine="482" w:firstLineChars="200"/>
        <w:outlineLvl w:val="0"/>
        <w:rPr>
          <w:rFonts w:ascii="仿宋_GB2312" w:hAnsi="仿宋" w:eastAsia="仿宋_GB2312"/>
          <w:b/>
          <w:sz w:val="24"/>
        </w:rPr>
      </w:pPr>
      <w:bookmarkStart w:id="16" w:name="_Toc24300"/>
      <w:bookmarkStart w:id="17" w:name="_Toc27126"/>
      <w:bookmarkStart w:id="18" w:name="_Toc21295"/>
      <w:r>
        <w:rPr>
          <w:rFonts w:hint="eastAsia" w:ascii="仿宋_GB2312" w:hAnsi="仿宋" w:eastAsia="仿宋_GB2312"/>
          <w:b/>
          <w:sz w:val="24"/>
        </w:rPr>
        <w:t>1.2 货物</w:t>
      </w:r>
      <w:bookmarkEnd w:id="16"/>
      <w:bookmarkEnd w:id="17"/>
      <w:bookmarkEnd w:id="18"/>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1.2.1 货物名称：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1.2.2 货物数量：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1.2.3 货物质量：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19" w:name="_Toc21551"/>
      <w:bookmarkStart w:id="20" w:name="_Toc23292"/>
      <w:bookmarkStart w:id="21" w:name="_Toc21631"/>
      <w:r>
        <w:rPr>
          <w:rFonts w:hint="eastAsia" w:ascii="仿宋_GB2312" w:hAnsi="仿宋" w:eastAsia="仿宋_GB2312"/>
          <w:b/>
          <w:sz w:val="24"/>
        </w:rPr>
        <w:t>1.3 价款</w:t>
      </w:r>
      <w:bookmarkEnd w:id="19"/>
      <w:bookmarkEnd w:id="20"/>
      <w:bookmarkEnd w:id="21"/>
    </w:p>
    <w:p>
      <w:pPr>
        <w:spacing w:line="560" w:lineRule="exact"/>
        <w:ind w:firstLine="480" w:firstLineChars="200"/>
        <w:rPr>
          <w:rFonts w:ascii="仿宋_GB2312" w:hAnsi="仿宋" w:eastAsia="仿宋_GB2312"/>
          <w:sz w:val="24"/>
        </w:rPr>
      </w:pPr>
      <w:r>
        <w:rPr>
          <w:rFonts w:hint="eastAsia" w:ascii="仿宋_GB2312" w:hAnsi="仿宋" w:eastAsia="仿宋_GB2312"/>
          <w:sz w:val="24"/>
        </w:rPr>
        <w:t>本合同总价为：￥</w:t>
      </w:r>
      <w:r>
        <w:rPr>
          <w:rFonts w:hint="eastAsia" w:ascii="仿宋_GB2312" w:hAnsi="仿宋" w:eastAsia="仿宋_GB2312"/>
          <w:sz w:val="24"/>
          <w:u w:val="single"/>
        </w:rPr>
        <w:t xml:space="preserve">           </w:t>
      </w:r>
      <w:r>
        <w:rPr>
          <w:rFonts w:hint="eastAsia" w:ascii="仿宋_GB2312" w:hAnsi="仿宋" w:eastAsia="仿宋_GB2312"/>
          <w:sz w:val="24"/>
        </w:rPr>
        <w:t>元（大写：</w:t>
      </w:r>
      <w:r>
        <w:rPr>
          <w:rFonts w:hint="eastAsia" w:ascii="仿宋_GB2312" w:hAnsi="仿宋" w:eastAsia="仿宋_GB2312"/>
          <w:sz w:val="24"/>
          <w:u w:val="single"/>
        </w:rPr>
        <w:t xml:space="preserve">                 </w:t>
      </w:r>
      <w:r>
        <w:rPr>
          <w:rFonts w:hint="eastAsia" w:ascii="仿宋_GB2312" w:hAnsi="仿宋" w:eastAsia="仿宋_GB2312"/>
          <w:sz w:val="24"/>
        </w:rPr>
        <w:t>元人民币）。</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分项价格：</w:t>
      </w:r>
    </w:p>
    <w:tbl>
      <w:tblPr>
        <w:tblStyle w:val="4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jc w:val="center"/>
              <w:rPr>
                <w:rFonts w:ascii="仿宋_GB2312" w:hAnsi="仿宋" w:eastAsia="仿宋_GB2312"/>
                <w:sz w:val="24"/>
                <w:szCs w:val="24"/>
              </w:rPr>
            </w:pPr>
            <w:r>
              <w:rPr>
                <w:rFonts w:hint="eastAsia" w:ascii="仿宋_GB2312" w:hAnsi="仿宋"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r>
              <w:rPr>
                <w:rFonts w:hint="eastAsia" w:ascii="仿宋_GB2312" w:hAnsi="仿宋" w:eastAsia="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79"/>
              <w:spacing w:line="560" w:lineRule="exact"/>
              <w:ind w:firstLine="200"/>
              <w:jc w:val="center"/>
              <w:rPr>
                <w:rFonts w:ascii="仿宋_GB2312" w:hAnsi="仿宋" w:eastAsia="仿宋_GB2312"/>
                <w:sz w:val="24"/>
                <w:szCs w:val="24"/>
              </w:rPr>
            </w:pPr>
          </w:p>
        </w:tc>
      </w:tr>
    </w:tbl>
    <w:p>
      <w:pPr>
        <w:spacing w:line="440" w:lineRule="exact"/>
        <w:ind w:firstLine="482" w:firstLineChars="200"/>
        <w:outlineLvl w:val="0"/>
        <w:rPr>
          <w:rFonts w:ascii="仿宋_GB2312" w:hAnsi="仿宋" w:eastAsia="仿宋_GB2312"/>
          <w:b/>
          <w:sz w:val="24"/>
        </w:rPr>
      </w:pPr>
      <w:bookmarkStart w:id="22" w:name="_Toc22618"/>
      <w:bookmarkStart w:id="23" w:name="_Toc10340"/>
      <w:bookmarkStart w:id="24" w:name="_Toc1814"/>
      <w:r>
        <w:rPr>
          <w:rFonts w:hint="eastAsia" w:ascii="仿宋_GB2312" w:hAnsi="仿宋" w:eastAsia="仿宋_GB2312"/>
          <w:b/>
          <w:sz w:val="24"/>
        </w:rPr>
        <w:t>1.4 付款</w:t>
      </w:r>
      <w:bookmarkEnd w:id="22"/>
      <w:bookmarkEnd w:id="23"/>
      <w:bookmarkEnd w:id="24"/>
      <w:r>
        <w:rPr>
          <w:rFonts w:hint="eastAsia" w:ascii="仿宋_GB2312" w:hAnsi="仿宋" w:eastAsia="仿宋_GB2312"/>
          <w:b/>
          <w:sz w:val="24"/>
        </w:rPr>
        <w:t>方式、时间和条件</w:t>
      </w:r>
    </w:p>
    <w:p>
      <w:pPr>
        <w:pStyle w:val="283"/>
        <w:spacing w:before="0" w:beforeAutospacing="0" w:after="0" w:afterAutospacing="0" w:line="440" w:lineRule="exact"/>
        <w:ind w:firstLine="480"/>
        <w:rPr>
          <w:rFonts w:ascii="仿宋_GB2312" w:hAnsi="仿宋" w:eastAsia="仿宋_GB2312" w:cs="Times New Roman"/>
        </w:rPr>
      </w:pPr>
      <w:r>
        <w:rPr>
          <w:rFonts w:hint="eastAsia" w:ascii="仿宋_GB2312" w:hAnsi="仿宋" w:eastAsia="仿宋_GB2312" w:cs="Times New Roman"/>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_GB2312" w:hAnsi="仿宋" w:eastAsia="仿宋_GB2312"/>
          <w:sz w:val="24"/>
        </w:rPr>
      </w:pPr>
      <w:r>
        <w:rPr>
          <w:rFonts w:hint="eastAsia" w:ascii="仿宋_GB2312" w:hAnsi="仿宋" w:eastAsia="仿宋_GB2312"/>
          <w:sz w:val="24"/>
        </w:rPr>
        <w:t>1.4.4资金支付的方式、时间和条件详见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440" w:lineRule="exact"/>
        <w:ind w:firstLine="482" w:firstLineChars="200"/>
        <w:outlineLvl w:val="0"/>
        <w:rPr>
          <w:rFonts w:ascii="仿宋_GB2312" w:hAnsi="仿宋" w:eastAsia="仿宋_GB2312"/>
          <w:b/>
          <w:sz w:val="24"/>
        </w:rPr>
      </w:pPr>
      <w:bookmarkStart w:id="25" w:name="_Toc2846"/>
      <w:bookmarkStart w:id="26" w:name="_Toc32071"/>
      <w:bookmarkStart w:id="27" w:name="_Toc19304"/>
      <w:r>
        <w:rPr>
          <w:rFonts w:hint="eastAsia" w:ascii="仿宋_GB2312" w:hAnsi="仿宋" w:eastAsia="仿宋_GB2312"/>
          <w:b/>
          <w:sz w:val="24"/>
        </w:rPr>
        <w:t>1.5 货物交付期限、地点和方式</w:t>
      </w:r>
      <w:bookmarkEnd w:id="25"/>
      <w:bookmarkEnd w:id="26"/>
      <w:bookmarkEnd w:id="27"/>
    </w:p>
    <w:p>
      <w:pPr>
        <w:spacing w:line="440" w:lineRule="exact"/>
        <w:ind w:firstLine="480" w:firstLineChars="200"/>
        <w:rPr>
          <w:rFonts w:ascii="仿宋_GB2312" w:hAnsi="仿宋" w:eastAsia="仿宋_GB2312"/>
          <w:sz w:val="24"/>
          <w:u w:val="single"/>
        </w:rPr>
      </w:pPr>
      <w:r>
        <w:rPr>
          <w:rFonts w:hint="eastAsia" w:ascii="仿宋_GB2312" w:hAnsi="仿宋" w:eastAsia="仿宋_GB2312"/>
          <w:sz w:val="24"/>
        </w:rPr>
        <w:t>1.5.1 交付期限：详见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1.5.2 交付地点：</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1.5.3 交付方式：</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28" w:name="_Toc27250"/>
      <w:bookmarkStart w:id="29" w:name="_Toc21423"/>
      <w:bookmarkStart w:id="30" w:name="_Toc19554"/>
      <w:r>
        <w:rPr>
          <w:rFonts w:hint="eastAsia" w:ascii="仿宋_GB2312" w:hAnsi="仿宋" w:eastAsia="仿宋_GB2312"/>
          <w:b/>
          <w:sz w:val="24"/>
        </w:rPr>
        <w:t>1.6 违约责任</w:t>
      </w:r>
      <w:bookmarkEnd w:id="28"/>
      <w:bookmarkEnd w:id="29"/>
      <w:bookmarkEnd w:id="30"/>
    </w:p>
    <w:p>
      <w:pPr>
        <w:spacing w:line="560" w:lineRule="exact"/>
        <w:ind w:firstLine="480" w:firstLineChars="200"/>
        <w:rPr>
          <w:rFonts w:ascii="仿宋_GB2312" w:hAnsi="仿宋" w:eastAsia="仿宋_GB2312"/>
          <w:sz w:val="24"/>
        </w:rPr>
      </w:pPr>
      <w:r>
        <w:rPr>
          <w:rFonts w:hint="eastAsia" w:ascii="仿宋_GB2312" w:hAnsi="仿宋" w:eastAsia="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w:t>
      </w:r>
      <w:r>
        <w:rPr>
          <w:rFonts w:hint="eastAsia" w:ascii="仿宋_GB2312" w:hAnsi="仿宋" w:eastAsia="仿宋_GB2312"/>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_GB2312" w:eastAsia="仿宋_GB2312"/>
        </w:rPr>
      </w:pPr>
      <w:r>
        <w:rPr>
          <w:rFonts w:hint="eastAsia" w:ascii="仿宋_GB2312" w:hAnsi="仿宋" w:eastAsia="仿宋_GB2312"/>
          <w:sz w:val="24"/>
        </w:rPr>
        <w:t>1.6.7违约责任</w:t>
      </w:r>
      <w:r>
        <w:rPr>
          <w:rFonts w:hint="eastAsia" w:ascii="仿宋_GB2312" w:hAnsi="仿宋" w:eastAsia="仿宋_GB2312"/>
          <w:b/>
          <w:i/>
          <w:sz w:val="24"/>
          <w:u w:val="single"/>
        </w:rPr>
        <w:t>合同专用条款</w:t>
      </w:r>
      <w:r>
        <w:rPr>
          <w:rFonts w:hint="eastAsia" w:ascii="仿宋_GB2312" w:hAnsi="仿宋" w:eastAsia="仿宋_GB2312"/>
          <w:sz w:val="24"/>
        </w:rPr>
        <w:t>另有约定的，从其约定。</w:t>
      </w:r>
    </w:p>
    <w:p>
      <w:pPr>
        <w:spacing w:line="560" w:lineRule="exact"/>
        <w:ind w:firstLine="482" w:firstLineChars="200"/>
        <w:outlineLvl w:val="0"/>
        <w:rPr>
          <w:rFonts w:ascii="仿宋_GB2312" w:hAnsi="仿宋" w:eastAsia="仿宋_GB2312"/>
          <w:b/>
          <w:sz w:val="24"/>
        </w:rPr>
      </w:pPr>
      <w:bookmarkStart w:id="31" w:name="_Toc15583"/>
      <w:bookmarkStart w:id="32" w:name="_Toc28375"/>
      <w:bookmarkStart w:id="33" w:name="_Toc16021"/>
      <w:r>
        <w:rPr>
          <w:rFonts w:hint="eastAsia" w:ascii="仿宋_GB2312" w:hAnsi="仿宋" w:eastAsia="仿宋_GB2312"/>
          <w:b/>
          <w:sz w:val="24"/>
        </w:rPr>
        <w:t>1.7 合同争议的解决</w:t>
      </w:r>
      <w:bookmarkEnd w:id="31"/>
      <w:bookmarkEnd w:id="32"/>
      <w:bookmarkEnd w:id="33"/>
    </w:p>
    <w:p>
      <w:pPr>
        <w:spacing w:line="560" w:lineRule="exact"/>
        <w:ind w:left="-61" w:leftChars="-29" w:right="-420" w:rightChars="-200" w:firstLine="240" w:firstLineChars="100"/>
        <w:rPr>
          <w:rFonts w:ascii="仿宋_GB2312" w:hAnsi="仿宋" w:eastAsia="仿宋_GB2312"/>
          <w:sz w:val="24"/>
        </w:rPr>
      </w:pPr>
      <w:r>
        <w:rPr>
          <w:rFonts w:hint="eastAsia" w:ascii="仿宋_GB2312" w:hAnsi="仿宋" w:eastAsia="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 w:eastAsia="仿宋_GB2312"/>
          <w:b/>
          <w:i/>
          <w:sz w:val="24"/>
          <w:u w:val="single"/>
        </w:rPr>
        <w:t xml:space="preserve"> 合同专用条款  </w:t>
      </w:r>
      <w:r>
        <w:rPr>
          <w:rFonts w:hint="eastAsia" w:ascii="仿宋_GB2312" w:hAnsi="仿宋" w:eastAsia="仿宋_GB2312"/>
          <w:sz w:val="24"/>
        </w:rPr>
        <w:t>条款规定的方式解决：</w:t>
      </w:r>
    </w:p>
    <w:p>
      <w:pPr>
        <w:spacing w:line="560" w:lineRule="exact"/>
        <w:ind w:left="-420" w:leftChars="-200" w:right="-420" w:rightChars="-200" w:firstLine="600" w:firstLineChars="250"/>
        <w:rPr>
          <w:rFonts w:ascii="仿宋_GB2312" w:hAnsi="仿宋" w:eastAsia="仿宋_GB2312"/>
          <w:sz w:val="24"/>
        </w:rPr>
      </w:pPr>
      <w:r>
        <w:rPr>
          <w:rFonts w:hint="eastAsia" w:ascii="仿宋_GB2312" w:hAnsi="仿宋" w:eastAsia="仿宋_GB2312"/>
          <w:sz w:val="24"/>
        </w:rPr>
        <w:t>1.7.1 将争议提交</w:t>
      </w:r>
      <w:r>
        <w:rPr>
          <w:rFonts w:hint="eastAsia" w:ascii="仿宋_GB2312" w:hAnsi="仿宋" w:eastAsia="仿宋_GB2312"/>
          <w:b/>
          <w:i/>
          <w:sz w:val="24"/>
          <w:u w:val="single"/>
        </w:rPr>
        <w:t>合同专用条款</w:t>
      </w:r>
      <w:r>
        <w:rPr>
          <w:rFonts w:hint="eastAsia" w:ascii="仿宋_GB2312" w:hAnsi="仿宋" w:eastAsia="仿宋_GB2312"/>
          <w:sz w:val="24"/>
        </w:rPr>
        <w:t>仲裁委员会依申请仲裁时其现行有效的仲裁规则裁决；</w:t>
      </w:r>
    </w:p>
    <w:p>
      <w:pPr>
        <w:spacing w:line="560" w:lineRule="exact"/>
        <w:ind w:left="-420" w:leftChars="-200" w:right="-420" w:rightChars="-200" w:firstLine="600" w:firstLineChars="250"/>
        <w:rPr>
          <w:rFonts w:ascii="仿宋_GB2312" w:hAnsi="仿宋" w:eastAsia="仿宋_GB2312"/>
          <w:sz w:val="24"/>
        </w:rPr>
      </w:pPr>
      <w:r>
        <w:rPr>
          <w:rFonts w:hint="eastAsia" w:ascii="仿宋_GB2312" w:hAnsi="仿宋" w:eastAsia="仿宋_GB2312"/>
          <w:sz w:val="24"/>
        </w:rPr>
        <w:t>1.7.2 向</w:t>
      </w:r>
      <w:r>
        <w:rPr>
          <w:rFonts w:hint="eastAsia" w:ascii="仿宋_GB2312" w:hAnsi="仿宋" w:eastAsia="仿宋_GB2312"/>
          <w:b/>
          <w:i/>
          <w:sz w:val="24"/>
          <w:u w:val="single"/>
        </w:rPr>
        <w:t>合同专用条款</w:t>
      </w:r>
      <w:r>
        <w:rPr>
          <w:rFonts w:hint="eastAsia" w:ascii="仿宋_GB2312" w:hAnsi="仿宋" w:eastAsia="仿宋_GB2312"/>
          <w:sz w:val="24"/>
        </w:rPr>
        <w:t>人民法院起诉。</w:t>
      </w:r>
    </w:p>
    <w:p>
      <w:pPr>
        <w:spacing w:line="560" w:lineRule="exact"/>
        <w:ind w:firstLine="482" w:firstLineChars="200"/>
        <w:outlineLvl w:val="0"/>
        <w:rPr>
          <w:rFonts w:ascii="仿宋_GB2312" w:hAnsi="仿宋" w:eastAsia="仿宋_GB2312"/>
          <w:b/>
          <w:sz w:val="24"/>
        </w:rPr>
      </w:pPr>
      <w:bookmarkStart w:id="34" w:name="_Toc15322"/>
      <w:bookmarkStart w:id="35" w:name="_Toc7245"/>
      <w:bookmarkStart w:id="36" w:name="_Toc11173"/>
      <w:r>
        <w:rPr>
          <w:rFonts w:hint="eastAsia" w:ascii="仿宋_GB2312" w:hAnsi="仿宋" w:eastAsia="仿宋_GB2312"/>
          <w:b/>
          <w:sz w:val="24"/>
        </w:rPr>
        <w:t>1.8 合同生效</w:t>
      </w:r>
      <w:bookmarkEnd w:id="34"/>
      <w:bookmarkEnd w:id="35"/>
      <w:bookmarkEnd w:id="36"/>
    </w:p>
    <w:p>
      <w:pPr>
        <w:spacing w:line="560" w:lineRule="exact"/>
        <w:ind w:firstLine="480" w:firstLineChars="200"/>
        <w:rPr>
          <w:rFonts w:ascii="仿宋_GB2312" w:hAnsi="仿宋" w:eastAsia="仿宋_GB2312"/>
          <w:b/>
          <w:sz w:val="24"/>
        </w:rPr>
      </w:pPr>
      <w:r>
        <w:rPr>
          <w:rFonts w:hint="eastAsia" w:ascii="仿宋_GB2312" w:hAnsi="仿宋" w:eastAsia="仿宋_GB2312"/>
          <w:sz w:val="24"/>
        </w:rPr>
        <w:t>本合同自双方当事人盖章或者签字时生效。</w:t>
      </w:r>
    </w:p>
    <w:p>
      <w:pPr>
        <w:autoSpaceDE w:val="0"/>
        <w:autoSpaceDN w:val="0"/>
        <w:spacing w:line="24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b/>
          <w:sz w:val="24"/>
          <w:lang w:val="zh-CN"/>
        </w:rPr>
        <w:t>甲方</w:t>
      </w:r>
      <w:r>
        <w:rPr>
          <w:rFonts w:hint="eastAsia" w:ascii="仿宋_GB2312" w:hAnsi="仿宋" w:eastAsia="仿宋_GB2312"/>
          <w:sz w:val="24"/>
          <w:lang w:val="zh-CN"/>
        </w:rPr>
        <w:t xml:space="preserve">：                             </w:t>
      </w:r>
      <w:r>
        <w:rPr>
          <w:rFonts w:hint="eastAsia" w:ascii="仿宋_GB2312" w:hAnsi="仿宋" w:eastAsia="仿宋_GB2312"/>
          <w:b/>
          <w:sz w:val="24"/>
          <w:lang w:val="zh-CN"/>
        </w:rPr>
        <w:t xml:space="preserve">      乙方</w:t>
      </w:r>
      <w:r>
        <w:rPr>
          <w:rFonts w:hint="eastAsia" w:ascii="仿宋_GB2312" w:hAnsi="仿宋" w:eastAsia="仿宋_GB2312"/>
          <w:sz w:val="24"/>
          <w:lang w:val="zh-CN"/>
        </w:rPr>
        <w:t>：</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统一社会信用代码：                        统一社会信用代码或身份证号码：</w:t>
      </w:r>
    </w:p>
    <w:p>
      <w:pPr>
        <w:autoSpaceDE w:val="0"/>
        <w:autoSpaceDN w:val="0"/>
        <w:spacing w:line="240" w:lineRule="exact"/>
        <w:rPr>
          <w:rFonts w:ascii="仿宋_GB2312" w:hAnsi="仿宋" w:eastAsia="仿宋_GB2312"/>
          <w:sz w:val="24"/>
          <w:lang w:val="zh-CN"/>
        </w:rPr>
      </w:pP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住所：                                   住所：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法定代表人或                             法定代表人</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 xml:space="preserve">授权代表（签字）：                        或授权代表（签字）: </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联系人：                                 联系人：</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约定送达地址：                           约定送达地址：</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邮政编码：                               邮政编码：</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 xml:space="preserve">电话:                                    电话: </w:t>
      </w:r>
    </w:p>
    <w:p>
      <w:pPr>
        <w:autoSpaceDE w:val="0"/>
        <w:autoSpaceDN w:val="0"/>
        <w:spacing w:line="560" w:lineRule="exact"/>
        <w:rPr>
          <w:rFonts w:ascii="仿宋_GB2312" w:hAnsi="仿宋" w:eastAsia="仿宋_GB2312"/>
          <w:sz w:val="24"/>
          <w:lang w:val="zh-CN"/>
        </w:rPr>
      </w:pPr>
      <w:r>
        <w:rPr>
          <w:rFonts w:hint="eastAsia" w:ascii="仿宋_GB2312" w:hAnsi="仿宋" w:eastAsia="仿宋_GB2312"/>
          <w:sz w:val="24"/>
          <w:lang w:val="zh-CN"/>
        </w:rPr>
        <w:t>传真:                                    传真:</w:t>
      </w:r>
    </w:p>
    <w:p>
      <w:pPr>
        <w:autoSpaceDE w:val="0"/>
        <w:autoSpaceDN w:val="0"/>
        <w:spacing w:line="560" w:lineRule="exact"/>
        <w:rPr>
          <w:rFonts w:ascii="仿宋_GB2312" w:hAnsi="仿宋" w:eastAsia="仿宋_GB2312"/>
          <w:sz w:val="24"/>
        </w:rPr>
      </w:pPr>
      <w:r>
        <w:rPr>
          <w:rFonts w:hint="eastAsia" w:ascii="仿宋_GB2312" w:hAnsi="仿宋" w:eastAsia="仿宋_GB2312"/>
          <w:sz w:val="24"/>
          <w:lang w:val="zh-CN"/>
        </w:rPr>
        <w:t>电子邮箱：                               电子邮箱：</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 xml:space="preserve">开户银行：                               开户银行： </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 xml:space="preserve">开户名称：                               开户名称： </w:t>
      </w:r>
    </w:p>
    <w:p>
      <w:pPr>
        <w:autoSpaceDE w:val="0"/>
        <w:autoSpaceDN w:val="0"/>
        <w:spacing w:line="560" w:lineRule="exact"/>
        <w:rPr>
          <w:rFonts w:ascii="仿宋_GB2312" w:hAnsi="仿宋" w:eastAsia="仿宋_GB2312"/>
          <w:sz w:val="24"/>
        </w:rPr>
      </w:pPr>
      <w:r>
        <w:rPr>
          <w:rFonts w:hint="eastAsia" w:ascii="仿宋_GB2312" w:hAnsi="仿宋" w:eastAsia="仿宋_GB2312"/>
          <w:sz w:val="24"/>
        </w:rPr>
        <w:t>开户账号：</w:t>
      </w:r>
      <w:r>
        <w:rPr>
          <w:rFonts w:hint="eastAsia" w:ascii="仿宋_GB2312" w:hAnsi="仿宋" w:eastAsia="仿宋_GB2312"/>
          <w:sz w:val="24"/>
          <w:lang w:val="zh-CN"/>
        </w:rPr>
        <w:t xml:space="preserve">                               </w:t>
      </w:r>
      <w:r>
        <w:rPr>
          <w:rFonts w:hint="eastAsia" w:ascii="仿宋_GB2312" w:hAnsi="仿宋" w:eastAsia="仿宋_GB2312"/>
          <w:sz w:val="24"/>
        </w:rPr>
        <w:t>开户账号：</w:t>
      </w:r>
    </w:p>
    <w:p>
      <w:pPr>
        <w:widowControl/>
        <w:spacing w:line="560" w:lineRule="exact"/>
        <w:jc w:val="left"/>
        <w:rPr>
          <w:rFonts w:ascii="仿宋_GB2312" w:hAnsi="仿宋" w:eastAsia="仿宋_GB2312"/>
          <w:b/>
          <w:sz w:val="24"/>
        </w:rPr>
      </w:pPr>
      <w:bookmarkStart w:id="37" w:name="_Toc331685783"/>
    </w:p>
    <w:p>
      <w:pPr>
        <w:pStyle w:val="282"/>
        <w:pageBreakBefore/>
        <w:spacing w:line="560" w:lineRule="exact"/>
        <w:ind w:firstLine="723"/>
        <w:jc w:val="center"/>
        <w:rPr>
          <w:rFonts w:ascii="仿宋_GB2312" w:hAnsi="仿宋" w:eastAsia="仿宋_GB2312"/>
          <w:b/>
          <w:sz w:val="36"/>
          <w:szCs w:val="36"/>
        </w:rPr>
      </w:pPr>
      <w:r>
        <w:rPr>
          <w:rFonts w:hint="eastAsia" w:ascii="仿宋_GB2312" w:hAnsi="仿宋" w:eastAsia="仿宋_GB2312"/>
          <w:b/>
          <w:sz w:val="36"/>
          <w:szCs w:val="36"/>
        </w:rPr>
        <w:t>第二部分 合同一般条款</w:t>
      </w:r>
      <w:bookmarkEnd w:id="37"/>
    </w:p>
    <w:p>
      <w:pPr>
        <w:spacing w:line="560" w:lineRule="exact"/>
        <w:ind w:firstLine="482" w:firstLineChars="200"/>
        <w:outlineLvl w:val="0"/>
        <w:rPr>
          <w:rFonts w:ascii="仿宋_GB2312" w:hAnsi="仿宋" w:eastAsia="仿宋_GB2312"/>
          <w:b/>
          <w:sz w:val="24"/>
        </w:rPr>
      </w:pPr>
      <w:bookmarkStart w:id="38" w:name="_Toc487900349"/>
      <w:bookmarkStart w:id="39" w:name="_Ref467378404"/>
      <w:bookmarkStart w:id="40" w:name="_Ref467379109"/>
      <w:bookmarkStart w:id="41" w:name="_Ref467378463"/>
      <w:bookmarkStart w:id="42" w:name="_Toc16917"/>
      <w:bookmarkStart w:id="43" w:name="_Toc19614"/>
      <w:bookmarkStart w:id="44" w:name="_Toc28763"/>
      <w:bookmarkStart w:id="45" w:name="_Toc259093669"/>
      <w:bookmarkStart w:id="46" w:name="_Ref467379094"/>
      <w:bookmarkStart w:id="47" w:name="_Ref467379101"/>
      <w:bookmarkStart w:id="48" w:name="_Ref467378499"/>
      <w:bookmarkStart w:id="49" w:name="_Toc279701240"/>
      <w:bookmarkStart w:id="50" w:name="_Ref467379195"/>
      <w:bookmarkStart w:id="51" w:name="_Ref467379205"/>
      <w:bookmarkStart w:id="52" w:name="_Ref467379214"/>
      <w:bookmarkStart w:id="53" w:name="_Ref467379225"/>
      <w:r>
        <w:rPr>
          <w:rFonts w:hint="eastAsia" w:ascii="仿宋_GB2312" w:hAnsi="仿宋" w:eastAsia="仿宋_GB2312"/>
          <w:b/>
          <w:sz w:val="24"/>
        </w:rPr>
        <w:t>2.1 定义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480" w:firstLineChars="200"/>
        <w:rPr>
          <w:rFonts w:ascii="仿宋_GB2312" w:hAnsi="仿宋" w:eastAsia="仿宋_GB2312"/>
          <w:sz w:val="24"/>
        </w:rPr>
      </w:pPr>
      <w:r>
        <w:rPr>
          <w:rFonts w:hint="eastAsia" w:ascii="仿宋_GB2312" w:hAnsi="仿宋" w:eastAsia="仿宋_GB2312"/>
          <w:sz w:val="24"/>
        </w:rPr>
        <w:t>本合同中的下列词语应按以下内容进行解释：</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 “合同价”系指根据合同约定，中标供应商在完全履行合同义务后，采购人应支付给中标供应商的价格。</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_GB2312" w:hAnsi="仿宋" w:eastAsia="仿宋_GB2312"/>
          <w:sz w:val="24"/>
        </w:rPr>
      </w:pPr>
      <w:bookmarkStart w:id="54" w:name="_Ref467378840"/>
      <w:r>
        <w:rPr>
          <w:rFonts w:hint="eastAsia" w:ascii="仿宋_GB2312" w:hAnsi="仿宋" w:eastAsia="仿宋_GB2312"/>
          <w:sz w:val="24"/>
        </w:rPr>
        <w:t>2.1.4 “甲方”系指与中标供应商签署合同的采购人</w:t>
      </w:r>
      <w:bookmarkEnd w:id="54"/>
      <w:r>
        <w:rPr>
          <w:rFonts w:hint="eastAsia" w:ascii="仿宋_GB2312" w:hAnsi="仿宋" w:eastAsia="仿宋_GB2312"/>
          <w:sz w:val="24"/>
        </w:rPr>
        <w:t>。</w:t>
      </w:r>
    </w:p>
    <w:p>
      <w:pPr>
        <w:spacing w:line="560" w:lineRule="exact"/>
        <w:ind w:firstLine="480" w:firstLineChars="200"/>
        <w:rPr>
          <w:rFonts w:ascii="仿宋_GB2312" w:hAnsi="仿宋" w:eastAsia="仿宋_GB2312"/>
          <w:sz w:val="24"/>
        </w:rPr>
      </w:pPr>
      <w:bookmarkStart w:id="55" w:name="_Ref467379400"/>
      <w:r>
        <w:rPr>
          <w:rFonts w:hint="eastAsia" w:ascii="仿宋_GB2312" w:hAnsi="仿宋" w:eastAsia="仿宋_GB2312"/>
          <w:sz w:val="24"/>
        </w:rPr>
        <w:t>2.1.5 “乙方”系指根据合同约定交付货物的中标供应商</w:t>
      </w:r>
      <w:bookmarkEnd w:id="55"/>
      <w:r>
        <w:rPr>
          <w:rFonts w:hint="eastAsia" w:ascii="仿宋_GB2312" w:hAnsi="仿宋"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_GB2312" w:hAnsi="仿宋" w:eastAsia="仿宋_GB2312"/>
          <w:sz w:val="24"/>
        </w:rPr>
      </w:pPr>
      <w:bookmarkStart w:id="56" w:name="_Ref467379436"/>
      <w:r>
        <w:rPr>
          <w:rFonts w:hint="eastAsia" w:ascii="仿宋_GB2312" w:hAnsi="仿宋" w:eastAsia="仿宋_GB2312"/>
          <w:sz w:val="24"/>
        </w:rPr>
        <w:t>2.1.6 “现场”系指合同约定货物将要运至或者安装的地点。</w:t>
      </w:r>
      <w:bookmarkEnd w:id="56"/>
    </w:p>
    <w:p>
      <w:pPr>
        <w:spacing w:line="560" w:lineRule="exact"/>
        <w:ind w:firstLine="482" w:firstLineChars="200"/>
        <w:outlineLvl w:val="0"/>
        <w:rPr>
          <w:rFonts w:ascii="仿宋_GB2312" w:hAnsi="仿宋" w:eastAsia="仿宋_GB2312"/>
          <w:b/>
          <w:sz w:val="24"/>
        </w:rPr>
      </w:pPr>
      <w:bookmarkStart w:id="57" w:name="_Toc13336"/>
      <w:bookmarkStart w:id="58" w:name="_Toc27635"/>
      <w:bookmarkStart w:id="59" w:name="_Toc32504"/>
      <w:bookmarkStart w:id="60" w:name="_Toc487900350"/>
      <w:bookmarkStart w:id="61" w:name="_Toc279701241"/>
      <w:bookmarkStart w:id="62" w:name="_Toc259093670"/>
      <w:r>
        <w:rPr>
          <w:rFonts w:hint="eastAsia" w:ascii="仿宋_GB2312" w:hAnsi="仿宋" w:eastAsia="仿宋_GB2312"/>
          <w:b/>
          <w:sz w:val="24"/>
        </w:rPr>
        <w:t>2.2 技术规范</w:t>
      </w:r>
      <w:bookmarkEnd w:id="57"/>
      <w:bookmarkEnd w:id="58"/>
      <w:bookmarkEnd w:id="59"/>
      <w:bookmarkEnd w:id="60"/>
      <w:bookmarkEnd w:id="61"/>
      <w:bookmarkEnd w:id="62"/>
    </w:p>
    <w:p>
      <w:pPr>
        <w:spacing w:line="560" w:lineRule="exact"/>
        <w:ind w:firstLine="480" w:firstLineChars="200"/>
        <w:rPr>
          <w:rFonts w:ascii="仿宋_GB2312" w:hAnsi="仿宋" w:eastAsia="仿宋_GB2312"/>
          <w:sz w:val="24"/>
        </w:rPr>
      </w:pPr>
      <w:r>
        <w:rPr>
          <w:rFonts w:hint="eastAsia" w:ascii="仿宋_GB2312" w:hAnsi="仿宋"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_GB2312" w:hAnsi="仿宋" w:eastAsia="仿宋_GB2312"/>
          <w:b/>
          <w:sz w:val="24"/>
        </w:rPr>
      </w:pPr>
      <w:bookmarkStart w:id="63" w:name="_Toc279701242"/>
      <w:bookmarkStart w:id="64" w:name="_Toc27853"/>
      <w:bookmarkStart w:id="65" w:name="_Toc9829"/>
      <w:bookmarkStart w:id="66" w:name="_Toc31634"/>
      <w:bookmarkStart w:id="67" w:name="_Toc259093671"/>
      <w:bookmarkStart w:id="68" w:name="_Toc487900351"/>
      <w:r>
        <w:rPr>
          <w:rFonts w:hint="eastAsia" w:ascii="仿宋_GB2312" w:hAnsi="仿宋" w:eastAsia="仿宋_GB2312"/>
          <w:b/>
          <w:sz w:val="24"/>
        </w:rPr>
        <w:t>2.3 知识产权</w:t>
      </w:r>
      <w:bookmarkEnd w:id="63"/>
      <w:bookmarkEnd w:id="64"/>
      <w:bookmarkEnd w:id="65"/>
      <w:bookmarkEnd w:id="66"/>
      <w:bookmarkEnd w:id="67"/>
      <w:bookmarkEnd w:id="68"/>
    </w:p>
    <w:p>
      <w:pPr>
        <w:spacing w:line="560" w:lineRule="exact"/>
        <w:ind w:firstLine="480" w:firstLineChars="200"/>
        <w:rPr>
          <w:rFonts w:ascii="仿宋_GB2312" w:hAnsi="仿宋" w:eastAsia="仿宋_GB2312"/>
          <w:sz w:val="24"/>
        </w:rPr>
      </w:pPr>
      <w:r>
        <w:rPr>
          <w:rFonts w:hint="eastAsia" w:ascii="仿宋_GB2312" w:hAnsi="仿宋"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2.3.2具有知识产权的计算机软件等货物的知识产权归属，详见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69" w:name="_Toc29149"/>
      <w:bookmarkStart w:id="70" w:name="_Toc4194"/>
      <w:bookmarkStart w:id="71" w:name="_Toc11932"/>
      <w:r>
        <w:rPr>
          <w:rFonts w:hint="eastAsia" w:ascii="仿宋_GB2312" w:hAnsi="仿宋" w:eastAsia="仿宋_GB2312"/>
          <w:b/>
          <w:sz w:val="24"/>
        </w:rPr>
        <w:t>2.4 包装和装运</w:t>
      </w:r>
      <w:bookmarkEnd w:id="69"/>
      <w:bookmarkEnd w:id="70"/>
      <w:bookmarkEnd w:id="71"/>
    </w:p>
    <w:p>
      <w:pPr>
        <w:spacing w:line="560" w:lineRule="exact"/>
        <w:ind w:firstLine="480" w:firstLineChars="200"/>
        <w:rPr>
          <w:rFonts w:ascii="仿宋_GB2312" w:hAnsi="仿宋" w:eastAsia="仿宋_GB2312"/>
          <w:sz w:val="24"/>
        </w:rPr>
      </w:pPr>
      <w:r>
        <w:rPr>
          <w:rFonts w:hint="eastAsia" w:ascii="仿宋_GB2312" w:hAnsi="仿宋" w:eastAsia="仿宋_GB2312"/>
          <w:sz w:val="24"/>
        </w:rPr>
        <w:t>2.4.1除</w:t>
      </w:r>
      <w:r>
        <w:rPr>
          <w:rFonts w:hint="eastAsia" w:ascii="仿宋_GB2312" w:hAnsi="仿宋" w:eastAsia="仿宋_GB2312"/>
          <w:b/>
          <w:i/>
          <w:sz w:val="24"/>
          <w:u w:val="single"/>
        </w:rPr>
        <w:t>合同专用条款</w:t>
      </w:r>
      <w:r>
        <w:rPr>
          <w:rFonts w:hint="eastAsia" w:ascii="仿宋_GB2312" w:hAnsi="仿宋"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2.4.2 装运货物的要求和通知，详见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72" w:name="_Ref467379536"/>
      <w:bookmarkStart w:id="73" w:name="_Toc279701245"/>
      <w:bookmarkStart w:id="74" w:name="_Toc487900354"/>
      <w:bookmarkStart w:id="75" w:name="_Toc259093674"/>
      <w:bookmarkStart w:id="76" w:name="_Ref467379542"/>
      <w:bookmarkStart w:id="77" w:name="_Ref467378591"/>
      <w:bookmarkStart w:id="78" w:name="_Ref467378541"/>
      <w:bookmarkStart w:id="79" w:name="_Ref467379527"/>
      <w:bookmarkStart w:id="80" w:name="_Toc26182"/>
      <w:bookmarkStart w:id="81" w:name="_Toc30272"/>
      <w:bookmarkStart w:id="82" w:name="_Toc19074"/>
      <w:r>
        <w:rPr>
          <w:rFonts w:hint="eastAsia" w:ascii="仿宋_GB2312" w:hAnsi="仿宋" w:eastAsia="仿宋_GB2312"/>
          <w:b/>
          <w:sz w:val="24"/>
        </w:rPr>
        <w:t>2.</w:t>
      </w:r>
      <w:bookmarkEnd w:id="72"/>
      <w:bookmarkEnd w:id="73"/>
      <w:bookmarkEnd w:id="74"/>
      <w:bookmarkEnd w:id="75"/>
      <w:bookmarkEnd w:id="76"/>
      <w:bookmarkEnd w:id="77"/>
      <w:bookmarkEnd w:id="78"/>
      <w:bookmarkEnd w:id="79"/>
      <w:r>
        <w:rPr>
          <w:rFonts w:hint="eastAsia" w:ascii="仿宋_GB2312" w:hAnsi="仿宋" w:eastAsia="仿宋_GB2312"/>
          <w:b/>
          <w:sz w:val="24"/>
        </w:rPr>
        <w:t>5 履约检查和问题反馈</w:t>
      </w:r>
      <w:bookmarkEnd w:id="80"/>
      <w:bookmarkEnd w:id="81"/>
      <w:bookmarkEnd w:id="82"/>
    </w:p>
    <w:p>
      <w:pPr>
        <w:spacing w:line="560" w:lineRule="exact"/>
        <w:ind w:firstLine="480" w:firstLineChars="200"/>
        <w:rPr>
          <w:rFonts w:ascii="仿宋_GB2312" w:hAnsi="仿宋" w:eastAsia="仿宋_GB2312"/>
          <w:sz w:val="24"/>
        </w:rPr>
      </w:pPr>
      <w:bookmarkStart w:id="83" w:name="_Ref467379657"/>
      <w:r>
        <w:rPr>
          <w:rFonts w:hint="eastAsia" w:ascii="仿宋_GB2312" w:hAnsi="仿宋" w:eastAsia="仿宋_GB2312"/>
          <w:sz w:val="24"/>
        </w:rPr>
        <w:t>2.5.1</w:t>
      </w:r>
      <w:bookmarkEnd w:id="83"/>
      <w:bookmarkStart w:id="84" w:name="_Toc186431854"/>
      <w:bookmarkStart w:id="85" w:name="_Toc279701247"/>
      <w:bookmarkStart w:id="86" w:name="_Ref467379807"/>
      <w:bookmarkStart w:id="87" w:name="_Toc259093676"/>
      <w:bookmarkStart w:id="88" w:name="_Ref467379793"/>
      <w:bookmarkStart w:id="89" w:name="_Toc487900357"/>
      <w:r>
        <w:rPr>
          <w:rFonts w:hint="eastAsia" w:ascii="仿宋_GB2312" w:hAnsi="仿宋"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2.5.2 合同履行期间，甲方有权将履行过程中出现的问题反馈给乙方，双方当事人应以书面形式约定需要完善和改进的内容</w:t>
      </w:r>
      <w:bookmarkEnd w:id="84"/>
      <w:bookmarkStart w:id="90" w:name="_Toc186431855"/>
      <w:r>
        <w:rPr>
          <w:rFonts w:hint="eastAsia" w:ascii="仿宋_GB2312" w:hAnsi="仿宋" w:eastAsia="仿宋_GB2312"/>
          <w:sz w:val="24"/>
        </w:rPr>
        <w:t>。</w:t>
      </w:r>
    </w:p>
    <w:bookmarkEnd w:id="85"/>
    <w:bookmarkEnd w:id="86"/>
    <w:bookmarkEnd w:id="87"/>
    <w:bookmarkEnd w:id="88"/>
    <w:bookmarkEnd w:id="89"/>
    <w:bookmarkEnd w:id="90"/>
    <w:p>
      <w:pPr>
        <w:spacing w:line="560" w:lineRule="exact"/>
        <w:ind w:firstLine="482" w:firstLineChars="200"/>
        <w:outlineLvl w:val="0"/>
        <w:rPr>
          <w:rFonts w:ascii="仿宋_GB2312" w:hAnsi="仿宋" w:eastAsia="仿宋_GB2312"/>
          <w:b/>
          <w:sz w:val="24"/>
        </w:rPr>
      </w:pPr>
      <w:bookmarkStart w:id="91" w:name="_Ref467379923"/>
      <w:bookmarkStart w:id="92" w:name="_Ref467379863"/>
      <w:bookmarkStart w:id="93" w:name="_Toc279701248"/>
      <w:bookmarkStart w:id="94" w:name="_Toc259093677"/>
      <w:bookmarkStart w:id="95" w:name="_Ref467379852"/>
      <w:bookmarkStart w:id="96" w:name="_Toc487900358"/>
      <w:bookmarkStart w:id="97" w:name="_Toc774"/>
      <w:bookmarkStart w:id="98" w:name="_Toc16110"/>
      <w:bookmarkStart w:id="99" w:name="_Toc3225"/>
      <w:r>
        <w:rPr>
          <w:rFonts w:hint="eastAsia" w:ascii="仿宋_GB2312" w:hAnsi="仿宋" w:eastAsia="仿宋_GB2312"/>
          <w:b/>
          <w:sz w:val="24"/>
        </w:rPr>
        <w:t>2.6 技术资料</w:t>
      </w:r>
      <w:bookmarkEnd w:id="91"/>
      <w:bookmarkEnd w:id="92"/>
      <w:bookmarkEnd w:id="93"/>
      <w:bookmarkEnd w:id="94"/>
      <w:bookmarkEnd w:id="95"/>
      <w:bookmarkEnd w:id="96"/>
      <w:r>
        <w:rPr>
          <w:rFonts w:hint="eastAsia" w:ascii="仿宋_GB2312" w:hAnsi="仿宋" w:eastAsia="仿宋_GB2312"/>
          <w:b/>
          <w:sz w:val="24"/>
        </w:rPr>
        <w:t>和保密义务</w:t>
      </w:r>
      <w:bookmarkEnd w:id="97"/>
      <w:bookmarkEnd w:id="98"/>
      <w:bookmarkEnd w:id="99"/>
    </w:p>
    <w:p>
      <w:pPr>
        <w:spacing w:line="560" w:lineRule="exact"/>
        <w:ind w:firstLine="480" w:firstLineChars="200"/>
        <w:rPr>
          <w:rFonts w:ascii="仿宋_GB2312" w:hAnsi="仿宋" w:eastAsia="仿宋_GB2312"/>
          <w:sz w:val="24"/>
        </w:rPr>
      </w:pPr>
      <w:r>
        <w:rPr>
          <w:rFonts w:hint="eastAsia" w:ascii="仿宋_GB2312" w:hAnsi="仿宋" w:eastAsia="仿宋_GB2312"/>
          <w:sz w:val="24"/>
        </w:rPr>
        <w:t>2.6.1 乙方有权依据合同约定和项目需要，向甲方了解有关情况，调阅有关资料等，甲方应予积极配合；</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2.6.2 乙方有义务妥善保管和保护由甲方提供的前款信息和资料等；</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_GB2312" w:hAnsi="仿宋" w:eastAsia="仿宋_GB2312"/>
          <w:b/>
          <w:sz w:val="24"/>
        </w:rPr>
      </w:pPr>
      <w:bookmarkStart w:id="100" w:name="_Toc7860"/>
      <w:r>
        <w:rPr>
          <w:rFonts w:hint="eastAsia" w:ascii="仿宋_GB2312" w:hAnsi="仿宋" w:eastAsia="仿宋_GB2312"/>
          <w:b/>
          <w:sz w:val="24"/>
        </w:rPr>
        <w:t>2.7 质量保证</w:t>
      </w:r>
      <w:bookmarkEnd w:id="100"/>
    </w:p>
    <w:p>
      <w:pPr>
        <w:spacing w:line="560" w:lineRule="exact"/>
        <w:ind w:firstLine="480" w:firstLineChars="200"/>
        <w:rPr>
          <w:rFonts w:ascii="仿宋_GB2312" w:hAnsi="仿宋" w:eastAsia="仿宋_GB2312"/>
          <w:sz w:val="24"/>
        </w:rPr>
      </w:pPr>
      <w:r>
        <w:rPr>
          <w:rFonts w:hint="eastAsia" w:ascii="仿宋_GB2312" w:hAnsi="仿宋" w:eastAsia="仿宋_GB2312"/>
          <w:sz w:val="24"/>
        </w:rPr>
        <w:t>2.7.1 乙方应建立和完善履行合同的内部质量保证体系，并提供相关内部规章制度给甲方，以便甲方进行监督检查；</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_GB2312" w:hAnsi="仿宋" w:eastAsia="仿宋_GB2312"/>
          <w:b/>
          <w:sz w:val="24"/>
        </w:rPr>
      </w:pPr>
      <w:bookmarkStart w:id="101" w:name="_Toc17244"/>
      <w:bookmarkStart w:id="102" w:name="_Toc487900362"/>
      <w:bookmarkStart w:id="103" w:name="_Toc259093681"/>
      <w:bookmarkStart w:id="104" w:name="_Toc279701252"/>
      <w:r>
        <w:rPr>
          <w:rFonts w:hint="eastAsia" w:ascii="仿宋_GB2312" w:hAnsi="仿宋" w:eastAsia="仿宋_GB2312"/>
          <w:b/>
          <w:sz w:val="24"/>
        </w:rPr>
        <w:t>2.8 货物的风险负担</w:t>
      </w:r>
      <w:bookmarkEnd w:id="101"/>
    </w:p>
    <w:p>
      <w:pPr>
        <w:spacing w:line="560" w:lineRule="exact"/>
        <w:ind w:firstLine="480" w:firstLineChars="200"/>
        <w:rPr>
          <w:rFonts w:ascii="仿宋_GB2312" w:hAnsi="仿宋" w:eastAsia="仿宋_GB2312"/>
          <w:b/>
          <w:sz w:val="24"/>
        </w:rPr>
      </w:pPr>
      <w:r>
        <w:rPr>
          <w:rFonts w:hint="eastAsia" w:ascii="仿宋_GB2312" w:hAnsi="仿宋" w:eastAsia="仿宋_GB2312"/>
          <w:sz w:val="24"/>
        </w:rPr>
        <w:t>货物或者在途货物或者交付给第一承运人后的货物毁损、灭失的风险负担详见</w:t>
      </w:r>
      <w:r>
        <w:rPr>
          <w:rFonts w:hint="eastAsia" w:ascii="仿宋_GB2312" w:hAnsi="仿宋" w:eastAsia="仿宋_GB2312"/>
          <w:b/>
          <w:i/>
          <w:sz w:val="24"/>
          <w:u w:val="single"/>
        </w:rPr>
        <w:t>合同专用条款</w:t>
      </w:r>
      <w:r>
        <w:rPr>
          <w:rFonts w:hint="eastAsia" w:ascii="仿宋_GB2312" w:hAnsi="仿宋" w:eastAsia="仿宋_GB2312"/>
          <w:sz w:val="24"/>
        </w:rPr>
        <w:t>。</w:t>
      </w:r>
    </w:p>
    <w:p>
      <w:pPr>
        <w:spacing w:line="560" w:lineRule="exact"/>
        <w:ind w:firstLine="482" w:firstLineChars="200"/>
        <w:outlineLvl w:val="0"/>
        <w:rPr>
          <w:rFonts w:ascii="仿宋_GB2312" w:hAnsi="仿宋" w:eastAsia="仿宋_GB2312"/>
          <w:b/>
          <w:sz w:val="24"/>
        </w:rPr>
      </w:pPr>
      <w:bookmarkStart w:id="105" w:name="_Toc14055"/>
      <w:r>
        <w:rPr>
          <w:rFonts w:hint="eastAsia" w:ascii="仿宋_GB2312" w:hAnsi="仿宋" w:eastAsia="仿宋_GB2312"/>
          <w:b/>
          <w:sz w:val="24"/>
        </w:rPr>
        <w:t>2.9 延迟交货</w:t>
      </w:r>
      <w:bookmarkEnd w:id="102"/>
      <w:bookmarkEnd w:id="103"/>
      <w:bookmarkEnd w:id="104"/>
      <w:bookmarkEnd w:id="105"/>
    </w:p>
    <w:p>
      <w:pPr>
        <w:spacing w:line="560" w:lineRule="exact"/>
        <w:ind w:firstLine="480" w:firstLineChars="200"/>
        <w:rPr>
          <w:rFonts w:ascii="仿宋_GB2312" w:hAnsi="仿宋" w:eastAsia="仿宋_GB2312"/>
          <w:sz w:val="24"/>
        </w:rPr>
      </w:pPr>
      <w:r>
        <w:rPr>
          <w:rFonts w:hint="eastAsia" w:ascii="仿宋_GB2312" w:hAnsi="仿宋"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_GB2312" w:hAnsi="仿宋" w:eastAsia="仿宋_GB2312"/>
          <w:b/>
          <w:sz w:val="24"/>
        </w:rPr>
      </w:pPr>
      <w:bookmarkStart w:id="106" w:name="_Toc7502"/>
      <w:bookmarkStart w:id="107" w:name="_Toc259093683"/>
      <w:bookmarkStart w:id="108" w:name="_Toc487900364"/>
      <w:bookmarkStart w:id="109" w:name="_Ref467378121"/>
      <w:bookmarkStart w:id="110" w:name="_Toc279701254"/>
      <w:r>
        <w:rPr>
          <w:rFonts w:hint="eastAsia" w:ascii="仿宋_GB2312" w:hAnsi="仿宋" w:eastAsia="仿宋_GB2312"/>
          <w:b/>
          <w:sz w:val="24"/>
        </w:rPr>
        <w:t>2.10 合同变更</w:t>
      </w:r>
      <w:bookmarkEnd w:id="106"/>
    </w:p>
    <w:p>
      <w:pPr>
        <w:spacing w:line="560" w:lineRule="exact"/>
        <w:ind w:firstLine="480" w:firstLineChars="200"/>
        <w:rPr>
          <w:rFonts w:ascii="仿宋_GB2312" w:hAnsi="仿宋" w:eastAsia="仿宋_GB2312"/>
          <w:sz w:val="24"/>
        </w:rPr>
      </w:pPr>
      <w:r>
        <w:rPr>
          <w:rFonts w:hint="eastAsia" w:ascii="仿宋_GB2312" w:hAnsi="仿宋" w:eastAsia="仿宋_GB2312"/>
          <w:sz w:val="24"/>
        </w:rPr>
        <w:t>合同继续履行将损害国家利益和社会公共利益的，双方当事人应当以书面形式变更合同。有过错的一方应当承担赔偿责任，双方当事人都有过错的，各自承担相应的责任。</w:t>
      </w:r>
      <w:bookmarkStart w:id="111" w:name="_Toc259093688"/>
      <w:bookmarkStart w:id="112" w:name="_Toc279701259"/>
      <w:bookmarkStart w:id="113" w:name="_Toc487900369"/>
    </w:p>
    <w:p>
      <w:pPr>
        <w:spacing w:line="560" w:lineRule="exact"/>
        <w:ind w:firstLine="482" w:firstLineChars="200"/>
        <w:outlineLvl w:val="0"/>
        <w:rPr>
          <w:rFonts w:ascii="仿宋_GB2312" w:hAnsi="仿宋" w:eastAsia="仿宋_GB2312"/>
          <w:b/>
          <w:sz w:val="24"/>
        </w:rPr>
      </w:pPr>
      <w:bookmarkStart w:id="114" w:name="_Toc15237"/>
      <w:bookmarkStart w:id="115" w:name="_Toc22955"/>
      <w:bookmarkStart w:id="116" w:name="_Toc10366"/>
      <w:r>
        <w:rPr>
          <w:rFonts w:hint="eastAsia" w:ascii="仿宋_GB2312" w:hAnsi="仿宋" w:eastAsia="仿宋_GB2312"/>
          <w:b/>
          <w:sz w:val="24"/>
        </w:rPr>
        <w:t>2.11 合同转让</w:t>
      </w:r>
      <w:bookmarkEnd w:id="111"/>
      <w:bookmarkEnd w:id="112"/>
      <w:bookmarkEnd w:id="113"/>
      <w:r>
        <w:rPr>
          <w:rFonts w:hint="eastAsia" w:ascii="仿宋_GB2312" w:hAnsi="仿宋" w:eastAsia="仿宋_GB2312"/>
          <w:b/>
          <w:sz w:val="24"/>
        </w:rPr>
        <w:t>和分包</w:t>
      </w:r>
      <w:bookmarkEnd w:id="114"/>
      <w:bookmarkEnd w:id="115"/>
      <w:bookmarkEnd w:id="116"/>
      <w:r>
        <w:rPr>
          <w:rFonts w:hint="eastAsia" w:ascii="仿宋_GB2312" w:hAnsi="仿宋" w:eastAsia="仿宋_GB2312"/>
          <w:b/>
          <w:sz w:val="24"/>
        </w:rPr>
        <w:t>（如有）</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2.11.2乙方采取分包方式履行合同的，甲方可直接向分包供应商支付款项。</w:t>
      </w:r>
    </w:p>
    <w:p>
      <w:pPr>
        <w:spacing w:line="560" w:lineRule="exact"/>
        <w:ind w:firstLine="482" w:firstLineChars="200"/>
        <w:outlineLvl w:val="0"/>
        <w:rPr>
          <w:rFonts w:ascii="仿宋_GB2312" w:hAnsi="仿宋" w:eastAsia="仿宋_GB2312"/>
          <w:b/>
          <w:sz w:val="24"/>
        </w:rPr>
      </w:pPr>
      <w:bookmarkStart w:id="117" w:name="_Toc14066"/>
      <w:bookmarkStart w:id="118" w:name="_Toc13566"/>
      <w:bookmarkStart w:id="119" w:name="_Toc16508"/>
      <w:r>
        <w:rPr>
          <w:rFonts w:hint="eastAsia" w:ascii="仿宋_GB2312" w:hAnsi="仿宋" w:eastAsia="仿宋_GB2312"/>
          <w:b/>
          <w:sz w:val="24"/>
        </w:rPr>
        <w:t>2.12 不可抗力</w:t>
      </w:r>
      <w:bookmarkEnd w:id="117"/>
      <w:bookmarkEnd w:id="118"/>
      <w:bookmarkEnd w:id="119"/>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2.12.2 因不可抗力致使不能实现合同目的的，当事人可以解除合同；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2.12.3 因不可抗力致使合同有变更必要的，双方当事人应在</w:t>
      </w:r>
      <w:r>
        <w:rPr>
          <w:rFonts w:hint="eastAsia" w:ascii="仿宋_GB2312" w:hAnsi="仿宋" w:eastAsia="仿宋_GB2312"/>
          <w:b/>
          <w:i/>
          <w:sz w:val="24"/>
          <w:u w:val="single"/>
        </w:rPr>
        <w:t>合同专用条款</w:t>
      </w:r>
      <w:r>
        <w:rPr>
          <w:rFonts w:hint="eastAsia" w:ascii="仿宋_GB2312" w:hAnsi="仿宋" w:eastAsia="仿宋_GB2312"/>
          <w:sz w:val="24"/>
        </w:rPr>
        <w:t>约定时间内以书面形式变更合同；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2.12.4受不可抗力影响的一方在不可抗力发生后，应在</w:t>
      </w:r>
      <w:r>
        <w:rPr>
          <w:rFonts w:hint="eastAsia" w:ascii="仿宋_GB2312" w:hAnsi="仿宋" w:eastAsia="仿宋_GB2312"/>
          <w:b/>
          <w:i/>
          <w:sz w:val="24"/>
          <w:u w:val="single"/>
        </w:rPr>
        <w:t>合同专用条款</w:t>
      </w:r>
      <w:r>
        <w:rPr>
          <w:rFonts w:hint="eastAsia" w:ascii="仿宋_GB2312" w:hAnsi="仿宋" w:eastAsia="仿宋_GB2312"/>
          <w:sz w:val="24"/>
        </w:rPr>
        <w:t>约定时间内以书面形式通知对方当事人，并在</w:t>
      </w:r>
      <w:r>
        <w:rPr>
          <w:rFonts w:hint="eastAsia" w:ascii="仿宋_GB2312" w:hAnsi="仿宋" w:eastAsia="仿宋_GB2312"/>
          <w:b/>
          <w:i/>
          <w:sz w:val="24"/>
          <w:u w:val="single"/>
        </w:rPr>
        <w:t>合同专用条款</w:t>
      </w:r>
      <w:r>
        <w:rPr>
          <w:rFonts w:hint="eastAsia" w:ascii="仿宋_GB2312" w:hAnsi="仿宋" w:eastAsia="仿宋_GB2312"/>
          <w:sz w:val="24"/>
        </w:rPr>
        <w:t>约定时间内，将有关部门出具的证明文件送达对方当事人。</w:t>
      </w:r>
    </w:p>
    <w:p>
      <w:pPr>
        <w:spacing w:line="560" w:lineRule="exact"/>
        <w:ind w:firstLine="482" w:firstLineChars="200"/>
        <w:outlineLvl w:val="0"/>
        <w:rPr>
          <w:rFonts w:ascii="仿宋_GB2312" w:hAnsi="仿宋" w:eastAsia="仿宋_GB2312"/>
          <w:b/>
          <w:sz w:val="24"/>
        </w:rPr>
      </w:pPr>
      <w:bookmarkStart w:id="120" w:name="_Toc30676"/>
      <w:bookmarkStart w:id="121" w:name="_Toc259093684"/>
      <w:bookmarkStart w:id="122" w:name="_Toc689"/>
      <w:bookmarkStart w:id="123" w:name="_Toc279701255"/>
      <w:bookmarkStart w:id="124" w:name="_Toc6969"/>
      <w:bookmarkStart w:id="125" w:name="_Toc487900365"/>
      <w:r>
        <w:rPr>
          <w:rFonts w:hint="eastAsia" w:ascii="仿宋_GB2312" w:hAnsi="仿宋" w:eastAsia="仿宋_GB2312"/>
          <w:b/>
          <w:sz w:val="24"/>
        </w:rPr>
        <w:t>2.13 税费</w:t>
      </w:r>
      <w:bookmarkEnd w:id="120"/>
      <w:bookmarkEnd w:id="121"/>
      <w:bookmarkEnd w:id="122"/>
      <w:bookmarkEnd w:id="123"/>
      <w:bookmarkEnd w:id="124"/>
      <w:bookmarkEnd w:id="125"/>
    </w:p>
    <w:p>
      <w:pPr>
        <w:spacing w:line="560" w:lineRule="exact"/>
        <w:ind w:firstLine="480" w:firstLineChars="200"/>
        <w:rPr>
          <w:rFonts w:ascii="仿宋_GB2312" w:hAnsi="仿宋" w:eastAsia="仿宋_GB2312"/>
          <w:sz w:val="24"/>
        </w:rPr>
      </w:pPr>
      <w:r>
        <w:rPr>
          <w:rFonts w:hint="eastAsia" w:ascii="仿宋_GB2312" w:hAnsi="仿宋" w:eastAsia="仿宋_GB2312"/>
          <w:sz w:val="24"/>
        </w:rPr>
        <w:t>与合同有关的一切税费，均按照中华人民共和国法律的相关规定。</w:t>
      </w:r>
    </w:p>
    <w:p>
      <w:pPr>
        <w:spacing w:line="560" w:lineRule="exact"/>
        <w:ind w:firstLine="482" w:firstLineChars="200"/>
        <w:outlineLvl w:val="0"/>
        <w:rPr>
          <w:rFonts w:ascii="仿宋_GB2312" w:hAnsi="仿宋" w:eastAsia="仿宋_GB2312"/>
          <w:b/>
          <w:sz w:val="24"/>
        </w:rPr>
      </w:pPr>
      <w:bookmarkStart w:id="126" w:name="_Toc279701258"/>
      <w:bookmarkStart w:id="127" w:name="_Toc7102"/>
      <w:bookmarkStart w:id="128" w:name="_Toc259093687"/>
      <w:bookmarkStart w:id="129" w:name="_Toc487900368"/>
      <w:bookmarkStart w:id="130" w:name="_Toc16959"/>
      <w:bookmarkStart w:id="131" w:name="_Toc8298"/>
      <w:r>
        <w:rPr>
          <w:rFonts w:hint="eastAsia" w:ascii="仿宋_GB2312" w:hAnsi="仿宋" w:eastAsia="仿宋_GB2312"/>
          <w:b/>
          <w:sz w:val="24"/>
        </w:rPr>
        <w:t>2.14乙方破产</w:t>
      </w:r>
      <w:bookmarkEnd w:id="126"/>
      <w:bookmarkEnd w:id="127"/>
      <w:bookmarkEnd w:id="128"/>
      <w:bookmarkEnd w:id="129"/>
      <w:bookmarkEnd w:id="130"/>
      <w:bookmarkEnd w:id="131"/>
    </w:p>
    <w:p>
      <w:pPr>
        <w:spacing w:line="560" w:lineRule="exact"/>
        <w:ind w:firstLine="480" w:firstLineChars="200"/>
        <w:rPr>
          <w:rFonts w:ascii="仿宋_GB2312" w:hAnsi="仿宋" w:eastAsia="仿宋_GB2312"/>
          <w:sz w:val="24"/>
        </w:rPr>
      </w:pPr>
      <w:r>
        <w:rPr>
          <w:rFonts w:hint="eastAsia" w:ascii="仿宋_GB2312" w:hAnsi="仿宋"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_GB2312" w:hAnsi="仿宋" w:eastAsia="仿宋_GB2312"/>
          <w:b/>
          <w:sz w:val="24"/>
        </w:rPr>
      </w:pPr>
      <w:bookmarkStart w:id="132" w:name="_Toc15387"/>
      <w:bookmarkStart w:id="133" w:name="_Toc29333"/>
      <w:bookmarkStart w:id="134" w:name="_Toc6134"/>
      <w:r>
        <w:rPr>
          <w:rFonts w:hint="eastAsia" w:ascii="仿宋_GB2312" w:hAnsi="仿宋" w:eastAsia="仿宋_GB2312"/>
          <w:b/>
          <w:sz w:val="24"/>
        </w:rPr>
        <w:t>2.15 合同中止、终止</w:t>
      </w:r>
      <w:bookmarkEnd w:id="132"/>
      <w:bookmarkEnd w:id="133"/>
      <w:bookmarkEnd w:id="134"/>
    </w:p>
    <w:p>
      <w:pPr>
        <w:spacing w:line="560" w:lineRule="exact"/>
        <w:ind w:firstLine="480" w:firstLineChars="200"/>
        <w:rPr>
          <w:rFonts w:ascii="仿宋_GB2312" w:hAnsi="仿宋" w:eastAsia="仿宋_GB2312"/>
          <w:sz w:val="24"/>
        </w:rPr>
      </w:pPr>
      <w:r>
        <w:rPr>
          <w:rFonts w:hint="eastAsia" w:ascii="仿宋_GB2312" w:hAnsi="仿宋" w:eastAsia="仿宋_GB2312"/>
          <w:sz w:val="24"/>
        </w:rPr>
        <w:t>2.15.1 双方当事人不得擅自中止或者终止合同；</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_GB2312" w:hAnsi="仿宋" w:eastAsia="仿宋_GB2312"/>
          <w:b/>
          <w:sz w:val="24"/>
        </w:rPr>
      </w:pPr>
      <w:bookmarkStart w:id="135" w:name="_Toc1125"/>
      <w:bookmarkStart w:id="136" w:name="_Toc14563"/>
      <w:bookmarkStart w:id="137" w:name="_Toc6596"/>
      <w:r>
        <w:rPr>
          <w:rFonts w:hint="eastAsia" w:ascii="仿宋_GB2312" w:hAnsi="仿宋" w:eastAsia="仿宋_GB2312"/>
          <w:b/>
          <w:sz w:val="24"/>
        </w:rPr>
        <w:t>2.16检验和验收</w:t>
      </w:r>
      <w:bookmarkEnd w:id="135"/>
      <w:bookmarkEnd w:id="136"/>
      <w:bookmarkEnd w:id="137"/>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2.16.1货物交付前，乙方应对货物的质量、数量等方面进行详细、全面的检验，并向甲方出具证明货物符合合同约定的文件；货物交付时，乙方在</w:t>
      </w:r>
      <w:r>
        <w:rPr>
          <w:rFonts w:hint="eastAsia" w:ascii="仿宋_GB2312" w:hAnsi="仿宋" w:eastAsia="仿宋_GB2312"/>
          <w:b/>
          <w:i/>
          <w:sz w:val="24"/>
          <w:u w:val="single"/>
        </w:rPr>
        <w:t>合同专用条款</w:t>
      </w:r>
      <w:r>
        <w:rPr>
          <w:rFonts w:hint="eastAsia" w:ascii="仿宋_GB2312" w:hAnsi="仿宋" w:eastAsia="仿宋_GB2312"/>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_GB2312" w:hAnsi="仿宋" w:eastAsia="仿宋_GB2312"/>
          <w:sz w:val="24"/>
        </w:rPr>
      </w:pPr>
      <w:r>
        <w:rPr>
          <w:rFonts w:hint="eastAsia" w:ascii="仿宋_GB2312" w:hAnsi="仿宋" w:eastAsia="仿宋_GB2312"/>
          <w:sz w:val="24"/>
        </w:rPr>
        <w:t>2.16.3 检验和验收标准、程序等具体内容以及前述验收书的效力详见</w:t>
      </w:r>
      <w:r>
        <w:rPr>
          <w:rFonts w:hint="eastAsia" w:ascii="仿宋_GB2312" w:hAnsi="仿宋" w:eastAsia="仿宋_GB2312"/>
          <w:b/>
          <w:i/>
          <w:sz w:val="24"/>
          <w:u w:val="single"/>
        </w:rPr>
        <w:t>合同专用条款</w:t>
      </w:r>
      <w:r>
        <w:rPr>
          <w:rFonts w:hint="eastAsia" w:ascii="仿宋_GB2312" w:hAnsi="仿宋" w:eastAsia="仿宋_GB2312"/>
          <w:i/>
          <w:sz w:val="24"/>
        </w:rPr>
        <w:t>。</w:t>
      </w:r>
    </w:p>
    <w:bookmarkEnd w:id="107"/>
    <w:bookmarkEnd w:id="108"/>
    <w:bookmarkEnd w:id="109"/>
    <w:bookmarkEnd w:id="110"/>
    <w:p>
      <w:pPr>
        <w:spacing w:line="560" w:lineRule="exact"/>
        <w:ind w:firstLine="482" w:firstLineChars="200"/>
        <w:outlineLvl w:val="0"/>
        <w:rPr>
          <w:rFonts w:ascii="仿宋_GB2312" w:hAnsi="仿宋" w:eastAsia="仿宋_GB2312"/>
          <w:b/>
          <w:sz w:val="24"/>
        </w:rPr>
      </w:pPr>
      <w:bookmarkStart w:id="138" w:name="_Toc279701261"/>
      <w:bookmarkStart w:id="139" w:name="_Toc487900371"/>
      <w:bookmarkStart w:id="140" w:name="_Toc259093690"/>
      <w:bookmarkStart w:id="141" w:name="_Toc11284"/>
      <w:bookmarkStart w:id="142" w:name="_Toc19604"/>
      <w:bookmarkStart w:id="143" w:name="_Toc25182"/>
      <w:r>
        <w:rPr>
          <w:rFonts w:hint="eastAsia" w:ascii="仿宋_GB2312" w:hAnsi="仿宋" w:eastAsia="仿宋_GB2312"/>
          <w:b/>
          <w:sz w:val="24"/>
        </w:rPr>
        <w:t>2.17 通知</w:t>
      </w:r>
      <w:bookmarkEnd w:id="138"/>
      <w:bookmarkEnd w:id="139"/>
      <w:bookmarkEnd w:id="140"/>
      <w:r>
        <w:rPr>
          <w:rFonts w:hint="eastAsia" w:ascii="仿宋_GB2312" w:hAnsi="仿宋" w:eastAsia="仿宋_GB2312"/>
          <w:b/>
          <w:sz w:val="24"/>
        </w:rPr>
        <w:t>和送达</w:t>
      </w:r>
      <w:bookmarkEnd w:id="141"/>
      <w:bookmarkEnd w:id="142"/>
      <w:bookmarkEnd w:id="143"/>
    </w:p>
    <w:p>
      <w:pPr>
        <w:spacing w:line="560" w:lineRule="exact"/>
        <w:ind w:firstLine="480" w:firstLineChars="200"/>
        <w:rPr>
          <w:rFonts w:ascii="仿宋_GB2312" w:hAnsi="仿宋" w:eastAsia="仿宋_GB2312"/>
          <w:sz w:val="24"/>
        </w:rPr>
      </w:pPr>
      <w:bookmarkStart w:id="144" w:name="_Toc3135"/>
      <w:bookmarkStart w:id="145" w:name="_Toc6698"/>
      <w:bookmarkStart w:id="146" w:name="_Toc259093691"/>
      <w:bookmarkStart w:id="147" w:name="_Toc279701262"/>
      <w:bookmarkStart w:id="148" w:name="_Toc487900372"/>
      <w:r>
        <w:rPr>
          <w:rFonts w:hint="eastAsia" w:ascii="仿宋_GB2312" w:hAnsi="仿宋" w:eastAsia="仿宋_GB2312"/>
          <w:sz w:val="24"/>
        </w:rPr>
        <w:t xml:space="preserve">2.17.1任何一方因履行合同而以合同第一部分尾部所列明的传真或电子邮件 </w:t>
      </w:r>
      <w:r>
        <w:rPr>
          <w:rFonts w:hint="eastAsia" w:ascii="仿宋_GB2312" w:hAnsi="仿宋" w:eastAsia="仿宋_GB2312"/>
          <w:sz w:val="24"/>
          <w:u w:val="single"/>
        </w:rPr>
        <w:t xml:space="preserve">       </w:t>
      </w:r>
      <w:r>
        <w:rPr>
          <w:rFonts w:hint="eastAsia" w:ascii="仿宋_GB2312" w:hAnsi="仿宋" w:eastAsia="仿宋_GB2312"/>
          <w:sz w:val="24"/>
        </w:rPr>
        <w:t>发出的所有通知、文件、材料，均视为已向对方当事人送达；任何一方变更上述送达方式或者地址的，应于</w:t>
      </w:r>
      <w:r>
        <w:rPr>
          <w:rFonts w:hint="eastAsia" w:ascii="仿宋_GB2312" w:hAnsi="仿宋" w:eastAsia="仿宋_GB2312"/>
          <w:sz w:val="24"/>
          <w:u w:val="single"/>
        </w:rPr>
        <w:t xml:space="preserve">   </w:t>
      </w:r>
      <w:r>
        <w:rPr>
          <w:rFonts w:hint="eastAsia" w:ascii="仿宋_GB2312" w:hAnsi="仿宋" w:eastAsia="仿宋_GB2312"/>
          <w:sz w:val="24"/>
        </w:rPr>
        <w:t>个工作日内书面通知对方当事人，在对方当事人收到有关变更通知之前，变更前的约定送达方式或者地址仍视为有效。</w:t>
      </w:r>
      <w:bookmarkEnd w:id="144"/>
      <w:bookmarkEnd w:id="145"/>
    </w:p>
    <w:p>
      <w:pPr>
        <w:spacing w:line="560" w:lineRule="exact"/>
        <w:ind w:firstLine="480" w:firstLineChars="200"/>
        <w:rPr>
          <w:rFonts w:ascii="仿宋_GB2312" w:hAnsi="仿宋" w:eastAsia="仿宋_GB2312"/>
          <w:sz w:val="24"/>
        </w:rPr>
      </w:pPr>
      <w:bookmarkStart w:id="149" w:name="_Toc23294"/>
      <w:bookmarkStart w:id="150" w:name="_Toc23128"/>
      <w:r>
        <w:rPr>
          <w:rFonts w:hint="eastAsia" w:ascii="仿宋_GB2312" w:hAnsi="仿宋" w:eastAsia="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9"/>
      <w:bookmarkEnd w:id="150"/>
    </w:p>
    <w:p>
      <w:pPr>
        <w:spacing w:line="560" w:lineRule="exact"/>
        <w:ind w:firstLine="482" w:firstLineChars="200"/>
        <w:outlineLvl w:val="0"/>
        <w:rPr>
          <w:rFonts w:ascii="仿宋_GB2312" w:hAnsi="仿宋" w:eastAsia="仿宋_GB2312"/>
          <w:b/>
          <w:sz w:val="24"/>
        </w:rPr>
      </w:pPr>
      <w:bookmarkStart w:id="151" w:name="_Toc30599"/>
      <w:bookmarkStart w:id="152" w:name="_Toc18540"/>
      <w:bookmarkStart w:id="153" w:name="_Toc4355"/>
      <w:r>
        <w:rPr>
          <w:rFonts w:hint="eastAsia" w:ascii="仿宋_GB2312" w:hAnsi="仿宋" w:eastAsia="仿宋_GB2312"/>
          <w:b/>
          <w:sz w:val="24"/>
        </w:rPr>
        <w:t>2.18 计量单位</w:t>
      </w:r>
      <w:bookmarkEnd w:id="146"/>
      <w:bookmarkEnd w:id="147"/>
      <w:bookmarkEnd w:id="148"/>
      <w:bookmarkEnd w:id="151"/>
      <w:bookmarkEnd w:id="152"/>
      <w:bookmarkEnd w:id="153"/>
    </w:p>
    <w:p>
      <w:pPr>
        <w:spacing w:line="560" w:lineRule="exact"/>
        <w:ind w:firstLine="480" w:firstLineChars="200"/>
        <w:rPr>
          <w:rFonts w:ascii="仿宋_GB2312" w:hAnsi="仿宋" w:eastAsia="仿宋_GB2312"/>
          <w:sz w:val="24"/>
        </w:rPr>
      </w:pPr>
      <w:r>
        <w:rPr>
          <w:rFonts w:hint="eastAsia" w:ascii="仿宋_GB2312" w:hAnsi="仿宋" w:eastAsia="仿宋_GB2312"/>
          <w:sz w:val="24"/>
        </w:rPr>
        <w:t>除技术规范中另有规定外,合同的计量单位均使用国家法定计量单位。</w:t>
      </w:r>
    </w:p>
    <w:p>
      <w:pPr>
        <w:spacing w:line="560" w:lineRule="exact"/>
        <w:ind w:firstLine="482" w:firstLineChars="200"/>
        <w:outlineLvl w:val="0"/>
        <w:rPr>
          <w:rFonts w:ascii="仿宋_GB2312" w:hAnsi="仿宋" w:eastAsia="仿宋_GB2312"/>
          <w:b/>
          <w:sz w:val="24"/>
        </w:rPr>
      </w:pPr>
      <w:bookmarkStart w:id="154" w:name="_Toc10330"/>
      <w:bookmarkStart w:id="155" w:name="_Toc487900373"/>
      <w:bookmarkStart w:id="156" w:name="_Toc18567"/>
      <w:bookmarkStart w:id="157" w:name="_Toc279701263"/>
      <w:bookmarkStart w:id="158" w:name="_Toc12773"/>
      <w:bookmarkStart w:id="159" w:name="_Toc259093692"/>
      <w:r>
        <w:rPr>
          <w:rFonts w:hint="eastAsia" w:ascii="仿宋_GB2312" w:hAnsi="仿宋" w:eastAsia="仿宋_GB2312"/>
          <w:b/>
          <w:sz w:val="24"/>
        </w:rPr>
        <w:t>2.19 合同使用的文字和适用的法律</w:t>
      </w:r>
      <w:bookmarkEnd w:id="154"/>
      <w:bookmarkEnd w:id="155"/>
      <w:bookmarkEnd w:id="156"/>
      <w:bookmarkEnd w:id="157"/>
      <w:bookmarkEnd w:id="158"/>
      <w:bookmarkEnd w:id="159"/>
    </w:p>
    <w:p>
      <w:pPr>
        <w:spacing w:line="560" w:lineRule="exact"/>
        <w:ind w:firstLine="480" w:firstLineChars="200"/>
        <w:rPr>
          <w:rFonts w:ascii="仿宋_GB2312" w:hAnsi="仿宋" w:eastAsia="仿宋_GB2312"/>
          <w:sz w:val="24"/>
        </w:rPr>
      </w:pPr>
      <w:r>
        <w:rPr>
          <w:rFonts w:hint="eastAsia" w:ascii="仿宋_GB2312" w:hAnsi="仿宋" w:eastAsia="仿宋_GB2312"/>
          <w:sz w:val="24"/>
        </w:rPr>
        <w:t>2.19.1 合同使用汉语书就、变更和解释；</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2.19.2 合同适用中华人民共和国法律。</w:t>
      </w:r>
    </w:p>
    <w:p>
      <w:pPr>
        <w:spacing w:line="560" w:lineRule="exact"/>
        <w:ind w:firstLine="482" w:firstLineChars="200"/>
        <w:outlineLvl w:val="0"/>
        <w:rPr>
          <w:rFonts w:ascii="仿宋_GB2312" w:hAnsi="仿宋" w:eastAsia="仿宋_GB2312"/>
          <w:b/>
          <w:sz w:val="24"/>
        </w:rPr>
      </w:pPr>
      <w:bookmarkStart w:id="160" w:name="_Toc3148"/>
      <w:bookmarkStart w:id="161" w:name="_Toc279701264"/>
      <w:bookmarkStart w:id="162" w:name="_Toc12004"/>
      <w:bookmarkStart w:id="163" w:name="_Toc16673"/>
      <w:bookmarkStart w:id="164" w:name="_Toc259093693"/>
      <w:bookmarkStart w:id="165" w:name="_Toc487900374"/>
      <w:r>
        <w:rPr>
          <w:rFonts w:hint="eastAsia" w:ascii="仿宋_GB2312" w:hAnsi="仿宋" w:eastAsia="仿宋_GB2312"/>
          <w:b/>
          <w:sz w:val="24"/>
        </w:rPr>
        <w:t>2.20 履约保证金</w:t>
      </w:r>
      <w:bookmarkEnd w:id="160"/>
      <w:bookmarkEnd w:id="161"/>
      <w:bookmarkEnd w:id="162"/>
      <w:bookmarkEnd w:id="163"/>
      <w:bookmarkEnd w:id="164"/>
    </w:p>
    <w:p>
      <w:pPr>
        <w:pStyle w:val="283"/>
        <w:spacing w:before="0" w:beforeAutospacing="0" w:after="0" w:afterAutospacing="0" w:line="360" w:lineRule="auto"/>
        <w:ind w:firstLine="420"/>
        <w:rPr>
          <w:rFonts w:ascii="仿宋_GB2312" w:hAnsi="仿宋" w:eastAsia="仿宋_GB2312"/>
        </w:rPr>
      </w:pPr>
      <w:r>
        <w:rPr>
          <w:rFonts w:hint="eastAsia" w:ascii="仿宋_GB2312" w:hAnsi="仿宋" w:eastAsia="仿宋_GB2312"/>
        </w:rPr>
        <w:t>2.20.1 采购文件要求乙方提交履约保证金的，乙方应按</w:t>
      </w:r>
      <w:r>
        <w:rPr>
          <w:rFonts w:hint="eastAsia" w:ascii="仿宋_GB2312" w:hAnsi="仿宋" w:eastAsia="仿宋_GB2312"/>
          <w:b/>
          <w:i/>
          <w:u w:val="single"/>
        </w:rPr>
        <w:t>合同专用条款</w:t>
      </w:r>
      <w:r>
        <w:rPr>
          <w:rFonts w:hint="eastAsia" w:ascii="仿宋_GB2312" w:hAnsi="仿宋" w:eastAsia="仿宋_GB2312"/>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2.20.2  履约保证金在</w:t>
      </w:r>
      <w:r>
        <w:rPr>
          <w:rFonts w:hint="eastAsia" w:ascii="仿宋_GB2312" w:hAnsi="仿宋" w:eastAsia="仿宋_GB2312"/>
          <w:b/>
          <w:i/>
          <w:sz w:val="24"/>
          <w:u w:val="single"/>
        </w:rPr>
        <w:t>合同专用条款</w:t>
      </w:r>
      <w:r>
        <w:rPr>
          <w:rFonts w:hint="eastAsia" w:ascii="仿宋_GB2312" w:hAnsi="仿宋" w:eastAsia="仿宋_GB2312"/>
          <w:sz w:val="24"/>
        </w:rPr>
        <w:t>约定期间内不予退还。乙方在前述约定期间届满前能履行完合同约定义务事项的，甲方在前述约定期间届满之日起</w:t>
      </w:r>
      <w:r>
        <w:rPr>
          <w:rFonts w:hint="eastAsia" w:ascii="仿宋_GB2312" w:hAnsi="仿宋" w:eastAsia="仿宋_GB2312"/>
          <w:sz w:val="24"/>
          <w:u w:val="single"/>
        </w:rPr>
        <w:t xml:space="preserve">   </w:t>
      </w:r>
      <w:r>
        <w:rPr>
          <w:rFonts w:hint="eastAsia" w:ascii="仿宋_GB2312" w:hAnsi="仿宋" w:eastAsia="仿宋_GB2312"/>
          <w:sz w:val="24"/>
        </w:rPr>
        <w:t>个工作日内，按</w:t>
      </w:r>
      <w:r>
        <w:rPr>
          <w:rFonts w:hint="eastAsia" w:ascii="仿宋_GB2312" w:hAnsi="仿宋" w:eastAsia="仿宋_GB2312"/>
          <w:b/>
          <w:i/>
          <w:sz w:val="24"/>
          <w:u w:val="single"/>
        </w:rPr>
        <w:t>合同专用条款</w:t>
      </w:r>
      <w:r>
        <w:rPr>
          <w:rFonts w:hint="eastAsia" w:ascii="仿宋_GB2312" w:hAnsi="仿宋" w:eastAsia="仿宋_GB2312"/>
          <w:sz w:val="24"/>
        </w:rPr>
        <w:t>约定的方式将履约保证金退还乙方，逾期退还的，乙方可要求甲方支付违约金，违约金按每迟延退还一日的应退还而未退还金额的</w:t>
      </w:r>
      <w:r>
        <w:rPr>
          <w:rFonts w:hint="eastAsia" w:ascii="仿宋_GB2312" w:hAnsi="仿宋" w:eastAsia="仿宋_GB2312"/>
          <w:sz w:val="24"/>
          <w:u w:val="single"/>
        </w:rPr>
        <w:t xml:space="preserve">      </w:t>
      </w:r>
      <w:r>
        <w:rPr>
          <w:rFonts w:hint="eastAsia" w:ascii="仿宋_GB2312" w:hAnsi="仿宋" w:eastAsia="仿宋_GB2312"/>
          <w:sz w:val="24"/>
        </w:rPr>
        <w:t>%计算，最高限额为本合同履约保证金的</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_GB2312" w:eastAsia="仿宋_GB2312"/>
        </w:rPr>
      </w:pPr>
      <w:r>
        <w:rPr>
          <w:rFonts w:hint="eastAsia" w:ascii="仿宋_GB2312" w:hAnsi="仿宋" w:eastAsia="仿宋_GB2312"/>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2.21对于因甲方原因导致变更、中止或者终止政府采购合同的，甲方应当依照合同约定对供应商受到的损失予以赔偿或者补偿。</w:t>
      </w:r>
    </w:p>
    <w:bookmarkEnd w:id="165"/>
    <w:p>
      <w:pPr>
        <w:spacing w:line="560" w:lineRule="exact"/>
        <w:ind w:firstLine="482" w:firstLineChars="200"/>
        <w:outlineLvl w:val="0"/>
        <w:rPr>
          <w:rFonts w:ascii="仿宋_GB2312" w:hAnsi="仿宋" w:eastAsia="仿宋_GB2312"/>
          <w:b/>
          <w:sz w:val="24"/>
        </w:rPr>
      </w:pPr>
      <w:bookmarkStart w:id="166" w:name="_Toc6885"/>
      <w:bookmarkStart w:id="167" w:name="_Toc14001"/>
      <w:bookmarkStart w:id="168" w:name="_Toc19890"/>
      <w:r>
        <w:rPr>
          <w:rFonts w:hint="eastAsia" w:ascii="仿宋_GB2312" w:hAnsi="仿宋" w:eastAsia="仿宋_GB2312"/>
          <w:b/>
          <w:sz w:val="24"/>
        </w:rPr>
        <w:t>2.22合同份数</w:t>
      </w:r>
      <w:bookmarkEnd w:id="166"/>
      <w:bookmarkEnd w:id="167"/>
      <w:bookmarkEnd w:id="168"/>
    </w:p>
    <w:p>
      <w:pPr>
        <w:spacing w:line="560" w:lineRule="exact"/>
        <w:ind w:firstLine="480" w:firstLineChars="200"/>
        <w:rPr>
          <w:rFonts w:ascii="仿宋_GB2312" w:hAnsi="仿宋" w:eastAsia="仿宋_GB2312"/>
          <w:sz w:val="24"/>
        </w:rPr>
      </w:pPr>
      <w:r>
        <w:rPr>
          <w:rFonts w:hint="eastAsia" w:ascii="仿宋_GB2312" w:hAnsi="仿宋" w:eastAsia="仿宋_GB2312"/>
          <w:sz w:val="24"/>
        </w:rPr>
        <w:t>合同份数按</w:t>
      </w:r>
      <w:r>
        <w:rPr>
          <w:rFonts w:hint="eastAsia" w:ascii="仿宋_GB2312" w:hAnsi="仿宋" w:eastAsia="仿宋_GB2312"/>
          <w:b/>
          <w:i/>
          <w:sz w:val="24"/>
          <w:u w:val="single"/>
        </w:rPr>
        <w:t>合同专用条款</w:t>
      </w:r>
      <w:r>
        <w:rPr>
          <w:rFonts w:hint="eastAsia" w:ascii="仿宋_GB2312" w:hAnsi="仿宋" w:eastAsia="仿宋_GB2312"/>
          <w:sz w:val="24"/>
        </w:rPr>
        <w:t>规定，每份均具有同等法律效力。</w:t>
      </w:r>
    </w:p>
    <w:p>
      <w:pPr>
        <w:pStyle w:val="282"/>
        <w:spacing w:line="560" w:lineRule="exact"/>
        <w:jc w:val="center"/>
        <w:rPr>
          <w:rFonts w:ascii="仿宋_GB2312" w:hAnsi="仿宋" w:eastAsia="仿宋_GB2312"/>
          <w:b/>
          <w:szCs w:val="24"/>
        </w:rPr>
      </w:pPr>
      <w:r>
        <w:rPr>
          <w:rFonts w:hint="eastAsia" w:ascii="仿宋_GB2312" w:hAnsi="仿宋" w:eastAsia="仿宋_GB2312" w:cstheme="minorBidi"/>
          <w:kern w:val="0"/>
          <w:szCs w:val="24"/>
        </w:rPr>
        <w:br w:type="page"/>
      </w:r>
      <w:bookmarkStart w:id="169" w:name="_Toc331685784"/>
      <w:r>
        <w:rPr>
          <w:rFonts w:hint="eastAsia" w:ascii="仿宋_GB2312" w:hAnsi="仿宋" w:eastAsia="仿宋_GB2312"/>
          <w:b/>
          <w:szCs w:val="24"/>
        </w:rPr>
        <w:t xml:space="preserve"> </w:t>
      </w:r>
      <w:bookmarkEnd w:id="169"/>
      <w:r>
        <w:rPr>
          <w:rFonts w:hint="eastAsia" w:ascii="仿宋_GB2312" w:hAnsi="仿宋" w:eastAsia="仿宋_GB2312"/>
          <w:b/>
          <w:szCs w:val="24"/>
        </w:rPr>
        <w:t>第三部分  合同专用条款</w:t>
      </w:r>
    </w:p>
    <w:p>
      <w:pPr>
        <w:spacing w:line="560" w:lineRule="exact"/>
        <w:ind w:left="-420" w:leftChars="-200" w:right="-420" w:rightChars="-200" w:firstLine="480" w:firstLineChars="200"/>
        <w:rPr>
          <w:rFonts w:ascii="仿宋_GB2312" w:eastAsia="仿宋_GB2312"/>
        </w:rPr>
      </w:pPr>
      <w:r>
        <w:rPr>
          <w:rFonts w:hint="eastAsia" w:ascii="仿宋_GB2312" w:hAnsi="仿宋"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1.4.4</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1.5.1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1.5.2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1.5.3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1.6.7</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1.7.1</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1.7.2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2.3.2</w:t>
            </w:r>
          </w:p>
        </w:tc>
        <w:tc>
          <w:tcPr>
            <w:tcW w:w="8275" w:type="dxa"/>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2.4.1</w:t>
            </w:r>
          </w:p>
        </w:tc>
        <w:tc>
          <w:tcPr>
            <w:tcW w:w="8275" w:type="dxa"/>
            <w:vAlign w:val="center"/>
          </w:tcPr>
          <w:p>
            <w:pPr>
              <w:spacing w:line="360" w:lineRule="auto"/>
              <w:ind w:left="-420" w:leftChars="-200" w:right="-420" w:rightChars="-200" w:firstLine="480" w:firstLineChars="200"/>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2.4.2</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 xml:space="preserve">2.8 </w:t>
            </w:r>
          </w:p>
        </w:tc>
        <w:tc>
          <w:tcPr>
            <w:tcW w:w="8275" w:type="dxa"/>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2.12.3</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2.12.4</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2.16.1</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2.16.3</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_GB2312" w:hAnsi="仿宋" w:eastAsia="仿宋_GB2312"/>
                <w:sz w:val="24"/>
              </w:rPr>
            </w:pPr>
            <w:r>
              <w:rPr>
                <w:rFonts w:hint="eastAsia" w:ascii="仿宋_GB2312" w:hAnsi="仿宋" w:eastAsia="仿宋_GB2312"/>
                <w:sz w:val="24"/>
              </w:rPr>
              <w:t>2.20.1</w:t>
            </w:r>
          </w:p>
        </w:tc>
        <w:tc>
          <w:tcPr>
            <w:tcW w:w="8275" w:type="dxa"/>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_GB2312" w:hAnsi="仿宋" w:eastAsia="仿宋_GB2312"/>
                <w:sz w:val="24"/>
              </w:rPr>
            </w:pPr>
            <w:r>
              <w:rPr>
                <w:rFonts w:hint="eastAsia" w:ascii="仿宋_GB2312" w:hAnsi="仿宋" w:eastAsia="仿宋_GB2312"/>
                <w:sz w:val="24"/>
              </w:rPr>
              <w:t xml:space="preserve">2.20.2 </w:t>
            </w:r>
          </w:p>
        </w:tc>
        <w:tc>
          <w:tcPr>
            <w:tcW w:w="8275" w:type="dxa"/>
            <w:vAlign w:val="center"/>
          </w:tcPr>
          <w:p>
            <w:pPr>
              <w:spacing w:line="360" w:lineRule="auto"/>
              <w:rPr>
                <w:rFonts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_GB2312" w:hAnsi="仿宋" w:eastAsia="仿宋_GB2312"/>
                <w:sz w:val="24"/>
              </w:rPr>
            </w:pPr>
            <w:r>
              <w:rPr>
                <w:rFonts w:hint="eastAsia" w:ascii="仿宋_GB2312" w:hAnsi="仿宋" w:eastAsia="仿宋_GB2312"/>
                <w:sz w:val="24"/>
              </w:rPr>
              <w:t xml:space="preserve">2.22 </w:t>
            </w:r>
          </w:p>
        </w:tc>
        <w:tc>
          <w:tcPr>
            <w:tcW w:w="8275" w:type="dxa"/>
            <w:vAlign w:val="center"/>
          </w:tcPr>
          <w:p>
            <w:pPr>
              <w:spacing w:line="360" w:lineRule="auto"/>
              <w:rPr>
                <w:rFonts w:ascii="仿宋_GB2312" w:hAnsi="仿宋" w:eastAsia="仿宋_GB2312"/>
                <w:sz w:val="24"/>
              </w:rPr>
            </w:pPr>
          </w:p>
        </w:tc>
      </w:tr>
    </w:tbl>
    <w:p>
      <w:pPr>
        <w:spacing w:line="360" w:lineRule="auto"/>
        <w:ind w:left="-420" w:leftChars="-200" w:right="-420" w:rightChars="-200" w:firstLine="480" w:firstLineChars="200"/>
        <w:rPr>
          <w:rFonts w:ascii="仿宋_GB2312" w:hAnsi="仿宋" w:eastAsia="仿宋_GB2312"/>
          <w:sz w:val="24"/>
        </w:rPr>
      </w:pPr>
    </w:p>
    <w:p>
      <w:pPr>
        <w:spacing w:line="380" w:lineRule="exact"/>
        <w:ind w:firstLine="480" w:firstLineChars="200"/>
        <w:jc w:val="left"/>
        <w:rPr>
          <w:rFonts w:ascii="仿宋_GB2312" w:eastAsia="仿宋_GB2312"/>
          <w:sz w:val="24"/>
        </w:rPr>
      </w:pPr>
      <w:r>
        <w:rPr>
          <w:rFonts w:hint="eastAsia" w:ascii="仿宋_GB2312" w:hAnsi="宋体" w:eastAsia="仿宋_GB2312"/>
          <w:sz w:val="24"/>
        </w:rPr>
        <w:t>（注：在正式签约时，根据上述精神应拟就更为详尽的合同书）</w:t>
      </w:r>
    </w:p>
    <w:p>
      <w:pPr>
        <w:pStyle w:val="23"/>
        <w:spacing w:line="800" w:lineRule="exact"/>
        <w:ind w:firstLine="723"/>
        <w:jc w:val="center"/>
        <w:rPr>
          <w:rFonts w:ascii="仿宋_GB2312" w:hAnsi="宋体" w:eastAsia="仿宋_GB2312"/>
          <w:b/>
          <w:sz w:val="36"/>
          <w:szCs w:val="36"/>
        </w:rPr>
      </w:pPr>
    </w:p>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w:t>
      </w:r>
      <w:r>
        <w:rPr>
          <w:rFonts w:hint="eastAsia" w:ascii="仿宋" w:hAnsi="仿宋" w:eastAsia="仿宋" w:cs="仿宋"/>
          <w:b/>
          <w:bCs/>
          <w:color w:val="000000" w:themeColor="text1"/>
          <w:sz w:val="24"/>
          <w:highlight w:val="none"/>
        </w:rPr>
        <w:t>按</w:t>
      </w:r>
      <w:r>
        <w:rPr>
          <w:rFonts w:hint="eastAsia" w:ascii="仿宋" w:hAnsi="仿宋" w:eastAsia="仿宋" w:cs="仿宋"/>
          <w:b/>
          <w:bCs/>
          <w:color w:val="000000" w:themeColor="text1"/>
          <w:sz w:val="24"/>
          <w:highlight w:val="none"/>
          <w:lang w:val="en-US" w:eastAsia="zh-CN"/>
        </w:rPr>
        <w:t>兑换</w:t>
      </w:r>
      <w:r>
        <w:rPr>
          <w:rFonts w:hint="eastAsia" w:ascii="仿宋" w:hAnsi="仿宋" w:eastAsia="仿宋" w:cs="仿宋"/>
          <w:b/>
          <w:bCs/>
          <w:color w:val="000000" w:themeColor="text1"/>
          <w:sz w:val="24"/>
          <w:highlight w:val="none"/>
        </w:rPr>
        <w:t>券面值报价高者中标</w:t>
      </w:r>
      <w:r>
        <w:rPr>
          <w:rFonts w:hint="eastAsia" w:ascii="仿宋_GB2312" w:hAnsi="宋体" w:eastAsia="仿宋_GB2312"/>
          <w:sz w:val="24"/>
        </w:rPr>
        <w:t>。得分且投标报价相同的并列。投标文件满足招标文件全部实质性要求，且按照评审因素的量化指标评审得分最高的投标人为中标候选人。中标候选人并列的，采用随机抽取的方式确定。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w:t>
      </w:r>
      <w:r>
        <w:rPr>
          <w:rFonts w:hint="eastAsia" w:ascii="仿宋_GB2312" w:hAnsi="宋体" w:eastAsia="仿宋_GB2312"/>
          <w:sz w:val="24"/>
          <w:lang w:val="en-US" w:eastAsia="zh-CN"/>
        </w:rPr>
        <w:t>7</w:t>
      </w:r>
      <w:r>
        <w:rPr>
          <w:rFonts w:hint="eastAsia" w:ascii="仿宋_GB2312" w:hAnsi="宋体" w:eastAsia="仿宋_GB2312"/>
          <w:sz w:val="24"/>
        </w:rPr>
        <w:t>0分，价格分</w:t>
      </w:r>
      <w:r>
        <w:rPr>
          <w:rFonts w:hint="eastAsia" w:ascii="仿宋_GB2312" w:hAnsi="宋体" w:eastAsia="仿宋_GB2312"/>
          <w:sz w:val="24"/>
          <w:lang w:val="en-US" w:eastAsia="zh-CN"/>
        </w:rPr>
        <w:t>3</w:t>
      </w:r>
      <w:r>
        <w:rPr>
          <w:rFonts w:hint="eastAsia" w:ascii="仿宋_GB2312" w:hAnsi="宋体" w:eastAsia="仿宋_GB2312"/>
          <w:sz w:val="24"/>
        </w:rPr>
        <w:t>0分。评分依下述所列为评标打分依据，分值如下（计算分值时，按其算术平均值保留小数2位）。</w:t>
      </w:r>
    </w:p>
    <w:p>
      <w:pPr>
        <w:spacing w:line="440" w:lineRule="exact"/>
        <w:rPr>
          <w:rFonts w:hint="eastAsia" w:ascii="仿宋_GB2312" w:hAnsi="宋体" w:eastAsia="仿宋_GB2312"/>
          <w:b/>
          <w:bCs/>
          <w:iCs/>
          <w:sz w:val="24"/>
        </w:rPr>
      </w:pPr>
      <w:r>
        <w:rPr>
          <w:rFonts w:hint="eastAsia" w:ascii="仿宋_GB2312" w:hAnsi="宋体" w:eastAsia="仿宋_GB2312"/>
          <w:b/>
          <w:bCs/>
          <w:iCs/>
          <w:sz w:val="24"/>
        </w:rPr>
        <w:t>2.1商务技术分（</w:t>
      </w:r>
      <w:r>
        <w:rPr>
          <w:rFonts w:hint="eastAsia" w:ascii="仿宋_GB2312" w:hAnsi="宋体" w:eastAsia="仿宋_GB2312"/>
          <w:b/>
          <w:bCs/>
          <w:iCs/>
          <w:sz w:val="24"/>
          <w:lang w:val="en-US" w:eastAsia="zh-CN"/>
        </w:rPr>
        <w:t>7</w:t>
      </w:r>
      <w:r>
        <w:rPr>
          <w:rFonts w:hint="eastAsia" w:ascii="仿宋_GB2312" w:hAnsi="宋体" w:eastAsia="仿宋_GB2312"/>
          <w:b/>
          <w:bCs/>
          <w:iCs/>
          <w:sz w:val="24"/>
        </w:rPr>
        <w:t>0分）</w:t>
      </w:r>
    </w:p>
    <w:tbl>
      <w:tblPr>
        <w:tblStyle w:val="4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8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评分项目</w:t>
            </w:r>
          </w:p>
        </w:tc>
        <w:tc>
          <w:tcPr>
            <w:tcW w:w="74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1843" w:type="dxa"/>
            <w:vMerge w:val="restart"/>
            <w:vAlign w:val="center"/>
          </w:tcPr>
          <w:p>
            <w:pPr>
              <w:spacing w:line="340" w:lineRule="exact"/>
              <w:jc w:val="center"/>
              <w:rPr>
                <w:rFonts w:ascii="仿宋" w:hAnsi="仿宋" w:eastAsia="仿宋" w:cs="仿宋"/>
                <w:bCs/>
                <w:sz w:val="24"/>
                <w:highlight w:val="none"/>
              </w:rPr>
            </w:pPr>
            <w:r>
              <w:rPr>
                <w:rFonts w:hint="eastAsia" w:ascii="仿宋" w:hAnsi="仿宋" w:eastAsia="仿宋" w:cs="仿宋"/>
                <w:bCs/>
                <w:sz w:val="24"/>
                <w:highlight w:val="none"/>
              </w:rPr>
              <w:t>综合实力</w:t>
            </w:r>
          </w:p>
          <w:p>
            <w:pPr>
              <w:spacing w:line="340" w:lineRule="exact"/>
              <w:jc w:val="center"/>
              <w:rPr>
                <w:rFonts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70</w:t>
            </w:r>
            <w:r>
              <w:rPr>
                <w:rFonts w:hint="eastAsia" w:ascii="仿宋" w:hAnsi="仿宋" w:eastAsia="仿宋" w:cs="仿宋"/>
                <w:bCs/>
                <w:sz w:val="24"/>
                <w:highlight w:val="none"/>
              </w:rPr>
              <w:t>分）</w:t>
            </w:r>
          </w:p>
        </w:tc>
        <w:tc>
          <w:tcPr>
            <w:tcW w:w="7492" w:type="dxa"/>
            <w:vAlign w:val="center"/>
          </w:tcPr>
          <w:p>
            <w:pPr>
              <w:spacing w:line="340" w:lineRule="exact"/>
              <w:rPr>
                <w:rFonts w:ascii="仿宋" w:hAnsi="仿宋" w:eastAsia="仿宋" w:cs="仿宋"/>
                <w:bCs/>
                <w:sz w:val="24"/>
                <w:highlight w:val="none"/>
              </w:rPr>
            </w:pPr>
            <w:r>
              <w:rPr>
                <w:rFonts w:hint="eastAsia" w:ascii="仿宋" w:hAnsi="仿宋" w:eastAsia="仿宋" w:cs="仿宋"/>
                <w:bCs/>
                <w:sz w:val="24"/>
                <w:highlight w:val="none"/>
              </w:rPr>
              <w:t>根据投标单位在绍兴市越城区范围内实体经营门店多少情况（场地自有的提供产权证明，租赁的提供出租方产权证明及租赁合同），由评委横向比较打分。最多的为第一名得</w:t>
            </w:r>
            <w:r>
              <w:rPr>
                <w:rFonts w:ascii="仿宋" w:hAnsi="仿宋" w:eastAsia="仿宋" w:cs="仿宋"/>
                <w:bCs/>
                <w:sz w:val="24"/>
                <w:highlight w:val="none"/>
              </w:rPr>
              <w:t>6</w:t>
            </w:r>
            <w:r>
              <w:rPr>
                <w:rFonts w:hint="eastAsia" w:ascii="仿宋" w:hAnsi="仿宋" w:eastAsia="仿宋" w:cs="仿宋"/>
                <w:bCs/>
                <w:sz w:val="24"/>
                <w:highlight w:val="none"/>
              </w:rPr>
              <w:t>分，每退一名减</w:t>
            </w:r>
            <w:r>
              <w:rPr>
                <w:rFonts w:ascii="仿宋" w:hAnsi="仿宋" w:eastAsia="仿宋" w:cs="仿宋"/>
                <w:bCs/>
                <w:sz w:val="24"/>
                <w:highlight w:val="none"/>
              </w:rPr>
              <w:t>2</w:t>
            </w:r>
            <w:r>
              <w:rPr>
                <w:rFonts w:hint="eastAsia" w:ascii="仿宋" w:hAnsi="仿宋" w:eastAsia="仿宋" w:cs="仿宋"/>
                <w:bCs/>
                <w:sz w:val="24"/>
                <w:highlight w:val="none"/>
              </w:rPr>
              <w:t>分，以此类推，减完为止。以上材料标书中提供复印件加盖投标人公章，开标时原件核查，不能提供的不得分。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根据投标单位提供的原材料进货货源种类、数量、品牌等优劣情况（提供进货合同或进货发票复印件加盖单位公章），由评委</w:t>
            </w:r>
            <w:r>
              <w:rPr>
                <w:rFonts w:hint="eastAsia" w:ascii="仿宋" w:hAnsi="仿宋" w:eastAsia="仿宋" w:cs="仿宋"/>
                <w:bCs/>
                <w:sz w:val="24"/>
                <w:lang w:val="en-US" w:eastAsia="zh-CN"/>
              </w:rPr>
              <w:t>综合</w:t>
            </w:r>
            <w:r>
              <w:rPr>
                <w:rFonts w:hint="eastAsia" w:ascii="仿宋" w:hAnsi="仿宋" w:eastAsia="仿宋" w:cs="仿宋"/>
                <w:bCs/>
                <w:sz w:val="24"/>
              </w:rPr>
              <w:t>打分。优秀得15.0-10.</w:t>
            </w:r>
            <w:r>
              <w:rPr>
                <w:rFonts w:ascii="仿宋" w:hAnsi="仿宋" w:eastAsia="仿宋" w:cs="仿宋"/>
                <w:bCs/>
                <w:sz w:val="24"/>
              </w:rPr>
              <w:t>1</w:t>
            </w:r>
            <w:r>
              <w:rPr>
                <w:rFonts w:hint="eastAsia" w:ascii="仿宋" w:hAnsi="仿宋" w:eastAsia="仿宋" w:cs="仿宋"/>
                <w:bCs/>
                <w:sz w:val="24"/>
              </w:rPr>
              <w:t>分，良好得</w:t>
            </w:r>
            <w:r>
              <w:rPr>
                <w:rFonts w:ascii="仿宋" w:hAnsi="仿宋" w:eastAsia="仿宋" w:cs="仿宋"/>
                <w:bCs/>
                <w:sz w:val="24"/>
              </w:rPr>
              <w:t>10</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-5.</w:t>
            </w:r>
            <w:r>
              <w:rPr>
                <w:rFonts w:ascii="仿宋" w:hAnsi="仿宋" w:eastAsia="仿宋" w:cs="仿宋"/>
                <w:bCs/>
                <w:sz w:val="24"/>
              </w:rPr>
              <w:t>1</w:t>
            </w:r>
            <w:r>
              <w:rPr>
                <w:rFonts w:hint="eastAsia" w:ascii="仿宋" w:hAnsi="仿宋" w:eastAsia="仿宋" w:cs="仿宋"/>
                <w:bCs/>
                <w:sz w:val="24"/>
              </w:rPr>
              <w:t>分，一般得</w:t>
            </w:r>
            <w:r>
              <w:rPr>
                <w:rFonts w:ascii="仿宋" w:hAnsi="仿宋" w:eastAsia="仿宋" w:cs="仿宋"/>
                <w:bCs/>
                <w:sz w:val="24"/>
              </w:rPr>
              <w:t>5</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经营至今食品安全事故发生情况，总分5</w:t>
            </w:r>
            <w:r>
              <w:rPr>
                <w:rFonts w:hint="eastAsia" w:ascii="仿宋" w:hAnsi="仿宋" w:eastAsia="仿宋" w:cs="仿宋"/>
                <w:bCs/>
                <w:color w:val="auto"/>
                <w:sz w:val="24"/>
              </w:rPr>
              <w:t>分。无</w:t>
            </w:r>
            <w:r>
              <w:rPr>
                <w:rFonts w:ascii="仿宋" w:hAnsi="仿宋" w:eastAsia="仿宋" w:cs="仿宋"/>
                <w:bCs/>
                <w:color w:val="auto"/>
                <w:sz w:val="24"/>
              </w:rPr>
              <w:t>食品</w:t>
            </w:r>
            <w:r>
              <w:rPr>
                <w:rFonts w:hint="eastAsia" w:ascii="仿宋" w:hAnsi="仿宋" w:eastAsia="仿宋" w:cs="仿宋"/>
                <w:bCs/>
                <w:color w:val="auto"/>
                <w:sz w:val="24"/>
              </w:rPr>
              <w:t>安全事故，得5分，否则不得分。</w:t>
            </w:r>
            <w:r>
              <w:rPr>
                <w:rFonts w:hint="eastAsia" w:ascii="仿宋" w:hAnsi="仿宋" w:eastAsia="仿宋" w:cs="仿宋"/>
                <w:b/>
                <w:sz w:val="24"/>
              </w:rPr>
              <w:t>（提供食品主管部门证明原件及复印件并加盖投标单位盖公章，不提供的不得分）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提供市场监督管理局颁发的餐饮服务食品安全等级公示，A级得10分，B级得7分，C级得3分,复印件加盖公章，不提供的不得分。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根据投标单位经营的商品品种、品类等优劣情况（提供所有经营商品现时优惠价格清单及彩图），由评</w:t>
            </w:r>
            <w:r>
              <w:rPr>
                <w:rFonts w:hint="eastAsia" w:ascii="仿宋" w:hAnsi="仿宋" w:eastAsia="仿宋" w:cs="仿宋"/>
                <w:bCs/>
                <w:color w:val="auto"/>
                <w:sz w:val="24"/>
              </w:rPr>
              <w:t>委综合</w:t>
            </w:r>
            <w:r>
              <w:rPr>
                <w:rFonts w:hint="eastAsia" w:ascii="仿宋" w:hAnsi="仿宋" w:eastAsia="仿宋" w:cs="仿宋"/>
                <w:bCs/>
                <w:sz w:val="24"/>
              </w:rPr>
              <w:t>打分。优秀得10.0-7.1分，良好得7.0-5.</w:t>
            </w:r>
            <w:r>
              <w:rPr>
                <w:rFonts w:ascii="仿宋" w:hAnsi="仿宋" w:eastAsia="仿宋" w:cs="仿宋"/>
                <w:bCs/>
                <w:sz w:val="24"/>
              </w:rPr>
              <w:t>1</w:t>
            </w:r>
            <w:r>
              <w:rPr>
                <w:rFonts w:hint="eastAsia" w:ascii="仿宋" w:hAnsi="仿宋" w:eastAsia="仿宋" w:cs="仿宋"/>
                <w:bCs/>
                <w:sz w:val="24"/>
              </w:rPr>
              <w:t>分，一般得</w:t>
            </w:r>
            <w:r>
              <w:rPr>
                <w:rFonts w:ascii="仿宋" w:hAnsi="仿宋" w:eastAsia="仿宋" w:cs="仿宋"/>
                <w:bCs/>
                <w:sz w:val="24"/>
              </w:rPr>
              <w:t>5</w:t>
            </w:r>
            <w:r>
              <w:rPr>
                <w:rFonts w:hint="eastAsia" w:ascii="仿宋" w:hAnsi="仿宋" w:eastAsia="仿宋" w:cs="仿宋"/>
                <w:bCs/>
                <w:sz w:val="24"/>
              </w:rPr>
              <w:t>.</w:t>
            </w:r>
            <w:r>
              <w:rPr>
                <w:rFonts w:ascii="仿宋" w:hAnsi="仿宋" w:eastAsia="仿宋" w:cs="仿宋"/>
                <w:bCs/>
                <w:sz w:val="24"/>
              </w:rPr>
              <w:t>0</w:t>
            </w:r>
            <w:r>
              <w:rPr>
                <w:rFonts w:hint="eastAsia" w:ascii="仿宋" w:hAnsi="仿宋" w:eastAsia="仿宋" w:cs="仿宋"/>
                <w:bCs/>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w:t>
            </w:r>
            <w:r>
              <w:rPr>
                <w:rFonts w:hint="eastAsia" w:ascii="仿宋" w:hAnsi="仿宋" w:eastAsia="仿宋" w:cs="仿宋"/>
                <w:bCs/>
                <w:color w:val="auto"/>
                <w:sz w:val="24"/>
                <w:highlight w:val="none"/>
              </w:rPr>
              <w:t>据投标单位提供的样品（6寸生日蛋糕），评委进行现场品尝，由评委综合打分。优秀得1</w:t>
            </w:r>
            <w:r>
              <w:rPr>
                <w:rFonts w:ascii="仿宋" w:hAnsi="仿宋" w:eastAsia="仿宋" w:cs="仿宋"/>
                <w:bCs/>
                <w:color w:val="auto"/>
                <w:sz w:val="24"/>
                <w:highlight w:val="none"/>
              </w:rPr>
              <w:t>2</w:t>
            </w:r>
            <w:r>
              <w:rPr>
                <w:rFonts w:hint="eastAsia" w:ascii="仿宋" w:hAnsi="仿宋" w:eastAsia="仿宋" w:cs="仿宋"/>
                <w:bCs/>
                <w:color w:val="auto"/>
                <w:sz w:val="24"/>
                <w:highlight w:val="none"/>
              </w:rPr>
              <w:t>.0-</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.1分，良好得</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.0-</w:t>
            </w:r>
            <w:r>
              <w:rPr>
                <w:rFonts w:ascii="仿宋" w:hAnsi="仿宋" w:eastAsia="仿宋" w:cs="仿宋"/>
                <w:bCs/>
                <w:color w:val="auto"/>
                <w:sz w:val="24"/>
                <w:highlight w:val="none"/>
              </w:rPr>
              <w:t>4</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1</w:t>
            </w:r>
            <w:r>
              <w:rPr>
                <w:rFonts w:hint="eastAsia" w:ascii="仿宋" w:hAnsi="仿宋" w:eastAsia="仿宋" w:cs="仿宋"/>
                <w:bCs/>
                <w:color w:val="auto"/>
                <w:sz w:val="24"/>
                <w:highlight w:val="none"/>
              </w:rPr>
              <w:t>分，一般得</w:t>
            </w:r>
            <w:r>
              <w:rPr>
                <w:rFonts w:ascii="仿宋" w:hAnsi="仿宋" w:eastAsia="仿宋" w:cs="仿宋"/>
                <w:bCs/>
                <w:color w:val="auto"/>
                <w:sz w:val="24"/>
                <w:highlight w:val="none"/>
              </w:rPr>
              <w:t>4</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0</w:t>
            </w:r>
            <w:r>
              <w:rPr>
                <w:rFonts w:hint="eastAsia" w:ascii="仿宋" w:hAnsi="仿宋" w:eastAsia="仿宋" w:cs="仿宋"/>
                <w:bCs/>
                <w:color w:val="auto"/>
                <w:sz w:val="24"/>
                <w:highlight w:val="none"/>
              </w:rPr>
              <w:t>-0.1</w:t>
            </w:r>
            <w:r>
              <w:rPr>
                <w:rFonts w:hint="eastAsia" w:ascii="仿宋" w:hAnsi="仿宋" w:eastAsia="仿宋" w:cs="仿宋"/>
                <w:bCs/>
                <w:sz w:val="24"/>
              </w:rPr>
              <w:t>分，不提供样品得0分。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843" w:type="dxa"/>
            <w:vMerge w:val="restart"/>
            <w:vAlign w:val="center"/>
          </w:tcPr>
          <w:p>
            <w:pPr>
              <w:spacing w:line="340" w:lineRule="exact"/>
              <w:jc w:val="center"/>
              <w:rPr>
                <w:rFonts w:ascii="仿宋" w:hAnsi="仿宋" w:eastAsia="仿宋" w:cs="仿宋"/>
                <w:bCs/>
                <w:sz w:val="24"/>
              </w:rPr>
            </w:pPr>
            <w:r>
              <w:rPr>
                <w:rFonts w:hint="eastAsia" w:ascii="仿宋" w:hAnsi="仿宋" w:eastAsia="仿宋" w:cs="仿宋"/>
                <w:bCs/>
                <w:sz w:val="24"/>
              </w:rPr>
              <w:t>售后服务</w:t>
            </w:r>
          </w:p>
          <w:p>
            <w:pPr>
              <w:spacing w:line="340" w:lineRule="exact"/>
              <w:jc w:val="center"/>
              <w:rPr>
                <w:rFonts w:ascii="仿宋" w:hAnsi="仿宋" w:eastAsia="仿宋" w:cs="仿宋"/>
                <w:bCs/>
                <w:sz w:val="24"/>
              </w:rPr>
            </w:pPr>
            <w:r>
              <w:rPr>
                <w:rFonts w:hint="eastAsia" w:ascii="仿宋" w:hAnsi="仿宋" w:eastAsia="仿宋" w:cs="仿宋"/>
                <w:bCs/>
                <w:sz w:val="24"/>
              </w:rPr>
              <w:t>（10分）</w:t>
            </w: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根据投标单位提供的服务承诺情况（如网上预订、免费配送、个性服务、一次消费满多少送小礼品等），由评</w:t>
            </w:r>
            <w:r>
              <w:rPr>
                <w:rFonts w:hint="eastAsia" w:ascii="仿宋" w:hAnsi="仿宋" w:eastAsia="仿宋" w:cs="仿宋"/>
                <w:bCs/>
                <w:color w:val="auto"/>
                <w:sz w:val="24"/>
              </w:rPr>
              <w:t>委综合打</w:t>
            </w:r>
            <w:r>
              <w:rPr>
                <w:rFonts w:hint="eastAsia" w:ascii="仿宋" w:hAnsi="仿宋" w:eastAsia="仿宋" w:cs="仿宋"/>
                <w:bCs/>
                <w:sz w:val="24"/>
              </w:rPr>
              <w:t>分。优秀得7.0-4.1分，良好得4.0-2.1分，一般得2.0-0.0分。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843" w:type="dxa"/>
            <w:vMerge w:val="continue"/>
            <w:vAlign w:val="center"/>
          </w:tcPr>
          <w:p>
            <w:pPr>
              <w:spacing w:line="340" w:lineRule="exact"/>
              <w:jc w:val="center"/>
              <w:rPr>
                <w:rFonts w:ascii="仿宋" w:hAnsi="仿宋" w:eastAsia="仿宋" w:cs="仿宋"/>
                <w:bCs/>
                <w:sz w:val="24"/>
              </w:rPr>
            </w:pPr>
          </w:p>
        </w:tc>
        <w:tc>
          <w:tcPr>
            <w:tcW w:w="7492" w:type="dxa"/>
            <w:vAlign w:val="center"/>
          </w:tcPr>
          <w:p>
            <w:pPr>
              <w:spacing w:line="340" w:lineRule="exact"/>
              <w:rPr>
                <w:rFonts w:ascii="仿宋" w:hAnsi="仿宋" w:eastAsia="仿宋" w:cs="仿宋"/>
                <w:bCs/>
                <w:sz w:val="24"/>
              </w:rPr>
            </w:pPr>
            <w:r>
              <w:rPr>
                <w:rFonts w:hint="eastAsia" w:ascii="仿宋" w:hAnsi="仿宋" w:eastAsia="仿宋" w:cs="仿宋"/>
                <w:bCs/>
                <w:sz w:val="24"/>
              </w:rPr>
              <w:t>投标单位承诺提供的生日蛋糕能用电子消费卡（每人1卡）的形式提供的得3分。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843" w:type="dxa"/>
            <w:vAlign w:val="center"/>
          </w:tcPr>
          <w:p>
            <w:pPr>
              <w:spacing w:line="360" w:lineRule="auto"/>
              <w:jc w:val="center"/>
              <w:rPr>
                <w:rFonts w:ascii="仿宋_GB2312" w:hAnsi="宋体" w:eastAsia="仿宋_GB2312"/>
                <w:sz w:val="24"/>
                <w:highlight w:val="none"/>
              </w:rPr>
            </w:pPr>
            <w:r>
              <w:rPr>
                <w:rFonts w:hint="eastAsia" w:ascii="仿宋_GB2312" w:hAnsi="宋体" w:eastAsia="仿宋_GB2312"/>
                <w:sz w:val="24"/>
                <w:highlight w:val="none"/>
              </w:rPr>
              <w:t>标书质量</w:t>
            </w:r>
          </w:p>
          <w:p>
            <w:pPr>
              <w:spacing w:line="340" w:lineRule="exact"/>
              <w:jc w:val="center"/>
              <w:rPr>
                <w:rFonts w:ascii="仿宋" w:hAnsi="仿宋" w:eastAsia="仿宋" w:cs="仿宋"/>
                <w:bCs/>
                <w:sz w:val="24"/>
                <w:highlight w:val="none"/>
              </w:rPr>
            </w:pPr>
            <w:r>
              <w:rPr>
                <w:rFonts w:hint="eastAsia" w:ascii="仿宋_GB2312" w:hAnsi="宋体" w:eastAsia="仿宋_GB2312"/>
                <w:sz w:val="24"/>
                <w:highlight w:val="none"/>
              </w:rPr>
              <w:t>（2分）</w:t>
            </w:r>
          </w:p>
        </w:tc>
        <w:tc>
          <w:tcPr>
            <w:tcW w:w="7492" w:type="dxa"/>
            <w:vAlign w:val="center"/>
          </w:tcPr>
          <w:p>
            <w:pPr>
              <w:spacing w:line="340" w:lineRule="exact"/>
              <w:rPr>
                <w:rFonts w:ascii="仿宋" w:hAnsi="仿宋" w:eastAsia="仿宋" w:cs="仿宋"/>
                <w:bCs/>
                <w:sz w:val="24"/>
                <w:highlight w:val="none"/>
              </w:rPr>
            </w:pPr>
            <w:r>
              <w:rPr>
                <w:rFonts w:hint="eastAsia" w:ascii="仿宋_GB2312" w:hAnsi="宋体" w:eastAsia="仿宋_GB2312"/>
                <w:sz w:val="24"/>
                <w:highlight w:val="none"/>
              </w:rPr>
              <w:t>评委对投标文件的质量进行综合评议，如投标文件内容编排顺序、格式是否符合招标文件要求，条理是否清晰，有无缺页、漏项等情况酌情打分。表述十分全面的得</w:t>
            </w:r>
            <w:r>
              <w:rPr>
                <w:rFonts w:ascii="仿宋_GB2312" w:hAnsi="宋体" w:eastAsia="仿宋_GB2312"/>
                <w:sz w:val="24"/>
                <w:highlight w:val="none"/>
              </w:rPr>
              <w:t>2.0</w:t>
            </w:r>
            <w:r>
              <w:rPr>
                <w:rFonts w:hint="eastAsia" w:ascii="仿宋_GB2312" w:hAnsi="宋体" w:eastAsia="仿宋_GB2312"/>
                <w:sz w:val="24"/>
                <w:highlight w:val="none"/>
              </w:rPr>
              <w:t>-</w:t>
            </w:r>
            <w:r>
              <w:rPr>
                <w:rFonts w:ascii="仿宋_GB2312" w:hAnsi="宋体" w:eastAsia="仿宋_GB2312"/>
                <w:sz w:val="24"/>
                <w:highlight w:val="none"/>
              </w:rPr>
              <w:t>1.1</w:t>
            </w:r>
            <w:r>
              <w:rPr>
                <w:rFonts w:hint="eastAsia" w:ascii="仿宋_GB2312" w:hAnsi="宋体" w:eastAsia="仿宋_GB2312"/>
                <w:sz w:val="24"/>
                <w:highlight w:val="none"/>
              </w:rPr>
              <w:t>分，表述一般的得</w:t>
            </w:r>
            <w:r>
              <w:rPr>
                <w:rFonts w:ascii="仿宋_GB2312" w:hAnsi="宋体" w:eastAsia="仿宋_GB2312"/>
                <w:sz w:val="24"/>
                <w:highlight w:val="none"/>
              </w:rPr>
              <w:t>1.0</w:t>
            </w:r>
            <w:r>
              <w:rPr>
                <w:rFonts w:hint="eastAsia" w:ascii="仿宋_GB2312" w:hAnsi="宋体" w:eastAsia="仿宋_GB2312"/>
                <w:sz w:val="24"/>
                <w:highlight w:val="none"/>
              </w:rPr>
              <w:t>-</w:t>
            </w:r>
            <w:r>
              <w:rPr>
                <w:rFonts w:ascii="仿宋_GB2312" w:hAnsi="宋体" w:eastAsia="仿宋_GB2312"/>
                <w:sz w:val="24"/>
                <w:highlight w:val="none"/>
              </w:rPr>
              <w:t>0.1</w:t>
            </w:r>
            <w:r>
              <w:rPr>
                <w:rFonts w:hint="eastAsia" w:ascii="仿宋_GB2312" w:hAnsi="宋体" w:eastAsia="仿宋_GB2312"/>
                <w:sz w:val="24"/>
                <w:highlight w:val="none"/>
              </w:rPr>
              <w:t>分,差不得分。</w:t>
            </w:r>
          </w:p>
        </w:tc>
      </w:tr>
    </w:tbl>
    <w:p>
      <w:pPr>
        <w:spacing w:line="440" w:lineRule="exact"/>
        <w:rPr>
          <w:rFonts w:hint="eastAsia" w:ascii="仿宋_GB2312" w:hAnsi="宋体" w:eastAsia="仿宋_GB2312" w:cs="Times New Roman"/>
          <w:b/>
          <w:bCs/>
          <w:iCs/>
          <w:sz w:val="24"/>
        </w:rPr>
      </w:pPr>
      <w:r>
        <w:rPr>
          <w:rFonts w:hint="eastAsia" w:ascii="仿宋_GB2312" w:hAnsi="宋体" w:eastAsia="仿宋_GB2312" w:cs="Times New Roman"/>
          <w:b/>
          <w:bCs/>
          <w:iCs/>
          <w:sz w:val="24"/>
        </w:rPr>
        <w:t>2.2价格分（</w:t>
      </w:r>
      <w:r>
        <w:rPr>
          <w:rFonts w:hint="eastAsia" w:ascii="仿宋_GB2312" w:hAnsi="宋体" w:eastAsia="仿宋_GB2312" w:cs="Times New Roman"/>
          <w:b/>
          <w:bCs/>
          <w:iCs/>
          <w:sz w:val="24"/>
          <w:lang w:val="en-US" w:eastAsia="zh-CN"/>
        </w:rPr>
        <w:t>3</w:t>
      </w:r>
      <w:r>
        <w:rPr>
          <w:rFonts w:hint="eastAsia" w:ascii="仿宋_GB2312" w:hAnsi="宋体" w:eastAsia="仿宋_GB2312" w:cs="Times New Roman"/>
          <w:b/>
          <w:bCs/>
          <w:iCs/>
          <w:sz w:val="24"/>
        </w:rPr>
        <w:t>0分）</w:t>
      </w:r>
    </w:p>
    <w:p>
      <w:pPr>
        <w:spacing w:line="440" w:lineRule="exact"/>
        <w:rPr>
          <w:rFonts w:ascii="仿宋_GB2312" w:hAnsi="宋体" w:eastAsia="仿宋_GB2312"/>
          <w:iCs/>
          <w:sz w:val="24"/>
        </w:rPr>
      </w:pPr>
      <w:r>
        <w:rPr>
          <w:rFonts w:hint="eastAsia" w:ascii="仿宋_GB2312" w:hAnsi="宋体" w:eastAsia="仿宋_GB2312"/>
          <w:iCs/>
          <w:sz w:val="24"/>
        </w:rPr>
        <w:t>2.2.1投标单位报价按劵面值报上浮率，上浮率等于0的，价格得分为0分。</w:t>
      </w:r>
    </w:p>
    <w:p>
      <w:pPr>
        <w:spacing w:line="440" w:lineRule="exact"/>
        <w:rPr>
          <w:rFonts w:ascii="仿宋_GB2312" w:hAnsi="宋体" w:eastAsia="仿宋_GB2312"/>
          <w:iCs/>
          <w:color w:val="auto"/>
          <w:sz w:val="24"/>
        </w:rPr>
      </w:pPr>
      <w:r>
        <w:rPr>
          <w:rFonts w:hint="eastAsia" w:ascii="仿宋_GB2312" w:hAnsi="宋体" w:eastAsia="仿宋_GB2312"/>
          <w:iCs/>
          <w:sz w:val="24"/>
        </w:rPr>
        <w:t>2.2.2评标基准价：即满足招标文件要求且投标上浮率最高的投</w:t>
      </w:r>
      <w:r>
        <w:rPr>
          <w:rFonts w:hint="eastAsia" w:ascii="仿宋_GB2312" w:hAnsi="宋体" w:eastAsia="仿宋_GB2312"/>
          <w:iCs/>
          <w:color w:val="auto"/>
          <w:sz w:val="24"/>
        </w:rPr>
        <w:t>标报价（=</w:t>
      </w:r>
      <w:r>
        <w:rPr>
          <w:rFonts w:hint="eastAsia" w:ascii="仿宋_GB2312" w:hAnsi="宋体" w:eastAsia="仿宋_GB2312"/>
          <w:iCs/>
          <w:color w:val="auto"/>
          <w:sz w:val="24"/>
          <w:lang w:val="en-US" w:eastAsia="zh-CN"/>
        </w:rPr>
        <w:t>300</w:t>
      </w:r>
      <w:r>
        <w:rPr>
          <w:rFonts w:hint="eastAsia" w:ascii="仿宋_GB2312" w:hAnsi="宋体" w:eastAsia="仿宋_GB2312"/>
          <w:iCs/>
          <w:color w:val="auto"/>
          <w:sz w:val="24"/>
          <w:u w:val="none"/>
        </w:rPr>
        <w:t>*</w:t>
      </w:r>
      <w:r>
        <w:rPr>
          <w:rFonts w:hint="eastAsia" w:ascii="仿宋_GB2312" w:hAnsi="宋体" w:eastAsia="仿宋_GB2312"/>
          <w:iCs/>
          <w:color w:val="auto"/>
          <w:sz w:val="24"/>
        </w:rPr>
        <w:t>（1+上浮率））为评标基准价，其价格分为满分。</w:t>
      </w:r>
    </w:p>
    <w:p>
      <w:pPr>
        <w:spacing w:line="440" w:lineRule="exact"/>
        <w:rPr>
          <w:rFonts w:ascii="仿宋_GB2312" w:hAnsi="宋体" w:eastAsia="仿宋_GB2312"/>
          <w:iCs/>
          <w:color w:val="auto"/>
          <w:sz w:val="24"/>
        </w:rPr>
      </w:pPr>
      <w:r>
        <w:rPr>
          <w:rFonts w:hint="eastAsia" w:ascii="仿宋_GB2312" w:hAnsi="宋体" w:eastAsia="仿宋_GB2312"/>
          <w:iCs/>
          <w:color w:val="auto"/>
          <w:sz w:val="24"/>
        </w:rPr>
        <w:t>2.2.3其他投标人的价格分统一按照下列公式计算：投标报价得分=(投标报价／评标基准价)×价格权值，即：投标报价得分=(投标报价／评标基准价)×30</w:t>
      </w:r>
    </w:p>
    <w:p>
      <w:pPr>
        <w:spacing w:line="440" w:lineRule="exact"/>
        <w:rPr>
          <w:rFonts w:ascii="仿宋_GB2312" w:hAnsi="宋体" w:eastAsia="仿宋_GB2312"/>
          <w:iCs/>
          <w:sz w:val="24"/>
        </w:rPr>
      </w:pPr>
      <w:r>
        <w:rPr>
          <w:rFonts w:hint="eastAsia" w:ascii="仿宋_GB2312" w:hAnsi="宋体" w:eastAsia="仿宋_GB2312"/>
          <w:iCs/>
          <w:sz w:val="24"/>
        </w:rPr>
        <w:t>2.2.4.投标价格上浮率明显偏离市场规律的，评标专家组有权经集体评议后，视作不合理报价，商务得分为0分。</w:t>
      </w:r>
    </w:p>
    <w:p>
      <w:pPr>
        <w:spacing w:line="440" w:lineRule="exact"/>
        <w:rPr>
          <w:rFonts w:hint="eastAsia" w:ascii="仿宋_GB2312" w:hAnsi="宋体" w:eastAsia="仿宋_GB2312" w:cs="Times New Roman"/>
          <w:b w:val="0"/>
          <w:bCs w:val="0"/>
          <w:iCs/>
          <w:sz w:val="24"/>
        </w:rPr>
      </w:pPr>
    </w:p>
    <w:bookmarkEnd w:id="9"/>
    <w:bookmarkEnd w:id="10"/>
    <w:bookmarkEnd w:id="11"/>
    <w:bookmarkEnd w:id="12"/>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投标人按照以下格式编制投标文件，并将商务技术（资信）文件、报价文件分别编制成册。</w:t>
      </w: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outlineLvl w:val="0"/>
        <w:rPr>
          <w:rFonts w:ascii="仿宋_GB2312" w:hAnsi="仿宋_GB2312" w:eastAsia="仿宋_GB2312" w:cs="仿宋_GB2312"/>
          <w:b/>
          <w:kern w:val="0"/>
          <w:sz w:val="36"/>
          <w:szCs w:val="36"/>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（3）中小企业声明函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如有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………………………………………（页码）</w:t>
      </w:r>
    </w:p>
    <w:p>
      <w:pPr>
        <w:spacing w:line="360" w:lineRule="auto"/>
        <w:outlineLvl w:val="0"/>
        <w:rPr>
          <w:rFonts w:ascii="仿宋_GB2312" w:hAnsi="宋体" w:eastAsia="仿宋_GB2312"/>
          <w:b/>
          <w:sz w:val="36"/>
          <w:szCs w:val="36"/>
        </w:rPr>
      </w:pPr>
      <w:r>
        <w:rPr>
          <w:rFonts w:hint="eastAsia" w:ascii="仿宋_GB2312" w:hAnsi="仿宋_GB2312" w:eastAsia="仿宋_GB2312" w:cs="仿宋_GB2312"/>
          <w:sz w:val="24"/>
        </w:rPr>
        <w:t>（4）残疾人福利性单位声明函</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如有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……………………………（页码）</w:t>
      </w:r>
    </w:p>
    <w:p>
      <w:pPr>
        <w:pStyle w:val="19"/>
        <w:spacing w:line="800" w:lineRule="atLeast"/>
        <w:ind w:left="0" w:leftChars="0"/>
        <w:rPr>
          <w:rFonts w:ascii="仿宋_GB2312" w:hAnsi="宋体" w:eastAsia="仿宋_GB2312"/>
          <w:b/>
          <w:sz w:val="36"/>
          <w:szCs w:val="36"/>
        </w:rPr>
      </w:pPr>
    </w:p>
    <w:p>
      <w:pPr>
        <w:pStyle w:val="19"/>
        <w:spacing w:line="800" w:lineRule="atLeast"/>
        <w:ind w:left="0" w:leftChars="0"/>
        <w:rPr>
          <w:rFonts w:ascii="仿宋_GB2312" w:hAnsi="宋体" w:eastAsia="仿宋_GB2312"/>
          <w:b/>
          <w:sz w:val="36"/>
          <w:szCs w:val="36"/>
        </w:rPr>
      </w:pPr>
    </w:p>
    <w:p>
      <w:pPr>
        <w:pStyle w:val="19"/>
        <w:spacing w:line="800" w:lineRule="atLeast"/>
        <w:ind w:left="0" w:leftChars="0"/>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_GB2312" w:hAnsi="宋体" w:eastAsia="仿宋_GB2312"/>
          <w:b/>
          <w:sz w:val="30"/>
          <w:szCs w:val="30"/>
        </w:rPr>
      </w:pPr>
      <w:r>
        <w:rPr>
          <w:rFonts w:hint="eastAsia" w:ascii="仿宋_GB2312" w:hAnsi="宋体" w:eastAsia="仿宋_GB2312"/>
          <w:b/>
          <w:sz w:val="30"/>
          <w:szCs w:val="30"/>
        </w:rPr>
        <w:t>1、投标响应函（格式）</w:t>
      </w:r>
    </w:p>
    <w:p>
      <w:pPr>
        <w:pStyle w:val="68"/>
        <w:spacing w:afterLines="0" w:line="440" w:lineRule="exact"/>
        <w:ind w:firstLine="0" w:firstLineChars="0"/>
        <w:rPr>
          <w:rFonts w:ascii="仿宋_GB2312" w:hAnsi="宋体" w:eastAsia="仿宋_GB2312"/>
          <w:szCs w:val="24"/>
        </w:rPr>
      </w:pPr>
    </w:p>
    <w:p>
      <w:pPr>
        <w:pStyle w:val="68"/>
        <w:spacing w:afterLines="0" w:line="440" w:lineRule="exact"/>
        <w:ind w:firstLine="0" w:firstLineChars="0"/>
        <w:rPr>
          <w:rFonts w:hint="eastAsia" w:ascii="仿宋_GB2312" w:hAnsi="宋体" w:eastAsia="仿宋_GB2312"/>
          <w:szCs w:val="24"/>
          <w:lang w:eastAsia="zh-CN"/>
        </w:rPr>
      </w:pPr>
      <w:r>
        <w:rPr>
          <w:rFonts w:hint="eastAsia" w:ascii="仿宋_GB2312" w:hAnsi="宋体" w:eastAsia="仿宋_GB2312"/>
          <w:szCs w:val="24"/>
        </w:rPr>
        <w:t>致：</w:t>
      </w:r>
      <w:r>
        <w:rPr>
          <w:rFonts w:hint="eastAsia" w:ascii="仿宋_GB2312" w:hAnsi="宋体" w:eastAsia="仿宋_GB2312"/>
          <w:szCs w:val="24"/>
          <w:u w:val="single"/>
        </w:rPr>
        <w:t>绍兴市人民医院</w:t>
      </w:r>
      <w:r>
        <w:rPr>
          <w:rFonts w:hint="eastAsia" w:ascii="仿宋_GB2312" w:hAnsi="宋体" w:eastAsia="仿宋_GB2312"/>
          <w:szCs w:val="24"/>
          <w:u w:val="single"/>
          <w:lang w:val="en-US" w:eastAsia="zh-CN"/>
        </w:rPr>
        <w:t>工会</w:t>
      </w:r>
      <w:r>
        <w:rPr>
          <w:rFonts w:hint="eastAsia" w:ascii="仿宋_GB2312" w:hAnsi="宋体" w:eastAsia="仿宋_GB2312"/>
          <w:szCs w:val="24"/>
          <w:u w:val="single"/>
        </w:rPr>
        <w:t>、</w:t>
      </w:r>
      <w:r>
        <w:rPr>
          <w:rFonts w:hint="eastAsia" w:ascii="仿宋_GB2312" w:hAnsi="宋体" w:eastAsia="仿宋_GB2312"/>
          <w:szCs w:val="24"/>
          <w:u w:val="single"/>
          <w:lang w:val="en-US" w:eastAsia="zh-CN"/>
        </w:rPr>
        <w:t>华诚工程咨询集团有限公司</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根据贵方招标文件（</w:t>
      </w:r>
      <w:r>
        <w:rPr>
          <w:rFonts w:hint="eastAsia" w:ascii="仿宋_GB2312" w:hAnsi="宋体" w:eastAsia="仿宋_GB2312"/>
          <w:b/>
          <w:szCs w:val="24"/>
          <w:u w:val="single"/>
        </w:rPr>
        <w:t>填写招标编号：</w:t>
      </w:r>
      <w:r>
        <w:rPr>
          <w:rFonts w:hint="eastAsia" w:ascii="仿宋_GB2312" w:hAnsi="宋体" w:eastAsia="仿宋_GB2312"/>
          <w:szCs w:val="24"/>
        </w:rPr>
        <w:t>）的要求，正式授权</w:t>
      </w:r>
      <w:r>
        <w:rPr>
          <w:rFonts w:hint="eastAsia" w:ascii="仿宋_GB2312" w:hAnsi="宋体" w:eastAsia="仿宋_GB2312"/>
          <w:b/>
          <w:szCs w:val="24"/>
          <w:u w:val="single"/>
        </w:rPr>
        <w:t>（全权代表姓名    、单位    、职务   ）</w:t>
      </w:r>
      <w:r>
        <w:rPr>
          <w:rFonts w:hint="eastAsia" w:ascii="仿宋_GB2312" w:hAnsi="宋体" w:eastAsia="仿宋_GB2312"/>
          <w:szCs w:val="24"/>
        </w:rPr>
        <w:t>代表投标人</w:t>
      </w:r>
      <w:r>
        <w:rPr>
          <w:rFonts w:hint="eastAsia" w:ascii="仿宋_GB2312" w:hAnsi="宋体" w:eastAsia="仿宋_GB2312"/>
          <w:szCs w:val="24"/>
          <w:u w:val="single"/>
        </w:rPr>
        <w:t>（</w:t>
      </w:r>
      <w:r>
        <w:rPr>
          <w:rFonts w:hint="eastAsia" w:ascii="仿宋_GB2312" w:hAnsi="宋体" w:eastAsia="仿宋_GB2312"/>
          <w:b/>
          <w:szCs w:val="24"/>
          <w:u w:val="single"/>
        </w:rPr>
        <w:t xml:space="preserve">填写单位    、地址   </w:t>
      </w:r>
      <w:r>
        <w:rPr>
          <w:rFonts w:hint="eastAsia" w:ascii="仿宋_GB2312" w:hAnsi="宋体" w:eastAsia="仿宋_GB2312"/>
          <w:szCs w:val="24"/>
          <w:u w:val="single"/>
        </w:rPr>
        <w:t>）</w:t>
      </w:r>
      <w:r>
        <w:rPr>
          <w:rFonts w:hint="eastAsia" w:ascii="仿宋_GB2312" w:hAnsi="宋体" w:eastAsia="仿宋_GB2312"/>
          <w:szCs w:val="24"/>
        </w:rPr>
        <w:t>提交投标文件。</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我方已完全明白招标文件的所有条款要求，兹声明同意如下：</w:t>
      </w:r>
    </w:p>
    <w:p>
      <w:pPr>
        <w:pStyle w:val="12"/>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szCs w:val="24"/>
        </w:rPr>
        <w:t>1.</w:t>
      </w:r>
      <w:r>
        <w:rPr>
          <w:rFonts w:hint="eastAsia" w:ascii="仿宋_GB2312" w:hAnsi="仿宋" w:eastAsia="仿宋_GB2312" w:cs="仿宋_GB2312"/>
        </w:rPr>
        <w:t>我方同意在投标人</w:t>
      </w:r>
      <w:r>
        <w:rPr>
          <w:rFonts w:hint="eastAsia" w:ascii="仿宋_GB2312" w:hAnsi="仿宋" w:eastAsia="仿宋_GB2312" w:cs="仿宋_GB2312"/>
          <w:kern w:val="44"/>
        </w:rPr>
        <w:t>须知</w:t>
      </w:r>
      <w:r>
        <w:rPr>
          <w:rFonts w:hint="eastAsia" w:ascii="仿宋_GB2312" w:hAnsi="仿宋" w:eastAsia="仿宋_GB2312" w:cs="仿宋_GB2312"/>
        </w:rPr>
        <w:t>规定的开标日期起遵守本投标文件中的承诺且在投标有效期满之前均具有约束力</w:t>
      </w:r>
      <w:r>
        <w:rPr>
          <w:rFonts w:hint="eastAsia" w:ascii="仿宋_GB2312" w:hAnsi="宋体" w:eastAsia="仿宋_GB2312"/>
          <w:szCs w:val="24"/>
        </w:rPr>
        <w:t>。</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68"/>
        <w:spacing w:afterLines="0" w:line="440" w:lineRule="exact"/>
        <w:ind w:firstLine="480"/>
        <w:rPr>
          <w:rFonts w:ascii="仿宋_GB2312" w:eastAsia="仿宋_GB2312"/>
        </w:rPr>
      </w:pPr>
      <w:r>
        <w:rPr>
          <w:rFonts w:hint="eastAsia" w:ascii="仿宋_GB2312" w:hAnsi="宋体" w:eastAsia="仿宋_GB2312"/>
          <w:szCs w:val="24"/>
        </w:rPr>
        <w:t>3.</w:t>
      </w:r>
      <w:r>
        <w:rPr>
          <w:rFonts w:hint="eastAsia" w:ascii="仿宋_GB2312" w:eastAsia="仿宋_GB2312"/>
        </w:rPr>
        <w:t>本公司投标文件中填列的技术参数、配置、服务、数量等相关内容都是真实、准确的。保证在本次项目中所提供的资料全部真实和合法。同</w:t>
      </w:r>
      <w:r>
        <w:rPr>
          <w:rFonts w:hint="eastAsia" w:ascii="仿宋_GB2312" w:eastAsia="仿宋_GB2312"/>
          <w:highlight w:val="none"/>
        </w:rPr>
        <w:t>意向采购代理机构</w:t>
      </w:r>
      <w:r>
        <w:rPr>
          <w:rFonts w:hint="eastAsia" w:ascii="仿宋_GB2312" w:eastAsia="仿宋_GB2312"/>
        </w:rPr>
        <w:t>提供可能另外要求的与投标有关的任何数据或资料。</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4.我方理解贵方将不受你们所收到的最低报价的约束。</w:t>
      </w:r>
    </w:p>
    <w:p>
      <w:pPr>
        <w:pStyle w:val="12"/>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rPr>
        <w:t>5.</w:t>
      </w:r>
      <w:r>
        <w:rPr>
          <w:rFonts w:hint="eastAsia" w:ascii="仿宋_GB2312" w:hAnsi="宋体" w:eastAsia="仿宋_GB2312"/>
          <w:szCs w:val="24"/>
        </w:rPr>
        <w:t>本投标自开标之日（投标截止之日）起90天内有效。</w:t>
      </w:r>
    </w:p>
    <w:p>
      <w:pPr>
        <w:pStyle w:val="68"/>
        <w:spacing w:afterLines="0" w:line="440" w:lineRule="exact"/>
        <w:ind w:firstLine="480"/>
        <w:rPr>
          <w:rFonts w:ascii="仿宋_GB2312" w:hAnsi="仿宋_GB2312" w:eastAsia="仿宋_GB2312" w:cs="仿宋_GB2312"/>
        </w:rPr>
      </w:pPr>
      <w:r>
        <w:rPr>
          <w:rFonts w:hint="eastAsia" w:ascii="仿宋_GB2312" w:hAnsi="宋体" w:eastAsia="仿宋_GB2312"/>
          <w:szCs w:val="24"/>
        </w:rPr>
        <w:t>6</w:t>
      </w:r>
      <w:r>
        <w:rPr>
          <w:rFonts w:hint="eastAsia" w:ascii="仿宋_GB2312" w:hAnsi="仿宋_GB2312" w:eastAsia="仿宋_GB2312"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68"/>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法定代表人或其授权代表(签字或盖章)：</w:t>
      </w:r>
    </w:p>
    <w:p>
      <w:pPr>
        <w:pStyle w:val="68"/>
        <w:spacing w:afterLines="0" w:line="440" w:lineRule="exact"/>
        <w:ind w:firstLine="480"/>
        <w:rPr>
          <w:rFonts w:ascii="仿宋_GB2312" w:hAnsi="宋体" w:eastAsia="仿宋_GB2312"/>
          <w:b/>
          <w:sz w:val="30"/>
          <w:szCs w:val="30"/>
        </w:rPr>
      </w:pPr>
      <w:r>
        <w:rPr>
          <w:rFonts w:hint="eastAsia" w:ascii="仿宋_GB2312" w:hAnsi="宋体" w:eastAsia="仿宋_GB2312"/>
          <w:szCs w:val="24"/>
        </w:rPr>
        <w:t xml:space="preserve">投标人(公章)：　　　　　　　　　日期：   </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right"/>
        <w:rPr>
          <w:rFonts w:ascii="仿宋_GB2312" w:hAnsi="宋体" w:eastAsia="仿宋_GB2312"/>
          <w:sz w:val="24"/>
        </w:rPr>
      </w:pPr>
      <w:r>
        <w:rPr>
          <w:rFonts w:hint="eastAsia" w:ascii="仿宋_GB2312" w:hAnsi="宋体" w:eastAsia="仿宋_GB2312"/>
          <w:sz w:val="24"/>
        </w:rPr>
        <w:t xml:space="preserve">                                                            单位：</w:t>
      </w:r>
      <w:r>
        <w:rPr>
          <w:rFonts w:hint="eastAsia" w:ascii="仿宋" w:hAnsi="仿宋" w:eastAsia="仿宋" w:cs="仿宋"/>
          <w:sz w:val="24"/>
        </w:rPr>
        <w:t>%</w:t>
      </w:r>
    </w:p>
    <w:tbl>
      <w:tblPr>
        <w:tblStyle w:val="4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7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2978"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服务项目</w:t>
            </w:r>
          </w:p>
        </w:tc>
        <w:tc>
          <w:tcPr>
            <w:tcW w:w="4961" w:type="dxa"/>
            <w:noWrap w:val="0"/>
            <w:vAlign w:val="center"/>
          </w:tcPr>
          <w:p>
            <w:pPr>
              <w:jc w:val="center"/>
              <w:rPr>
                <w:rFonts w:hint="eastAsia" w:ascii="仿宋" w:hAnsi="仿宋" w:eastAsia="仿宋" w:cs="仿宋"/>
                <w:sz w:val="24"/>
              </w:rPr>
            </w:pPr>
            <w:r>
              <w:rPr>
                <w:rFonts w:hint="eastAsia" w:ascii="仿宋" w:hAnsi="仿宋" w:eastAsia="仿宋" w:cs="仿宋"/>
                <w:sz w:val="24"/>
              </w:rPr>
              <w:t>上浮率报价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vMerge w:val="restar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2978" w:type="dxa"/>
            <w:vMerge w:val="restar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生日蛋糕劵</w:t>
            </w:r>
          </w:p>
        </w:tc>
        <w:tc>
          <w:tcPr>
            <w:tcW w:w="4961" w:type="dxa"/>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6" w:type="dxa"/>
            <w:vMerge w:val="continue"/>
            <w:noWrap w:val="0"/>
            <w:vAlign w:val="center"/>
          </w:tcPr>
          <w:p>
            <w:pPr>
              <w:spacing w:line="440" w:lineRule="exact"/>
              <w:jc w:val="center"/>
              <w:rPr>
                <w:rFonts w:hint="eastAsia" w:ascii="仿宋" w:hAnsi="仿宋" w:eastAsia="仿宋" w:cs="仿宋"/>
                <w:sz w:val="24"/>
              </w:rPr>
            </w:pPr>
          </w:p>
        </w:tc>
        <w:tc>
          <w:tcPr>
            <w:tcW w:w="2978" w:type="dxa"/>
            <w:vMerge w:val="continue"/>
            <w:noWrap w:val="0"/>
            <w:vAlign w:val="center"/>
          </w:tcPr>
          <w:p>
            <w:pPr>
              <w:spacing w:line="440" w:lineRule="exact"/>
              <w:jc w:val="center"/>
              <w:rPr>
                <w:rFonts w:hint="eastAsia" w:ascii="仿宋" w:hAnsi="仿宋" w:eastAsia="仿宋" w:cs="仿宋"/>
                <w:sz w:val="24"/>
              </w:rPr>
            </w:pPr>
          </w:p>
        </w:tc>
        <w:tc>
          <w:tcPr>
            <w:tcW w:w="4961" w:type="dxa"/>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大写：百分之</w:t>
            </w:r>
          </w:p>
        </w:tc>
      </w:tr>
    </w:tbl>
    <w:p>
      <w:pPr>
        <w:spacing w:line="360" w:lineRule="auto"/>
        <w:ind w:left="-4" w:leftChars="-2" w:right="-817" w:rightChars="-389" w:firstLine="2"/>
        <w:rPr>
          <w:rFonts w:hint="eastAsia" w:ascii="仿宋_GB2312" w:hAnsi="宋体" w:eastAsia="仿宋_GB2312" w:cs="Times New Roman"/>
          <w:sz w:val="24"/>
        </w:rPr>
      </w:pPr>
    </w:p>
    <w:p>
      <w:pPr>
        <w:spacing w:line="360" w:lineRule="auto"/>
        <w:ind w:left="-4" w:leftChars="-2" w:right="-817" w:rightChars="-389" w:firstLine="2"/>
        <w:rPr>
          <w:rFonts w:hint="eastAsia" w:ascii="仿宋_GB2312" w:hAnsi="宋体" w:eastAsia="仿宋_GB2312" w:cs="Times New Roman"/>
          <w:sz w:val="24"/>
        </w:rPr>
      </w:pPr>
      <w:r>
        <w:rPr>
          <w:rFonts w:hint="eastAsia" w:ascii="仿宋_GB2312" w:hAnsi="宋体" w:eastAsia="仿宋_GB2312" w:cs="Times New Roman"/>
          <w:sz w:val="24"/>
        </w:rPr>
        <w:t>注: 1.报价一经涂改，应在涂改处加盖单位公章或者由法定代表人或其授权代表签字或盖章，否则其投标作无效投标处理。</w:t>
      </w:r>
    </w:p>
    <w:p>
      <w:pPr>
        <w:spacing w:line="360" w:lineRule="auto"/>
        <w:ind w:left="-4" w:leftChars="-2" w:right="-817" w:rightChars="-389" w:firstLine="2"/>
        <w:rPr>
          <w:rFonts w:hint="eastAsia" w:ascii="仿宋_GB2312" w:hAnsi="宋体" w:eastAsia="仿宋_GB2312" w:cs="Times New Roman"/>
          <w:sz w:val="24"/>
        </w:rPr>
      </w:pPr>
      <w:r>
        <w:rPr>
          <w:rFonts w:hint="eastAsia" w:ascii="仿宋_GB2312" w:hAnsi="宋体" w:eastAsia="仿宋_GB2312" w:cs="Times New Roman"/>
          <w:sz w:val="24"/>
        </w:rPr>
        <w:t>2.招标人不接受某一标项中有2个(含)以上的报价或方案，若投标人在此表中有2个（含）以上的报价或方案，其投标作无效投标处理。</w:t>
      </w:r>
    </w:p>
    <w:p>
      <w:pPr>
        <w:spacing w:line="360" w:lineRule="auto"/>
        <w:ind w:left="-4" w:leftChars="-2" w:right="-817" w:rightChars="-389" w:firstLine="2"/>
        <w:rPr>
          <w:rFonts w:hint="eastAsia" w:ascii="仿宋_GB2312" w:hAnsi="宋体" w:eastAsia="仿宋_GB2312" w:cs="Times New Roman"/>
          <w:sz w:val="24"/>
          <w:lang w:val="zh-CN"/>
        </w:rPr>
      </w:pPr>
      <w:r>
        <w:rPr>
          <w:rFonts w:hint="eastAsia" w:ascii="仿宋_GB2312" w:hAnsi="宋体" w:eastAsia="仿宋_GB2312" w:cs="Times New Roman"/>
          <w:sz w:val="24"/>
          <w:lang w:val="zh-CN"/>
        </w:rPr>
        <w:t>3.投标人需按本表格式填写，如无对应内容，则填写：“无或/”。</w:t>
      </w:r>
    </w:p>
    <w:p>
      <w:pPr>
        <w:spacing w:line="360" w:lineRule="auto"/>
        <w:ind w:left="-4" w:leftChars="-2" w:right="-817" w:rightChars="-389" w:firstLine="2"/>
        <w:rPr>
          <w:rFonts w:hint="eastAsia" w:ascii="仿宋_GB2312" w:hAnsi="宋体" w:eastAsia="仿宋_GB2312" w:cs="Times New Roman"/>
          <w:sz w:val="24"/>
          <w:lang w:val="zh-CN"/>
        </w:rPr>
      </w:pPr>
      <w:r>
        <w:rPr>
          <w:rFonts w:hint="eastAsia" w:ascii="仿宋_GB2312" w:hAnsi="宋体" w:eastAsia="仿宋_GB2312" w:cs="Times New Roman"/>
          <w:sz w:val="24"/>
          <w:lang w:val="zh-CN"/>
        </w:rPr>
        <w:t>4.有关本项目实施所涉及的一切费用均计入报价。</w:t>
      </w:r>
    </w:p>
    <w:p>
      <w:pPr>
        <w:spacing w:line="360" w:lineRule="auto"/>
        <w:ind w:left="-3" w:leftChars="-72" w:right="-817" w:rightChars="-389" w:hanging="148" w:hangingChars="62"/>
        <w:rPr>
          <w:rFonts w:ascii="仿宋_GB2312" w:hAnsi="宋体" w:eastAsia="仿宋_GB2312"/>
          <w:sz w:val="24"/>
        </w:rPr>
      </w:pPr>
    </w:p>
    <w:p>
      <w:pPr>
        <w:pStyle w:val="50"/>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投标人（公章）：</w:t>
      </w:r>
    </w:p>
    <w:p>
      <w:pPr>
        <w:spacing w:line="360" w:lineRule="auto"/>
        <w:outlineLvl w:val="0"/>
        <w:rPr>
          <w:rFonts w:ascii="仿宋_GB2312" w:hAnsi="宋体" w:eastAsia="仿宋_GB2312"/>
          <w:sz w:val="24"/>
        </w:rPr>
      </w:pPr>
      <w:r>
        <w:rPr>
          <w:rFonts w:hint="eastAsia" w:ascii="仿宋_GB2312" w:hAnsi="宋体" w:eastAsia="仿宋_GB2312"/>
          <w:sz w:val="24"/>
        </w:rPr>
        <w:t>法定代表人或其授权代表（签字或盖章）：            日期：    年   月   日</w:t>
      </w:r>
    </w:p>
    <w:p>
      <w:pPr>
        <w:pageBreakBefore/>
        <w:rPr>
          <w:rFonts w:ascii="仿宋_GB2312" w:eastAsia="仿宋_GB2312"/>
          <w:b/>
          <w:sz w:val="32"/>
          <w:szCs w:val="32"/>
        </w:rPr>
        <w:sectPr>
          <w:footerReference r:id="rId9" w:type="default"/>
          <w:pgSz w:w="11905" w:h="16838"/>
          <w:pgMar w:top="1417" w:right="1417" w:bottom="1417" w:left="1417" w:header="850" w:footer="850" w:gutter="0"/>
          <w:pgNumType w:fmt="decimal"/>
          <w:cols w:space="0" w:num="1"/>
          <w:titlePg/>
          <w:docGrid w:linePitch="312" w:charSpace="0"/>
        </w:sectPr>
      </w:pPr>
    </w:p>
    <w:p>
      <w:pPr>
        <w:pageBreakBefore/>
        <w:rPr>
          <w:rFonts w:ascii="仿宋_GB2312" w:eastAsia="仿宋_GB2312"/>
          <w:b/>
          <w:sz w:val="32"/>
          <w:szCs w:val="32"/>
        </w:rPr>
      </w:pPr>
      <w:r>
        <w:rPr>
          <w:rFonts w:hint="eastAsia" w:ascii="仿宋_GB2312" w:eastAsia="仿宋_GB2312"/>
          <w:b/>
          <w:sz w:val="32"/>
          <w:szCs w:val="32"/>
        </w:rPr>
        <w:t>3、中小企业声明函</w:t>
      </w:r>
    </w:p>
    <w:p>
      <w:pPr>
        <w:rPr>
          <w:rFonts w:ascii="仿宋_GB2312" w:eastAsia="仿宋_GB2312"/>
          <w:b/>
          <w:sz w:val="32"/>
          <w:szCs w:val="32"/>
        </w:rPr>
      </w:pPr>
      <w:r>
        <w:rPr>
          <w:rFonts w:hint="eastAsia" w:ascii="仿宋_GB2312" w:hAnsi="仿宋" w:eastAsia="仿宋_GB2312" w:cs="仿宋_GB2312"/>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r>
        <w:rPr>
          <w:rFonts w:ascii="仿宋_GB2312" w:hAnsi="仿宋" w:eastAsia="仿宋_GB2312" w:cs="仿宋_GB2312"/>
          <w:b/>
          <w:sz w:val="24"/>
        </w:rPr>
        <w:t>。</w:t>
      </w:r>
      <w:r>
        <w:rPr>
          <w:rFonts w:hint="eastAsia" w:ascii="仿宋_GB2312" w:hAnsi="仿宋" w:eastAsia="仿宋_GB2312" w:cs="仿宋_GB2312"/>
          <w:b/>
          <w:sz w:val="24"/>
        </w:rPr>
        <w:t>]</w:t>
      </w:r>
    </w:p>
    <w:p>
      <w:pPr>
        <w:pageBreakBefore/>
        <w:rPr>
          <w:rFonts w:ascii="仿宋_GB2312" w:hAnsi="仿宋_GB2312" w:eastAsia="仿宋_GB2312" w:cs="仿宋_GB2312"/>
          <w:b/>
          <w:sz w:val="32"/>
          <w:szCs w:val="32"/>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p>
    <w:p>
      <w:pPr>
        <w:jc w:val="center"/>
        <w:rPr>
          <w:rFonts w:ascii="仿宋_GB2312" w:hAnsi="仿宋_GB2312" w:eastAsia="仿宋_GB2312" w:cs="仿宋_GB2312"/>
          <w:b/>
          <w:sz w:val="32"/>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pageBreakBefore/>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rPr>
        <w:t>4、残疾人福利性单位声明函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5" o:spt="75" type="#_x0000_t75" style="height:42pt;width:390pt;" o:ole="t" filled="f" o:preferrelative="t" stroked="f" coordsize="21600,21600">
            <v:path/>
            <v:fill on="f" focussize="0,0"/>
            <v:stroke on="f"/>
            <v:imagedata r:id="rId17" o:title=""/>
            <o:lock v:ext="edit" aspectratio="t"/>
            <w10:wrap type="none"/>
            <w10:anchorlock/>
          </v:shape>
          <o:OLEObject Type="Embed" ProgID="Package" ShapeID="_x0000_i1025" DrawAspect="Content" ObjectID="_1468075725" r:id="rId16">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400" w:lineRule="exact"/>
        <w:rPr>
          <w:rFonts w:ascii="仿宋_GB2312" w:hAnsi="宋体" w:eastAsia="仿宋_GB2312"/>
          <w:b/>
          <w:sz w:val="24"/>
        </w:rPr>
      </w:pPr>
      <w:r>
        <w:rPr>
          <w:rFonts w:ascii="仿宋_GB2312" w:hAnsi="宋体" w:eastAsia="仿宋_GB2312"/>
          <w:b/>
          <w:sz w:val="24"/>
        </w:rPr>
        <w:t>注</w:t>
      </w:r>
      <w:r>
        <w:rPr>
          <w:rFonts w:hint="eastAsia" w:ascii="仿宋_GB2312" w:hAnsi="宋体" w:eastAsia="仿宋_GB2312"/>
          <w:b/>
          <w:sz w:val="24"/>
        </w:rPr>
        <w:t>：</w:t>
      </w:r>
      <w:r>
        <w:rPr>
          <w:rFonts w:hint="eastAsia" w:ascii="仿宋_GB2312" w:hAnsi="仿宋_GB2312" w:eastAsia="仿宋_GB2312" w:cs="仿宋_GB2312"/>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spacing w:line="360" w:lineRule="auto"/>
        <w:ind w:firstLine="480" w:firstLineChars="200"/>
        <w:outlineLvl w:val="0"/>
        <w:rPr>
          <w:rFonts w:ascii="仿宋_GB2312" w:hAnsi="仿宋_GB2312" w:eastAsia="仿宋_GB2312" w:cs="仿宋_GB2312"/>
          <w:sz w:val="24"/>
        </w:rPr>
      </w:pPr>
    </w:p>
    <w:p>
      <w:pPr>
        <w:pageBreakBefore/>
        <w:spacing w:line="800" w:lineRule="exact"/>
        <w:jc w:val="center"/>
        <w:rPr>
          <w:rFonts w:ascii="仿宋_GB2312" w:hAnsi="宋体" w:eastAsia="仿宋_GB2312"/>
          <w:b/>
          <w:sz w:val="30"/>
          <w:szCs w:val="30"/>
        </w:rPr>
      </w:pPr>
      <w:r>
        <w:rPr>
          <w:rFonts w:hint="eastAsia" w:ascii="仿宋_GB2312" w:hAnsi="宋体" w:eastAsia="仿宋_GB2312"/>
          <w:b/>
          <w:sz w:val="30"/>
          <w:szCs w:val="30"/>
        </w:rPr>
        <w:t>商务技术（资信）文件部分</w:t>
      </w:r>
    </w:p>
    <w:p>
      <w:pPr>
        <w:snapToGrid w:val="0"/>
        <w:spacing w:beforeLines="50" w:after="50"/>
        <w:rPr>
          <w:rFonts w:ascii="仿宋" w:eastAsia="仿宋" w:cs="仿宋_GB2312"/>
          <w:sz w:val="30"/>
          <w:szCs w:val="30"/>
        </w:rPr>
      </w:pPr>
    </w:p>
    <w:p>
      <w:pPr>
        <w:snapToGrid w:val="0"/>
        <w:spacing w:beforeLines="50" w:after="50"/>
        <w:jc w:val="center"/>
      </w:pPr>
      <w:r>
        <w:rPr>
          <w:rFonts w:hint="eastAsia" w:ascii="仿宋" w:eastAsia="仿宋" w:cs="仿宋_GB2312"/>
          <w:sz w:val="30"/>
          <w:szCs w:val="30"/>
        </w:rPr>
        <w:t>目 录</w:t>
      </w:r>
    </w:p>
    <w:p>
      <w:pPr>
        <w:pStyle w:val="192"/>
        <w:spacing w:line="360" w:lineRule="auto"/>
        <w:ind w:left="0" w:firstLine="0" w:firstLineChars="0"/>
        <w:rPr>
          <w:rFonts w:hAnsi="仿宋_GB2312" w:cs="仿宋_GB2312"/>
        </w:rPr>
      </w:pPr>
      <w:r>
        <w:rPr>
          <w:rFonts w:hint="eastAsia" w:hAnsi="仿宋_GB2312" w:cs="仿宋_GB2312"/>
        </w:rPr>
        <w:t>（1）法定代表人授权书 …………………………………………………………（页码）</w:t>
      </w:r>
    </w:p>
    <w:p>
      <w:pPr>
        <w:pStyle w:val="192"/>
        <w:spacing w:line="360" w:lineRule="auto"/>
        <w:ind w:left="0" w:firstLine="0" w:firstLineChars="0"/>
        <w:rPr>
          <w:rFonts w:hAnsi="仿宋_GB2312" w:cs="仿宋_GB2312"/>
        </w:rPr>
      </w:pPr>
      <w:r>
        <w:rPr>
          <w:rFonts w:hint="eastAsia" w:hAnsi="仿宋_GB2312" w:cs="仿宋_GB2312"/>
        </w:rPr>
        <w:t>（2）授权代表社保证明（复印件）………………………………………………（页码）</w:t>
      </w:r>
    </w:p>
    <w:p>
      <w:pPr>
        <w:pStyle w:val="192"/>
        <w:spacing w:line="360" w:lineRule="auto"/>
        <w:ind w:left="0" w:firstLine="0" w:firstLineChars="0"/>
        <w:rPr>
          <w:rFonts w:hAnsi="仿宋_GB2312" w:cs="仿宋_GB2312"/>
        </w:rPr>
      </w:pPr>
      <w:r>
        <w:rPr>
          <w:rFonts w:hint="eastAsia" w:hAnsi="仿宋_GB2312" w:cs="仿宋_GB2312"/>
        </w:rPr>
        <w:t>（3）法定代表人及其授权代表的身份证（复印件）……………………………（页码）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（4）法定代表人身份证明书………………………………………………………（页码）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（5）资格审查有关的书面承诺函</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（6）符合特定资格条件（如果项目要求）的有关证明材料（复印件）………（页码）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（7）投标人售后服务证明材料……………………………………………………（页码）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（8）</w:t>
      </w:r>
      <w:r>
        <w:rPr>
          <w:rFonts w:hint="eastAsia" w:hAnsi="仿宋_GB2312" w:cs="仿宋_GB2312"/>
          <w:highlight w:val="none"/>
          <w:lang w:val="zh-CN"/>
        </w:rPr>
        <w:t>主要业绩证明…………………………………………………</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（9）廉政承诺书 ………………………………………………………………………（页码）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0</w:t>
      </w:r>
      <w:r>
        <w:rPr>
          <w:rFonts w:hint="eastAsia" w:hAnsi="仿宋_GB2312" w:cs="仿宋_GB2312"/>
          <w:highlight w:val="none"/>
        </w:rPr>
        <w:t>）技术偏离说明表…………………………………………………………………（页码）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1</w:t>
      </w:r>
      <w:r>
        <w:rPr>
          <w:rFonts w:hint="eastAsia" w:hAnsi="仿宋_GB2312" w:cs="仿宋_GB2312"/>
          <w:highlight w:val="none"/>
        </w:rPr>
        <w:t>）售后服务方案……………………………………………………………………（页码）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2</w:t>
      </w:r>
      <w:r>
        <w:rPr>
          <w:rFonts w:hint="eastAsia" w:hAnsi="仿宋_GB2312" w:cs="仿宋_GB2312"/>
          <w:highlight w:val="none"/>
        </w:rPr>
        <w:t>）</w:t>
      </w:r>
      <w:r>
        <w:rPr>
          <w:rFonts w:hint="eastAsia" w:hAnsi="仿宋_GB2312" w:cs="仿宋_GB2312"/>
          <w:highlight w:val="none"/>
          <w:lang w:val="zh-CN"/>
        </w:rPr>
        <w:t>优惠条件及特殊承诺……………………………………</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192"/>
        <w:spacing w:line="360" w:lineRule="auto"/>
        <w:ind w:left="0" w:firstLine="0" w:firstLineChars="0"/>
        <w:rPr>
          <w:rFonts w:hAnsi="仿宋_GB2312" w:cs="仿宋_GB2312"/>
          <w:highlight w:val="none"/>
        </w:rPr>
      </w:pPr>
      <w:r>
        <w:rPr>
          <w:rFonts w:hint="eastAsia" w:hAnsi="仿宋_GB2312" w:cs="仿宋_GB2312"/>
          <w:highlight w:val="none"/>
        </w:rPr>
        <w:t>（1</w:t>
      </w:r>
      <w:r>
        <w:rPr>
          <w:rFonts w:hint="eastAsia" w:hAnsi="仿宋_GB2312" w:cs="仿宋_GB2312"/>
          <w:highlight w:val="none"/>
          <w:lang w:val="en-US" w:eastAsia="zh-CN"/>
        </w:rPr>
        <w:t>3</w:t>
      </w:r>
      <w:r>
        <w:rPr>
          <w:rFonts w:hint="eastAsia" w:hAnsi="仿宋_GB2312" w:cs="仿宋_GB2312"/>
          <w:highlight w:val="none"/>
        </w:rPr>
        <w:t>）</w:t>
      </w:r>
      <w:r>
        <w:rPr>
          <w:rFonts w:hint="eastAsia" w:hAnsi="仿宋_GB2312" w:cs="仿宋_GB2312"/>
          <w:highlight w:val="none"/>
          <w:lang w:val="zh-CN"/>
        </w:rPr>
        <w:t>认为需要的其他商务技术（资信）文件或说明…………</w:t>
      </w:r>
      <w:r>
        <w:rPr>
          <w:rFonts w:hint="eastAsia" w:hAnsi="仿宋_GB2312" w:cs="仿宋_GB2312"/>
          <w:highlight w:val="none"/>
        </w:rPr>
        <w:t>……………………（页码）</w:t>
      </w:r>
    </w:p>
    <w:p>
      <w:pPr>
        <w:pStyle w:val="192"/>
        <w:spacing w:line="360" w:lineRule="auto"/>
        <w:ind w:left="0" w:firstLine="0" w:firstLineChars="0"/>
        <w:rPr>
          <w:rFonts w:hAnsi="仿宋_GB2312" w:cs="仿宋_GB2312"/>
          <w:b/>
          <w:bCs/>
          <w:highlight w:val="none"/>
        </w:rPr>
      </w:pPr>
      <w:r>
        <w:rPr>
          <w:rFonts w:hint="eastAsia" w:hAnsi="仿宋_GB2312" w:cs="仿宋_GB2312"/>
          <w:highlight w:val="none"/>
        </w:rPr>
        <w:t>（</w:t>
      </w:r>
      <w:r>
        <w:rPr>
          <w:rFonts w:hint="eastAsia" w:hAnsi="仿宋_GB2312" w:cs="仿宋_GB2312"/>
          <w:highlight w:val="none"/>
          <w:lang w:val="en-US" w:eastAsia="zh-CN"/>
        </w:rPr>
        <w:t>14</w:t>
      </w:r>
      <w:r>
        <w:rPr>
          <w:rFonts w:hint="eastAsia" w:hAnsi="仿宋_GB2312" w:cs="仿宋_GB2312"/>
          <w:highlight w:val="none"/>
        </w:rPr>
        <w:t>）中小企业声明函</w:t>
      </w:r>
      <w:r>
        <w:rPr>
          <w:rFonts w:hint="eastAsia" w:hAnsi="仿宋_GB2312" w:cs="仿宋_GB2312"/>
          <w:highlight w:val="none"/>
          <w:lang w:val="zh-CN"/>
        </w:rPr>
        <w:t>（如有）</w:t>
      </w:r>
      <w:r>
        <w:rPr>
          <w:rFonts w:hint="eastAsia" w:hAnsi="仿宋_GB2312" w:cs="仿宋_GB2312"/>
          <w:highlight w:val="none"/>
        </w:rPr>
        <w:t>……………………………………………………（页码）</w:t>
      </w:r>
    </w:p>
    <w:p>
      <w:pPr>
        <w:pStyle w:val="192"/>
        <w:spacing w:line="360" w:lineRule="auto"/>
        <w:ind w:left="0" w:firstLine="0" w:firstLineChars="0"/>
        <w:rPr>
          <w:rFonts w:hAnsi="仿宋_GB2312" w:cs="仿宋_GB2312"/>
          <w:b/>
          <w:bCs/>
        </w:rPr>
      </w:pPr>
      <w:r>
        <w:rPr>
          <w:rFonts w:hint="eastAsia" w:hAnsi="仿宋_GB2312" w:cs="仿宋_GB2312"/>
          <w:highlight w:val="none"/>
        </w:rPr>
        <w:t>（</w:t>
      </w:r>
      <w:r>
        <w:rPr>
          <w:rFonts w:hint="eastAsia" w:hAnsi="仿宋_GB2312" w:cs="仿宋_GB2312"/>
          <w:highlight w:val="none"/>
          <w:lang w:val="en-US" w:eastAsia="zh-CN"/>
        </w:rPr>
        <w:t>15</w:t>
      </w:r>
      <w:r>
        <w:rPr>
          <w:rFonts w:hint="eastAsia" w:hAnsi="仿宋_GB2312" w:cs="仿宋_GB2312"/>
          <w:highlight w:val="none"/>
        </w:rPr>
        <w:t>）代理服务费支付承诺书……</w:t>
      </w:r>
      <w:r>
        <w:rPr>
          <w:rFonts w:hint="eastAsia" w:hAnsi="仿宋_GB2312" w:cs="仿宋_GB2312"/>
        </w:rPr>
        <w:t>…………………………………………………（页码）</w:t>
      </w:r>
    </w:p>
    <w:p>
      <w:pPr>
        <w:spacing w:line="360" w:lineRule="auto"/>
        <w:jc w:val="left"/>
        <w:rPr>
          <w:rFonts w:ascii="仿宋" w:eastAsia="仿宋" w:cs="仿宋_GB2312"/>
          <w:b/>
          <w:bCs/>
          <w:sz w:val="24"/>
        </w:rPr>
      </w:pPr>
      <w:r>
        <w:rPr>
          <w:rFonts w:hint="eastAsia" w:ascii="仿宋_GB2312" w:hAnsi="仿宋_GB2312" w:eastAsia="仿宋_GB2312" w:cs="仿宋_GB2312"/>
          <w:b/>
          <w:bCs/>
          <w:sz w:val="24"/>
        </w:rPr>
        <w:t>注：以上目录是基本格式要求，各投标人可根据自身情况和评分标准进一步细化。</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r>
        <w:rPr>
          <w:rFonts w:hint="eastAsia" w:ascii="仿宋_GB2312" w:hAnsi="仿宋" w:eastAsia="仿宋_GB2312" w:cs="仿宋_GB2312"/>
          <w:b/>
          <w:kern w:val="0"/>
          <w:sz w:val="32"/>
          <w:szCs w:val="32"/>
          <w:lang w:val="zh-CN"/>
        </w:rPr>
        <w:t>（适用于非联合体投标）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rPr>
        <w:t>绍兴市人民医院</w:t>
      </w:r>
      <w:r>
        <w:rPr>
          <w:rFonts w:hint="eastAsia" w:ascii="仿宋_GB2312" w:hAnsi="宋体" w:eastAsia="仿宋_GB2312"/>
          <w:sz w:val="24"/>
          <w:u w:val="single"/>
          <w:lang w:val="en-US" w:eastAsia="zh-CN"/>
        </w:rPr>
        <w:t>工会</w:t>
      </w:r>
      <w:r>
        <w:rPr>
          <w:rFonts w:hint="eastAsia" w:ascii="仿宋_GB2312" w:hAnsi="宋体" w:eastAsia="仿宋_GB2312"/>
          <w:sz w:val="24"/>
          <w:u w:val="single"/>
        </w:rPr>
        <w:t>、</w:t>
      </w:r>
      <w:r>
        <w:rPr>
          <w:rFonts w:hint="eastAsia" w:ascii="仿宋_GB2312" w:hAnsi="宋体" w:eastAsia="仿宋_GB2312"/>
          <w:sz w:val="24"/>
          <w:u w:val="single"/>
          <w:lang w:val="en-US" w:eastAsia="zh-CN"/>
        </w:rPr>
        <w:t>华诚工程咨询集团有限公司</w:t>
      </w:r>
      <w:r>
        <w:rPr>
          <w:rFonts w:hint="eastAsia" w:ascii="仿宋_GB2312" w:hAnsi="宋体" w:eastAsia="仿宋_GB2312"/>
          <w:sz w:val="24"/>
        </w:rPr>
        <w:t>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投标人（公章）：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pageBreakBefore/>
        <w:spacing w:line="800" w:lineRule="exact"/>
        <w:jc w:val="center"/>
        <w:rPr>
          <w:rFonts w:ascii="仿宋_GB2312" w:hAnsi="宋体" w:eastAsia="仿宋_GB2312"/>
          <w:b/>
          <w:sz w:val="30"/>
          <w:szCs w:val="30"/>
        </w:rPr>
      </w:pPr>
      <w:r>
        <w:rPr>
          <w:rFonts w:hint="eastAsia" w:ascii="仿宋_GB2312" w:hAnsi="宋体" w:eastAsia="仿宋_GB2312"/>
          <w:b/>
          <w:sz w:val="30"/>
          <w:szCs w:val="30"/>
        </w:rPr>
        <w:t xml:space="preserve">法定代表人授权委托书（格式） </w:t>
      </w:r>
      <w:r>
        <w:rPr>
          <w:rFonts w:hint="eastAsia" w:ascii="仿宋_GB2312" w:hAnsi="仿宋" w:eastAsia="仿宋_GB2312" w:cs="仿宋_GB2312"/>
          <w:b/>
          <w:kern w:val="0"/>
          <w:sz w:val="32"/>
          <w:szCs w:val="32"/>
          <w:lang w:val="zh-CN"/>
        </w:rPr>
        <w:t>（适用于联合体投标）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w:t>
      </w: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的（填写姓名）为我方授权代表，</w:t>
      </w:r>
      <w:r>
        <w:rPr>
          <w:rFonts w:hint="eastAsia" w:ascii="仿宋_GB2312" w:hAnsi="宋体" w:eastAsia="仿宋_GB2312"/>
          <w:sz w:val="24"/>
          <w:u w:val="single"/>
        </w:rPr>
        <w:t>（填写身份证号码：                       ）</w:t>
      </w:r>
      <w:r>
        <w:rPr>
          <w:rFonts w:hint="eastAsia" w:ascii="仿宋_GB2312" w:hAnsi="宋体" w:eastAsia="仿宋_GB2312"/>
          <w:sz w:val="24"/>
        </w:rPr>
        <w:t>。以我方的名义参加</w:t>
      </w:r>
      <w:r>
        <w:rPr>
          <w:rFonts w:hint="eastAsia" w:ascii="仿宋_GB2312" w:hAnsi="宋体" w:eastAsia="仿宋_GB2312"/>
          <w:sz w:val="24"/>
          <w:u w:val="single"/>
        </w:rPr>
        <w:t>绍兴市人民医院</w:t>
      </w:r>
      <w:r>
        <w:rPr>
          <w:rFonts w:hint="eastAsia" w:ascii="仿宋_GB2312" w:hAnsi="宋体" w:eastAsia="仿宋_GB2312"/>
          <w:sz w:val="24"/>
          <w:u w:val="single"/>
          <w:lang w:val="en-US" w:eastAsia="zh-CN"/>
        </w:rPr>
        <w:t>工会</w:t>
      </w:r>
      <w:r>
        <w:rPr>
          <w:rFonts w:hint="eastAsia" w:ascii="仿宋_GB2312" w:hAnsi="宋体" w:eastAsia="仿宋_GB2312"/>
          <w:sz w:val="24"/>
          <w:highlight w:val="none"/>
          <w:u w:val="single"/>
        </w:rPr>
        <w:t>、</w:t>
      </w:r>
      <w:r>
        <w:rPr>
          <w:rFonts w:hint="eastAsia" w:ascii="仿宋_GB2312" w:hAnsi="宋体" w:eastAsia="仿宋_GB2312"/>
          <w:sz w:val="24"/>
          <w:highlight w:val="none"/>
          <w:u w:val="single"/>
          <w:lang w:val="en-US" w:eastAsia="zh-CN"/>
        </w:rPr>
        <w:t>华诚工程咨询集团有限公司</w:t>
      </w:r>
      <w:r>
        <w:rPr>
          <w:rFonts w:hint="eastAsia" w:ascii="仿宋_GB2312" w:hAnsi="宋体" w:eastAsia="仿宋_GB2312"/>
          <w:sz w:val="24"/>
          <w:highlight w:val="none"/>
        </w:rPr>
        <w:t>组</w:t>
      </w:r>
      <w:r>
        <w:rPr>
          <w:rFonts w:hint="eastAsia" w:ascii="仿宋_GB2312" w:hAnsi="宋体" w:eastAsia="仿宋_GB2312"/>
          <w:sz w:val="24"/>
        </w:rPr>
        <w:t>织的投标活动。授权代表在开标、评标、合同谈判过程中所签署的一切</w:t>
      </w:r>
      <w:r>
        <w:rPr>
          <w:rFonts w:hint="eastAsia" w:ascii="仿宋_GB2312" w:hAnsi="宋体" w:eastAsia="仿宋_GB2312"/>
          <w:sz w:val="24"/>
          <w:lang w:val="en-US" w:eastAsia="zh-CN"/>
        </w:rPr>
        <w:t>工会</w:t>
      </w:r>
      <w:r>
        <w:rPr>
          <w:rFonts w:hint="eastAsia" w:ascii="仿宋_GB2312" w:hAnsi="宋体" w:eastAsia="仿宋_GB2312"/>
          <w:sz w:val="24"/>
        </w:rPr>
        <w:t>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jc w:val="center"/>
        <w:rPr>
          <w:rFonts w:ascii="仿宋_GB2312" w:hAnsi="仿宋" w:eastAsia="仿宋_GB2312" w:cs="仿宋_GB2312"/>
          <w:b/>
          <w:kern w:val="0"/>
          <w:sz w:val="32"/>
          <w:szCs w:val="32"/>
        </w:rPr>
      </w:pPr>
    </w:p>
    <w:p/>
    <w:p>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(公章)：</w:t>
      </w:r>
    </w:p>
    <w:p>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800" w:lineRule="exact"/>
        <w:rPr>
          <w:rFonts w:ascii="仿宋_GB2312" w:hAnsi="宋体" w:eastAsia="仿宋_GB2312"/>
          <w:b/>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；如由第三方代理社保事项的，则需提供委托代理协议复印件），格式自拟。</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（公章）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   月   日</w:t>
      </w:r>
    </w:p>
    <w:p>
      <w:pPr>
        <w:pageBreakBefore/>
        <w:spacing w:afterLines="100"/>
        <w:rPr>
          <w:rFonts w:ascii="仿宋_GB2312" w:hAnsi="仿宋_GB2312" w:eastAsia="仿宋_GB2312" w:cs="仿宋_GB2312"/>
          <w:b/>
          <w:kern w:val="0"/>
          <w:sz w:val="32"/>
          <w:szCs w:val="32"/>
        </w:rPr>
      </w:pPr>
      <w:r>
        <w:rPr>
          <w:rFonts w:hint="eastAsia" w:ascii="仿宋_GB2312" w:hAnsi="宋体" w:eastAsia="仿宋_GB2312"/>
          <w:b/>
          <w:sz w:val="30"/>
          <w:szCs w:val="30"/>
        </w:rPr>
        <w:t>5、资格审查有关的书面承诺函</w:t>
      </w:r>
    </w:p>
    <w:p>
      <w:pPr>
        <w:snapToGrid w:val="0"/>
        <w:spacing w:line="440" w:lineRule="exact"/>
        <w:rPr>
          <w:rFonts w:ascii="仿宋" w:hAnsi="仿宋" w:eastAsia="仿宋" w:cs="仿宋_GB2312"/>
          <w:sz w:val="24"/>
        </w:rPr>
      </w:pPr>
      <w:r>
        <w:rPr>
          <w:rFonts w:hint="eastAsia" w:ascii="仿宋_GB2312" w:hAnsi="仿宋_GB2312" w:eastAsia="仿宋_GB2312" w:cs="仿宋_GB2312"/>
          <w:sz w:val="24"/>
        </w:rPr>
        <w:t>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华诚工程咨询集团有限公司</w:t>
      </w:r>
      <w:r>
        <w:rPr>
          <w:rFonts w:hint="eastAsia" w:ascii="仿宋_GB2312" w:hAnsi="仿宋_GB2312" w:eastAsia="仿宋_GB2312" w:cs="仿宋_GB2312"/>
          <w:kern w:val="0"/>
          <w:sz w:val="24"/>
          <w:lang w:val="zh-CN"/>
        </w:rPr>
        <w:t>：</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我方郑重承诺，已具有</w:t>
      </w:r>
      <w:r>
        <w:rPr>
          <w:rFonts w:hint="eastAsia" w:ascii="仿宋_GB2312" w:hAnsi="仿宋" w:eastAsia="仿宋_GB2312" w:cs="仿宋_GB2312"/>
          <w:sz w:val="24"/>
          <w:u w:val="single"/>
          <w:lang w:eastAsia="zh-CN"/>
        </w:rPr>
        <w:t>（</w:t>
      </w:r>
      <w:r>
        <w:rPr>
          <w:rFonts w:hint="eastAsia" w:ascii="仿宋_GB2312" w:hAnsi="仿宋" w:eastAsia="仿宋_GB2312" w:cs="仿宋_GB2312"/>
          <w:sz w:val="24"/>
          <w:u w:val="single"/>
          <w:lang w:val="en-US" w:eastAsia="zh-CN"/>
        </w:rPr>
        <w:t>项目名称</w:t>
      </w:r>
      <w:r>
        <w:rPr>
          <w:rFonts w:hint="eastAsia" w:ascii="仿宋_GB2312" w:hAnsi="仿宋" w:eastAsia="仿宋_GB2312" w:cs="仿宋_GB2312"/>
          <w:sz w:val="24"/>
          <w:u w:val="single"/>
          <w:lang w:eastAsia="zh-CN"/>
        </w:rPr>
        <w:t>）</w:t>
      </w:r>
      <w:r>
        <w:rPr>
          <w:rFonts w:hint="eastAsia" w:ascii="仿宋_GB2312" w:hAnsi="仿宋" w:eastAsia="仿宋_GB2312" w:cs="仿宋_GB2312"/>
          <w:sz w:val="24"/>
        </w:rPr>
        <w:t>（招标编号:）招标文件中关于申请人资格要求的下列条件：</w:t>
      </w:r>
    </w:p>
    <w:p>
      <w:pPr>
        <w:pStyle w:val="68"/>
        <w:widowControl w:val="0"/>
        <w:spacing w:afterLines="0" w:line="440" w:lineRule="exact"/>
        <w:ind w:firstLine="480"/>
        <w:jc w:val="left"/>
        <w:rPr>
          <w:rFonts w:ascii="仿宋_GB2312" w:hAnsi="仿宋" w:eastAsia="仿宋_GB2312" w:cs="仿宋_GB2312"/>
        </w:rPr>
      </w:pPr>
      <w:r>
        <w:rPr>
          <w:rFonts w:hint="eastAsia" w:ascii="仿宋_GB2312" w:hAnsi="仿宋" w:eastAsia="仿宋_GB2312" w:cs="仿宋_GB2312"/>
        </w:rPr>
        <w:t>1、</w:t>
      </w:r>
      <w:r>
        <w:rPr>
          <w:rFonts w:hint="eastAsia" w:ascii="仿宋_GB2312" w:hAnsi="新宋体" w:eastAsia="仿宋_GB2312"/>
          <w:szCs w:val="24"/>
        </w:rPr>
        <w:t>符合《中华人民共和国政府采购法》第二十二条的规定：</w:t>
      </w:r>
    </w:p>
    <w:p>
      <w:pPr>
        <w:pStyle w:val="23"/>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(一）具有独立承担民事责任的能力（</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(二）具有良好的商业信誉和健全的财务会计制度；</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(三）具有履行合同所必需的设备和专业技术能力；</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(四）有依法缴纳税收和社会保障资金的良好记录；</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 w:eastAsia="仿宋_GB2312" w:cs="仿宋_GB2312"/>
          <w:sz w:val="24"/>
        </w:rPr>
        <w:t>(五）参加政府采购活动前三年内，在经营活动中没有重大违法记录。</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声明参加本次政府采购活动前三年内未</w:t>
      </w:r>
      <w:r>
        <w:rPr>
          <w:rFonts w:hint="eastAsia" w:ascii="仿宋_GB2312" w:hAnsi="仿宋_GB2312" w:eastAsia="仿宋_GB2312" w:cs="仿宋_GB2312"/>
          <w:sz w:val="24"/>
          <w:szCs w:val="20"/>
        </w:rPr>
        <w:t>被列入“黑名单”</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rPr>
          <w:rFonts w:ascii="仿宋_GB2312" w:hAnsi="仿宋_GB2312" w:eastAsia="仿宋_GB2312" w:cs="仿宋_GB2312"/>
          <w:b/>
          <w:sz w:val="30"/>
          <w:szCs w:val="30"/>
        </w:rPr>
      </w:pPr>
    </w:p>
    <w:p>
      <w:pPr>
        <w:snapToGrid w:val="0"/>
        <w:spacing w:line="360" w:lineRule="auto"/>
        <w:rPr>
          <w:rFonts w:ascii="仿宋_GB2312" w:hAnsi="仿宋_GB2312" w:eastAsia="仿宋_GB2312" w:cs="仿宋_GB2312"/>
          <w:b/>
          <w:sz w:val="30"/>
          <w:szCs w:val="30"/>
        </w:rPr>
      </w:pPr>
    </w:p>
    <w:p>
      <w:pPr>
        <w:pageBreakBefore/>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6、特定资格条件要求的资质文件（复印件）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（由投标人根据招标公告合格的投标人应具备的特定资格条件要求编制）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7、投标人售后服务能力证明材料</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4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Style w:val="194"/>
        <w:pageBreakBefore/>
        <w:ind w:firstLine="0"/>
        <w:jc w:val="both"/>
        <w:rPr>
          <w:rFonts w:hAnsi="仿宋_GB2312" w:cs="仿宋_GB2312"/>
        </w:rPr>
      </w:pPr>
      <w:r>
        <w:rPr>
          <w:rFonts w:hint="eastAsia" w:hAnsi="仿宋_GB2312" w:cs="仿宋_GB2312"/>
        </w:rPr>
        <w:t>9、廉政承诺书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绍兴市人民医院</w:t>
      </w:r>
      <w:r>
        <w:rPr>
          <w:rFonts w:hint="eastAsia" w:ascii="仿宋_GB2312" w:hAnsi="仿宋_GB2312" w:eastAsia="仿宋_GB2312" w:cs="仿宋_GB2312"/>
          <w:sz w:val="24"/>
          <w:lang w:val="en-US" w:eastAsia="zh-CN"/>
        </w:rPr>
        <w:t>工会</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、技术偏离说明表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、售后服务方案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附表A:售后服务机构情况表</w:t>
      </w:r>
      <w:r>
        <w:rPr>
          <w:rFonts w:hint="eastAsia" w:ascii="仿宋_GB2312" w:hAnsi="仿宋_GB2312" w:eastAsia="仿宋_GB2312" w:cs="仿宋_GB2312"/>
          <w:sz w:val="24"/>
        </w:rPr>
        <w:t>（按此格式自制）</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16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机构名称</w:t>
            </w:r>
          </w:p>
        </w:tc>
        <w:tc>
          <w:tcPr>
            <w:tcW w:w="162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机构性质</w:t>
            </w:r>
          </w:p>
        </w:tc>
        <w:tc>
          <w:tcPr>
            <w:tcW w:w="1245"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注册地址</w:t>
            </w:r>
          </w:p>
        </w:tc>
        <w:tc>
          <w:tcPr>
            <w:tcW w:w="2175"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服务技术人员数量</w:t>
            </w:r>
          </w:p>
        </w:tc>
        <w:tc>
          <w:tcPr>
            <w:tcW w:w="1260" w:type="dxa"/>
          </w:tcPr>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_GB2312" w:eastAsia="仿宋_GB2312" w:cs="仿宋_GB2312"/>
                <w:sz w:val="24"/>
              </w:rPr>
            </w:pPr>
          </w:p>
        </w:tc>
        <w:tc>
          <w:tcPr>
            <w:tcW w:w="2160" w:type="dxa"/>
          </w:tcPr>
          <w:p>
            <w:pPr>
              <w:autoSpaceDE w:val="0"/>
              <w:autoSpaceDN w:val="0"/>
              <w:spacing w:line="360" w:lineRule="auto"/>
              <w:jc w:val="center"/>
              <w:rPr>
                <w:rFonts w:ascii="仿宋_GB2312" w:hAnsi="仿宋_GB2312" w:eastAsia="仿宋_GB2312" w:cs="仿宋_GB2312"/>
                <w:sz w:val="24"/>
              </w:rPr>
            </w:pPr>
          </w:p>
        </w:tc>
        <w:tc>
          <w:tcPr>
            <w:tcW w:w="1620" w:type="dxa"/>
          </w:tcPr>
          <w:p>
            <w:pPr>
              <w:autoSpaceDE w:val="0"/>
              <w:autoSpaceDN w:val="0"/>
              <w:spacing w:line="360" w:lineRule="auto"/>
              <w:jc w:val="center"/>
              <w:rPr>
                <w:rFonts w:ascii="仿宋_GB2312" w:hAnsi="仿宋_GB2312" w:eastAsia="仿宋_GB2312" w:cs="仿宋_GB2312"/>
                <w:sz w:val="24"/>
              </w:rPr>
            </w:pPr>
          </w:p>
        </w:tc>
        <w:tc>
          <w:tcPr>
            <w:tcW w:w="1245" w:type="dxa"/>
          </w:tcPr>
          <w:p>
            <w:pPr>
              <w:autoSpaceDE w:val="0"/>
              <w:autoSpaceDN w:val="0"/>
              <w:spacing w:line="360" w:lineRule="auto"/>
              <w:jc w:val="center"/>
              <w:rPr>
                <w:rFonts w:ascii="仿宋_GB2312" w:hAnsi="仿宋_GB2312" w:eastAsia="仿宋_GB2312" w:cs="仿宋_GB2312"/>
                <w:sz w:val="24"/>
              </w:rPr>
            </w:pPr>
          </w:p>
        </w:tc>
        <w:tc>
          <w:tcPr>
            <w:tcW w:w="2175" w:type="dxa"/>
          </w:tcPr>
          <w:p>
            <w:pPr>
              <w:autoSpaceDE w:val="0"/>
              <w:autoSpaceDN w:val="0"/>
              <w:spacing w:line="360" w:lineRule="auto"/>
              <w:jc w:val="center"/>
              <w:rPr>
                <w:rFonts w:ascii="仿宋_GB2312" w:hAnsi="仿宋_GB2312" w:eastAsia="仿宋_GB2312" w:cs="仿宋_GB2312"/>
                <w:sz w:val="24"/>
              </w:rPr>
            </w:pPr>
          </w:p>
        </w:tc>
        <w:tc>
          <w:tcPr>
            <w:tcW w:w="1260" w:type="dxa"/>
          </w:tcPr>
          <w:p>
            <w:pPr>
              <w:autoSpaceDE w:val="0"/>
              <w:autoSpaceDN w:val="0"/>
              <w:spacing w:line="360" w:lineRule="auto"/>
              <w:jc w:val="center"/>
              <w:rPr>
                <w:rFonts w:ascii="仿宋_GB2312" w:hAnsi="仿宋_GB2312" w:eastAsia="仿宋_GB2312" w:cs="仿宋_GB2312"/>
                <w:sz w:val="24"/>
              </w:rPr>
            </w:pPr>
          </w:p>
        </w:tc>
      </w:tr>
    </w:tbl>
    <w:p>
      <w:pPr>
        <w:autoSpaceDE w:val="0"/>
        <w:autoSpaceDN w:val="0"/>
        <w:rPr>
          <w:rFonts w:ascii="仿宋_GB2312" w:hAnsi="仿宋_GB2312" w:eastAsia="仿宋_GB2312" w:cs="仿宋_GB2312"/>
          <w:b/>
          <w:sz w:val="24"/>
        </w:rPr>
      </w:pPr>
      <w:r>
        <w:rPr>
          <w:rFonts w:hint="eastAsia" w:ascii="仿宋_GB2312" w:hAnsi="仿宋_GB2312" w:eastAsia="仿宋_GB2312" w:cs="仿宋_GB2312"/>
          <w:b/>
          <w:sz w:val="24"/>
        </w:rPr>
        <w:t>注：关于项目涉及的所有售后服务机构均在本表注明，包括投标人本单位和符合条件的第三方服务机构。</w:t>
      </w:r>
    </w:p>
    <w:p>
      <w:pPr>
        <w:autoSpaceDE w:val="0"/>
        <w:autoSpaceDN w:val="0"/>
        <w:rPr>
          <w:rFonts w:ascii="仿宋_GB2312" w:hAnsi="仿宋_GB2312" w:eastAsia="仿宋_GB2312" w:cs="仿宋_GB2312"/>
          <w:kern w:val="0"/>
          <w:sz w:val="24"/>
        </w:rPr>
      </w:pPr>
      <w:r>
        <w:rPr>
          <w:rFonts w:hint="eastAsia" w:ascii="仿宋_GB2312" w:hAnsi="仿宋_GB2312" w:eastAsia="仿宋_GB2312" w:cs="仿宋_GB2312"/>
          <w:b/>
          <w:kern w:val="0"/>
          <w:sz w:val="24"/>
        </w:rPr>
        <w:t>附表B：售后服务人员情况表</w:t>
      </w:r>
      <w:r>
        <w:rPr>
          <w:rFonts w:hint="eastAsia" w:ascii="仿宋_GB2312" w:hAnsi="仿宋_GB2312" w:eastAsia="仿宋_GB2312" w:cs="仿宋_GB2312"/>
          <w:sz w:val="24"/>
        </w:rPr>
        <w:t>（按此格式自制）</w:t>
      </w:r>
    </w:p>
    <w:tbl>
      <w:tblPr>
        <w:tblStyle w:val="41"/>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_GB2312" w:hAnsi="仿宋_GB2312" w:eastAsia="仿宋_GB2312" w:cs="仿宋_GB2312"/>
                <w:sz w:val="24"/>
              </w:rPr>
            </w:pPr>
            <w:r>
              <w:rPr>
                <w:rFonts w:hint="eastAsia" w:ascii="仿宋_GB2312" w:hAnsi="仿宋_GB2312" w:eastAsia="仿宋_GB2312" w:cs="仿宋_GB2312"/>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rPr>
            </w:pPr>
            <w:r>
              <w:rPr>
                <w:rFonts w:ascii="仿宋_GB2312" w:hAnsi="仿宋_GB2312" w:eastAsia="仿宋_GB2312" w:cs="仿宋_GB2312"/>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rPr>
            </w:pPr>
          </w:p>
        </w:tc>
      </w:tr>
    </w:tbl>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优惠条件及特殊承诺</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18"/>
          <w:szCs w:val="18"/>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b/>
          <w:bCs/>
          <w:sz w:val="18"/>
          <w:szCs w:val="18"/>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jc w:val="both"/>
        <w:rPr>
          <w:rFonts w:ascii="仿宋_GB2312" w:hAnsi="仿宋_GB2312" w:eastAsia="仿宋_GB2312" w:cs="仿宋_GB2312"/>
          <w:b/>
          <w:bCs/>
          <w:sz w:val="24"/>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_x0000_s1026"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path/>
            <v:fill focussize="0,0"/>
            <v:stroke miterlimit="2"/>
            <v:imagedata o:title=""/>
            <o:lock v:ext="edit"/>
          </v:rect>
        </w:pict>
      </w:r>
      <w:r>
        <w:rPr>
          <w:rFonts w:ascii="仿宋" w:hAnsi="仿宋" w:eastAsia="仿宋"/>
          <w:b/>
          <w:bCs/>
          <w:sz w:val="24"/>
        </w:rPr>
        <w:pict>
          <v:rect id="_x0000_s1028" o:spid="_x0000_s1028"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rPr>
          <w:rFonts w:ascii="仿宋_GB2312" w:eastAsia="仿宋_GB2312"/>
          <w:b/>
          <w:sz w:val="32"/>
          <w:szCs w:val="32"/>
        </w:rPr>
      </w:pPr>
      <w:r>
        <w:rPr>
          <w:rFonts w:hint="eastAsia" w:ascii="仿宋_GB2312" w:eastAsia="仿宋_GB2312"/>
          <w:b/>
          <w:sz w:val="32"/>
          <w:szCs w:val="32"/>
        </w:rPr>
        <w:t>中小企业声明函</w:t>
      </w:r>
    </w:p>
    <w:p>
      <w:pPr>
        <w:rPr>
          <w:rFonts w:ascii="仿宋_GB2312" w:eastAsia="仿宋_GB2312"/>
          <w:b/>
          <w:sz w:val="32"/>
          <w:szCs w:val="32"/>
        </w:rPr>
      </w:pPr>
      <w:r>
        <w:rPr>
          <w:rFonts w:hint="eastAsia" w:ascii="仿宋_GB2312" w:hAnsi="仿宋" w:eastAsia="仿宋_GB2312" w:cs="仿宋_GB2312"/>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r>
        <w:rPr>
          <w:rFonts w:ascii="仿宋_GB2312" w:hAnsi="仿宋" w:eastAsia="仿宋_GB2312" w:cs="仿宋_GB2312"/>
          <w:b/>
          <w:sz w:val="24"/>
        </w:rPr>
        <w:t>。</w:t>
      </w:r>
      <w:r>
        <w:rPr>
          <w:rFonts w:hint="eastAsia" w:ascii="仿宋_GB2312" w:hAnsi="仿宋" w:eastAsia="仿宋_GB2312" w:cs="仿宋_GB2312"/>
          <w:b/>
          <w:sz w:val="24"/>
        </w:rPr>
        <w:t>]</w:t>
      </w:r>
    </w:p>
    <w:p>
      <w:pPr>
        <w:pageBreakBefore/>
        <w:rPr>
          <w:rFonts w:ascii="仿宋_GB2312" w:hAnsi="仿宋_GB2312" w:eastAsia="仿宋_GB2312" w:cs="仿宋_GB2312"/>
          <w:b/>
          <w:sz w:val="32"/>
          <w:szCs w:val="32"/>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p>
    <w:p>
      <w:pPr>
        <w:jc w:val="center"/>
        <w:rPr>
          <w:rFonts w:ascii="仿宋_GB2312" w:hAnsi="仿宋_GB2312" w:eastAsia="仿宋_GB2312" w:cs="仿宋_GB2312"/>
          <w:b/>
          <w:sz w:val="32"/>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pageBreakBefore/>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 w:hAnsi="仿宋" w:eastAsia="仿宋"/>
          <w:b/>
          <w:sz w:val="24"/>
        </w:rPr>
      </w:pPr>
      <w:r>
        <w:rPr>
          <w:rFonts w:hint="eastAsia" w:ascii="仿宋" w:hAnsi="仿宋" w:eastAsia="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p>
    <w:p>
      <w:pPr>
        <w:pageBreakBefore/>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6" o:spt="75" type="#_x0000_t75" style="height:42pt;width:390pt;" o:ole="t" filled="f" o:preferrelative="t" stroked="f" coordsize="21600,21600">
            <v:path/>
            <v:fill on="f" focussize="0,0"/>
            <v:stroke on="f"/>
            <v:imagedata r:id="rId17" o:title=""/>
            <o:lock v:ext="edit" aspectratio="t"/>
            <w10:wrap type="none"/>
            <w10:anchorlock/>
          </v:shape>
          <o:OLEObject Type="Embed" ProgID="Package" ShapeID="_x0000_i1026" DrawAspect="Content" ObjectID="_1468075726" r:id="rId18">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400" w:lineRule="exact"/>
        <w:rPr>
          <w:rFonts w:ascii="仿宋_GB2312" w:hAnsi="宋体" w:eastAsia="仿宋_GB2312"/>
          <w:b/>
          <w:sz w:val="24"/>
        </w:rPr>
      </w:pPr>
      <w:r>
        <w:rPr>
          <w:rFonts w:ascii="仿宋_GB2312" w:hAnsi="宋体" w:eastAsia="仿宋_GB2312"/>
          <w:b/>
          <w:sz w:val="24"/>
        </w:rPr>
        <w:t>注</w:t>
      </w:r>
      <w:r>
        <w:rPr>
          <w:rFonts w:hint="eastAsia" w:ascii="仿宋_GB2312" w:hAnsi="宋体" w:eastAsia="仿宋_GB2312"/>
          <w:b/>
          <w:sz w:val="24"/>
        </w:rPr>
        <w:t>：</w:t>
      </w:r>
      <w:r>
        <w:rPr>
          <w:rFonts w:hint="eastAsia" w:ascii="仿宋_GB2312" w:hAnsi="仿宋_GB2312" w:eastAsia="仿宋_GB2312" w:cs="仿宋_GB2312"/>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360" w:lineRule="auto"/>
        <w:jc w:val="center"/>
        <w:outlineLvl w:val="0"/>
        <w:rPr>
          <w:rFonts w:ascii="仿宋_GB2312" w:hAnsi="仿宋_GB2312" w:eastAsia="仿宋_GB2312" w:cs="仿宋_GB2312"/>
          <w:b/>
          <w:kern w:val="0"/>
          <w:sz w:val="36"/>
          <w:szCs w:val="36"/>
        </w:rPr>
        <w:sectPr>
          <w:headerReference r:id="rId10" w:type="first"/>
          <w:footerReference r:id="rId12" w:type="first"/>
          <w:footerReference r:id="rId11" w:type="default"/>
          <w:pgSz w:w="11905" w:h="16838"/>
          <w:pgMar w:top="1417" w:right="1417" w:bottom="1417" w:left="1417" w:header="850" w:footer="850" w:gutter="0"/>
          <w:pgNumType w:fmt="decimal"/>
          <w:cols w:space="0" w:num="1"/>
          <w:titlePg/>
          <w:docGrid w:linePitch="312" w:charSpace="0"/>
        </w:sect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ascii="宋体" w:hAnsi="宋体" w:cs="宋体"/>
          <w:b/>
          <w:bCs/>
          <w:kern w:val="0"/>
          <w:sz w:val="36"/>
          <w:szCs w:val="36"/>
        </w:rPr>
      </w:pPr>
      <w:r>
        <w:rPr>
          <w:rFonts w:ascii="宋体" w:hAnsi="宋体" w:cs="宋体"/>
          <w:b/>
          <w:bCs/>
          <w:kern w:val="0"/>
          <w:sz w:val="36"/>
          <w:szCs w:val="36"/>
        </w:rPr>
        <w:t>国家统计局关于印发《统计上</w:t>
      </w:r>
      <w:r>
        <w:rPr>
          <w:rFonts w:ascii="宋体" w:hAnsi="宋体" w:cs="宋体"/>
          <w:b/>
          <w:bCs/>
          <w:kern w:val="0"/>
          <w:sz w:val="36"/>
          <w:szCs w:val="36"/>
        </w:rPr>
        <w:br w:type="textWrapping"/>
      </w:r>
      <w:r>
        <w:rPr>
          <w:rFonts w:ascii="宋体" w:hAnsi="宋体" w:cs="宋体"/>
          <w:b/>
          <w:bCs/>
          <w:kern w:val="0"/>
          <w:sz w:val="36"/>
          <w:szCs w:val="36"/>
        </w:rPr>
        <w:t>大中小微型企业划分办法（2017）》的通知</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宋体" w:hAnsi="宋体" w:cs="宋体"/>
          <w:kern w:val="0"/>
          <w:szCs w:val="21"/>
        </w:rPr>
      </w:pPr>
      <w:r>
        <w:rPr>
          <w:rFonts w:ascii="宋体" w:hAnsi="宋体"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宋体" w:hAnsi="宋体" w:cs="宋体"/>
          <w:kern w:val="0"/>
          <w:szCs w:val="21"/>
        </w:rPr>
      </w:pPr>
      <w:r>
        <w:rPr>
          <w:rFonts w:ascii="宋体" w:hAnsi="宋体" w:cs="宋体"/>
          <w:kern w:val="0"/>
          <w:szCs w:val="21"/>
        </w:rPr>
        <w:t>国家统计局  </w:t>
      </w:r>
    </w:p>
    <w:p>
      <w:pPr>
        <w:widowControl/>
        <w:shd w:val="clear" w:color="auto" w:fill="FFFFFF"/>
        <w:spacing w:before="150" w:line="420" w:lineRule="atLeast"/>
        <w:ind w:right="825"/>
        <w:jc w:val="right"/>
        <w:textAlignment w:val="baseline"/>
        <w:rPr>
          <w:rFonts w:ascii="宋体" w:hAnsi="宋体" w:cs="宋体"/>
          <w:kern w:val="0"/>
          <w:szCs w:val="21"/>
        </w:rPr>
      </w:pPr>
      <w:r>
        <w:rPr>
          <w:rFonts w:ascii="宋体" w:hAnsi="宋体" w:cs="宋体"/>
          <w:kern w:val="0"/>
          <w:szCs w:val="21"/>
        </w:rPr>
        <w:t>2017年12月28日</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统计上大中小微型企业划分办法（2017）</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附表：统计上大中小微型企业划分标准</w:t>
      </w:r>
    </w:p>
    <w:p>
      <w:pPr>
        <w:widowControl/>
        <w:jc w:val="left"/>
        <w:rPr>
          <w:rFonts w:ascii="宋体" w:hAnsi="宋体" w:cs="宋体"/>
          <w:kern w:val="0"/>
          <w:sz w:val="24"/>
        </w:rPr>
      </w:pPr>
      <w:r>
        <w:rPr>
          <w:rFonts w:ascii="宋体" w:hAnsi="宋体" w:cs="宋体"/>
          <w:kern w:val="0"/>
          <w:sz w:val="18"/>
          <w:szCs w:val="18"/>
        </w:rPr>
        <w:br w:type="textWrapping"/>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统计上大中小微型企业划分标准</w:t>
      </w:r>
    </w:p>
    <w:tbl>
      <w:tblPr>
        <w:tblStyle w:val="41"/>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行业名称</w:t>
            </w:r>
          </w:p>
        </w:tc>
        <w:tc>
          <w:tcPr>
            <w:tcW w:w="1560"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指标名称</w:t>
            </w:r>
          </w:p>
        </w:tc>
        <w:tc>
          <w:tcPr>
            <w:tcW w:w="67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计量单位</w:t>
            </w:r>
          </w:p>
        </w:tc>
        <w:tc>
          <w:tcPr>
            <w:tcW w:w="123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大型</w:t>
            </w:r>
          </w:p>
        </w:tc>
        <w:tc>
          <w:tcPr>
            <w:tcW w:w="1891"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中型</w:t>
            </w:r>
          </w:p>
        </w:tc>
        <w:tc>
          <w:tcPr>
            <w:tcW w:w="1730"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小型</w:t>
            </w:r>
          </w:p>
        </w:tc>
        <w:tc>
          <w:tcPr>
            <w:tcW w:w="1203"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ascii="宋体" w:hAnsi="宋体" w:cs="宋体"/>
                <w:kern w:val="0"/>
                <w:sz w:val="24"/>
              </w:rPr>
              <w:t>农、林、牧、渔业</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w:t>
            </w:r>
          </w:p>
        </w:tc>
        <w:tc>
          <w:tcPr>
            <w:tcW w:w="1891" w:type="dxa"/>
            <w:vAlign w:val="center"/>
          </w:tcPr>
          <w:p>
            <w:pPr>
              <w:widowControl/>
              <w:jc w:val="left"/>
              <w:rPr>
                <w:rFonts w:ascii="宋体" w:hAnsi="宋体" w:cs="宋体"/>
                <w:kern w:val="0"/>
                <w:sz w:val="24"/>
              </w:rPr>
            </w:pPr>
            <w:r>
              <w:rPr>
                <w:rFonts w:ascii="宋体" w:hAnsi="宋体" w:cs="宋体"/>
                <w:kern w:val="0"/>
                <w:sz w:val="24"/>
              </w:rPr>
              <w:t>500≤Y＜20000</w:t>
            </w:r>
          </w:p>
        </w:tc>
        <w:tc>
          <w:tcPr>
            <w:tcW w:w="1730" w:type="dxa"/>
            <w:vAlign w:val="center"/>
          </w:tcPr>
          <w:p>
            <w:pPr>
              <w:widowControl/>
              <w:jc w:val="left"/>
              <w:rPr>
                <w:rFonts w:ascii="宋体" w:hAnsi="宋体" w:cs="宋体"/>
                <w:kern w:val="0"/>
                <w:sz w:val="24"/>
              </w:rPr>
            </w:pPr>
            <w:r>
              <w:rPr>
                <w:rFonts w:ascii="宋体" w:hAnsi="宋体" w:cs="宋体"/>
                <w:kern w:val="0"/>
                <w:sz w:val="24"/>
              </w:rPr>
              <w:t>50≤Y＜500</w:t>
            </w:r>
          </w:p>
        </w:tc>
        <w:tc>
          <w:tcPr>
            <w:tcW w:w="1203" w:type="dxa"/>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工业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Y≥40000</w:t>
            </w:r>
          </w:p>
        </w:tc>
        <w:tc>
          <w:tcPr>
            <w:tcW w:w="1891" w:type="dxa"/>
            <w:vAlign w:val="center"/>
          </w:tcPr>
          <w:p>
            <w:pPr>
              <w:widowControl/>
              <w:jc w:val="left"/>
              <w:rPr>
                <w:rFonts w:ascii="宋体" w:hAnsi="宋体" w:cs="宋体"/>
                <w:kern w:val="0"/>
                <w:sz w:val="24"/>
              </w:rPr>
            </w:pPr>
            <w:r>
              <w:rPr>
                <w:rFonts w:ascii="宋体" w:hAnsi="宋体" w:cs="宋体"/>
                <w:kern w:val="0"/>
                <w:sz w:val="24"/>
              </w:rPr>
              <w:t>2000≤Y＜40000</w:t>
            </w:r>
          </w:p>
        </w:tc>
        <w:tc>
          <w:tcPr>
            <w:tcW w:w="1730" w:type="dxa"/>
            <w:vAlign w:val="center"/>
          </w:tcPr>
          <w:p>
            <w:pPr>
              <w:widowControl/>
              <w:jc w:val="left"/>
              <w:rPr>
                <w:rFonts w:ascii="宋体" w:hAnsi="宋体" w:cs="宋体"/>
                <w:kern w:val="0"/>
                <w:sz w:val="24"/>
              </w:rPr>
            </w:pPr>
            <w:r>
              <w:rPr>
                <w:rFonts w:ascii="宋体" w:hAnsi="宋体" w:cs="宋体"/>
                <w:kern w:val="0"/>
                <w:sz w:val="24"/>
              </w:rPr>
              <w:t>300≤Y＜2000</w:t>
            </w:r>
          </w:p>
        </w:tc>
        <w:tc>
          <w:tcPr>
            <w:tcW w:w="1203" w:type="dxa"/>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建筑业</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Y≥80000</w:t>
            </w:r>
          </w:p>
        </w:tc>
        <w:tc>
          <w:tcPr>
            <w:tcW w:w="1891" w:type="dxa"/>
            <w:vAlign w:val="center"/>
          </w:tcPr>
          <w:p>
            <w:pPr>
              <w:widowControl/>
              <w:jc w:val="left"/>
              <w:rPr>
                <w:rFonts w:ascii="宋体" w:hAnsi="宋体" w:cs="宋体"/>
                <w:kern w:val="0"/>
                <w:sz w:val="24"/>
              </w:rPr>
            </w:pPr>
            <w:r>
              <w:rPr>
                <w:rFonts w:ascii="宋体" w:hAnsi="宋体" w:cs="宋体"/>
                <w:kern w:val="0"/>
                <w:sz w:val="24"/>
              </w:rPr>
              <w:t>6000≤Y＜80000</w:t>
            </w:r>
          </w:p>
        </w:tc>
        <w:tc>
          <w:tcPr>
            <w:tcW w:w="1730" w:type="dxa"/>
            <w:vAlign w:val="center"/>
          </w:tcPr>
          <w:p>
            <w:pPr>
              <w:widowControl/>
              <w:jc w:val="left"/>
              <w:rPr>
                <w:rFonts w:ascii="宋体" w:hAnsi="宋体" w:cs="宋体"/>
                <w:kern w:val="0"/>
                <w:sz w:val="24"/>
              </w:rPr>
            </w:pPr>
            <w:r>
              <w:rPr>
                <w:rFonts w:ascii="宋体" w:hAnsi="宋体" w:cs="宋体"/>
                <w:kern w:val="0"/>
                <w:sz w:val="24"/>
              </w:rPr>
              <w:t>300≤Y＜6000</w:t>
            </w:r>
          </w:p>
        </w:tc>
        <w:tc>
          <w:tcPr>
            <w:tcW w:w="1203" w:type="dxa"/>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Z≥80000</w:t>
            </w:r>
          </w:p>
        </w:tc>
        <w:tc>
          <w:tcPr>
            <w:tcW w:w="1891" w:type="dxa"/>
            <w:vAlign w:val="center"/>
          </w:tcPr>
          <w:p>
            <w:pPr>
              <w:widowControl/>
              <w:jc w:val="left"/>
              <w:rPr>
                <w:rFonts w:ascii="宋体" w:hAnsi="宋体" w:cs="宋体"/>
                <w:kern w:val="0"/>
                <w:sz w:val="24"/>
              </w:rPr>
            </w:pPr>
            <w:r>
              <w:rPr>
                <w:rFonts w:ascii="宋体" w:hAnsi="宋体" w:cs="宋体"/>
                <w:kern w:val="0"/>
                <w:sz w:val="24"/>
              </w:rPr>
              <w:t>5000≤Z＜80000</w:t>
            </w:r>
          </w:p>
        </w:tc>
        <w:tc>
          <w:tcPr>
            <w:tcW w:w="1730" w:type="dxa"/>
            <w:vAlign w:val="center"/>
          </w:tcPr>
          <w:p>
            <w:pPr>
              <w:widowControl/>
              <w:jc w:val="left"/>
              <w:rPr>
                <w:rFonts w:ascii="宋体" w:hAnsi="宋体" w:cs="宋体"/>
                <w:kern w:val="0"/>
                <w:sz w:val="24"/>
              </w:rPr>
            </w:pPr>
            <w:r>
              <w:rPr>
                <w:rFonts w:ascii="宋体" w:hAnsi="宋体" w:cs="宋体"/>
                <w:kern w:val="0"/>
                <w:sz w:val="24"/>
              </w:rPr>
              <w:t>300≤Z＜5000</w:t>
            </w:r>
          </w:p>
        </w:tc>
        <w:tc>
          <w:tcPr>
            <w:tcW w:w="1203" w:type="dxa"/>
            <w:vAlign w:val="center"/>
          </w:tcPr>
          <w:p>
            <w:pPr>
              <w:widowControl/>
              <w:jc w:val="left"/>
              <w:rPr>
                <w:rFonts w:ascii="宋体" w:hAnsi="宋体" w:cs="宋体"/>
                <w:kern w:val="0"/>
                <w:sz w:val="24"/>
              </w:rPr>
            </w:pPr>
            <w:r>
              <w:rPr>
                <w:rFonts w:ascii="宋体" w:hAnsi="宋体" w:cs="宋体"/>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批发业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w:t>
            </w:r>
          </w:p>
        </w:tc>
        <w:tc>
          <w:tcPr>
            <w:tcW w:w="1891" w:type="dxa"/>
            <w:vAlign w:val="center"/>
          </w:tcPr>
          <w:p>
            <w:pPr>
              <w:widowControl/>
              <w:jc w:val="left"/>
              <w:rPr>
                <w:rFonts w:ascii="宋体" w:hAnsi="宋体" w:cs="宋体"/>
                <w:kern w:val="0"/>
                <w:sz w:val="24"/>
              </w:rPr>
            </w:pPr>
            <w:r>
              <w:rPr>
                <w:rFonts w:ascii="宋体" w:hAnsi="宋体" w:cs="宋体"/>
                <w:kern w:val="0"/>
                <w:sz w:val="24"/>
              </w:rPr>
              <w:t>20≤X＜200</w:t>
            </w:r>
          </w:p>
        </w:tc>
        <w:tc>
          <w:tcPr>
            <w:tcW w:w="1730" w:type="dxa"/>
            <w:vAlign w:val="center"/>
          </w:tcPr>
          <w:p>
            <w:pPr>
              <w:widowControl/>
              <w:jc w:val="left"/>
              <w:rPr>
                <w:rFonts w:ascii="宋体" w:hAnsi="宋体" w:cs="宋体"/>
                <w:kern w:val="0"/>
                <w:sz w:val="24"/>
              </w:rPr>
            </w:pPr>
            <w:r>
              <w:rPr>
                <w:rFonts w:ascii="宋体" w:hAnsi="宋体" w:cs="宋体"/>
                <w:kern w:val="0"/>
                <w:sz w:val="24"/>
              </w:rPr>
              <w:t>5≤X＜20</w:t>
            </w:r>
          </w:p>
        </w:tc>
        <w:tc>
          <w:tcPr>
            <w:tcW w:w="1203" w:type="dxa"/>
            <w:vAlign w:val="center"/>
          </w:tcPr>
          <w:p>
            <w:pPr>
              <w:widowControl/>
              <w:jc w:val="left"/>
              <w:rPr>
                <w:rFonts w:ascii="宋体" w:hAnsi="宋体" w:cs="宋体"/>
                <w:kern w:val="0"/>
                <w:sz w:val="24"/>
              </w:rPr>
            </w:pPr>
            <w:r>
              <w:rPr>
                <w:rFonts w:ascii="宋体" w:hAnsi="宋体" w:cs="宋体"/>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Y≥40000</w:t>
            </w:r>
          </w:p>
        </w:tc>
        <w:tc>
          <w:tcPr>
            <w:tcW w:w="1891" w:type="dxa"/>
            <w:vAlign w:val="center"/>
          </w:tcPr>
          <w:p>
            <w:pPr>
              <w:widowControl/>
              <w:jc w:val="left"/>
              <w:rPr>
                <w:rFonts w:ascii="宋体" w:hAnsi="宋体" w:cs="宋体"/>
                <w:kern w:val="0"/>
                <w:sz w:val="24"/>
              </w:rPr>
            </w:pPr>
            <w:r>
              <w:rPr>
                <w:rFonts w:ascii="宋体" w:hAnsi="宋体" w:cs="宋体"/>
                <w:kern w:val="0"/>
                <w:sz w:val="24"/>
              </w:rPr>
              <w:t>5000≤Y＜40000</w:t>
            </w:r>
          </w:p>
        </w:tc>
        <w:tc>
          <w:tcPr>
            <w:tcW w:w="1730" w:type="dxa"/>
            <w:vAlign w:val="center"/>
          </w:tcPr>
          <w:p>
            <w:pPr>
              <w:widowControl/>
              <w:jc w:val="left"/>
              <w:rPr>
                <w:rFonts w:ascii="宋体" w:hAnsi="宋体" w:cs="宋体"/>
                <w:kern w:val="0"/>
                <w:sz w:val="24"/>
              </w:rPr>
            </w:pPr>
            <w:r>
              <w:rPr>
                <w:rFonts w:ascii="宋体" w:hAnsi="宋体" w:cs="宋体"/>
                <w:kern w:val="0"/>
                <w:sz w:val="24"/>
              </w:rPr>
              <w:t>1000≤Y＜5000</w:t>
            </w:r>
          </w:p>
        </w:tc>
        <w:tc>
          <w:tcPr>
            <w:tcW w:w="1203" w:type="dxa"/>
            <w:vAlign w:val="center"/>
          </w:tcPr>
          <w:p>
            <w:pPr>
              <w:widowControl/>
              <w:jc w:val="left"/>
              <w:rPr>
                <w:rFonts w:ascii="宋体" w:hAnsi="宋体" w:cs="宋体"/>
                <w:kern w:val="0"/>
                <w:sz w:val="24"/>
              </w:rPr>
            </w:pPr>
            <w:r>
              <w:rPr>
                <w:rFonts w:ascii="宋体" w:hAnsi="宋体" w:cs="宋体"/>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零售业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50≤X＜300</w:t>
            </w:r>
          </w:p>
        </w:tc>
        <w:tc>
          <w:tcPr>
            <w:tcW w:w="1730" w:type="dxa"/>
            <w:vAlign w:val="center"/>
          </w:tcPr>
          <w:p>
            <w:pPr>
              <w:widowControl/>
              <w:jc w:val="left"/>
              <w:rPr>
                <w:rFonts w:ascii="宋体" w:hAnsi="宋体" w:cs="宋体"/>
                <w:kern w:val="0"/>
                <w:sz w:val="24"/>
              </w:rPr>
            </w:pPr>
            <w:r>
              <w:rPr>
                <w:rFonts w:ascii="宋体" w:hAnsi="宋体" w:cs="宋体"/>
                <w:kern w:val="0"/>
                <w:sz w:val="24"/>
              </w:rPr>
              <w:t>10≤X＜50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w:t>
            </w:r>
          </w:p>
        </w:tc>
        <w:tc>
          <w:tcPr>
            <w:tcW w:w="1891" w:type="dxa"/>
            <w:vAlign w:val="center"/>
          </w:tcPr>
          <w:p>
            <w:pPr>
              <w:widowControl/>
              <w:jc w:val="left"/>
              <w:rPr>
                <w:rFonts w:ascii="宋体" w:hAnsi="宋体" w:cs="宋体"/>
                <w:kern w:val="0"/>
                <w:sz w:val="24"/>
              </w:rPr>
            </w:pPr>
            <w:r>
              <w:rPr>
                <w:rFonts w:ascii="宋体" w:hAnsi="宋体" w:cs="宋体"/>
                <w:kern w:val="0"/>
                <w:sz w:val="24"/>
              </w:rPr>
              <w:t>500≤Y＜20000</w:t>
            </w:r>
          </w:p>
        </w:tc>
        <w:tc>
          <w:tcPr>
            <w:tcW w:w="1730" w:type="dxa"/>
            <w:vAlign w:val="center"/>
          </w:tcPr>
          <w:p>
            <w:pPr>
              <w:widowControl/>
              <w:jc w:val="left"/>
              <w:rPr>
                <w:rFonts w:ascii="宋体" w:hAnsi="宋体" w:cs="宋体"/>
                <w:kern w:val="0"/>
                <w:sz w:val="24"/>
              </w:rPr>
            </w:pPr>
            <w:r>
              <w:rPr>
                <w:rFonts w:ascii="宋体" w:hAnsi="宋体" w:cs="宋体"/>
                <w:kern w:val="0"/>
                <w:sz w:val="24"/>
              </w:rPr>
              <w:t>100≤Y＜500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交通运输业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3000≤Y＜30000</w:t>
            </w:r>
          </w:p>
        </w:tc>
        <w:tc>
          <w:tcPr>
            <w:tcW w:w="1730" w:type="dxa"/>
            <w:vAlign w:val="center"/>
          </w:tcPr>
          <w:p>
            <w:pPr>
              <w:widowControl/>
              <w:jc w:val="left"/>
              <w:rPr>
                <w:rFonts w:ascii="宋体" w:hAnsi="宋体" w:cs="宋体"/>
                <w:kern w:val="0"/>
                <w:sz w:val="24"/>
              </w:rPr>
            </w:pPr>
            <w:r>
              <w:rPr>
                <w:rFonts w:ascii="宋体" w:hAnsi="宋体" w:cs="宋体"/>
                <w:kern w:val="0"/>
                <w:sz w:val="24"/>
              </w:rPr>
              <w:t>200≤Y＜3000</w:t>
            </w:r>
          </w:p>
        </w:tc>
        <w:tc>
          <w:tcPr>
            <w:tcW w:w="1203" w:type="dxa"/>
            <w:vAlign w:val="center"/>
          </w:tcPr>
          <w:p>
            <w:pPr>
              <w:widowControl/>
              <w:jc w:val="left"/>
              <w:rPr>
                <w:rFonts w:ascii="宋体" w:hAnsi="宋体" w:cs="宋体"/>
                <w:kern w:val="0"/>
                <w:sz w:val="24"/>
              </w:rPr>
            </w:pPr>
            <w:r>
              <w:rPr>
                <w:rFonts w:ascii="宋体" w:hAnsi="宋体" w:cs="宋体"/>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仓储业*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w:t>
            </w:r>
          </w:p>
        </w:tc>
        <w:tc>
          <w:tcPr>
            <w:tcW w:w="1891" w:type="dxa"/>
            <w:vAlign w:val="center"/>
          </w:tcPr>
          <w:p>
            <w:pPr>
              <w:widowControl/>
              <w:jc w:val="left"/>
              <w:rPr>
                <w:rFonts w:ascii="宋体" w:hAnsi="宋体" w:cs="宋体"/>
                <w:kern w:val="0"/>
                <w:sz w:val="24"/>
              </w:rPr>
            </w:pPr>
            <w:r>
              <w:rPr>
                <w:rFonts w:ascii="宋体" w:hAnsi="宋体" w:cs="宋体"/>
                <w:kern w:val="0"/>
                <w:sz w:val="24"/>
              </w:rPr>
              <w:t>100≤X＜200</w:t>
            </w:r>
          </w:p>
        </w:tc>
        <w:tc>
          <w:tcPr>
            <w:tcW w:w="1730" w:type="dxa"/>
            <w:vAlign w:val="center"/>
          </w:tcPr>
          <w:p>
            <w:pPr>
              <w:widowControl/>
              <w:jc w:val="left"/>
              <w:rPr>
                <w:rFonts w:ascii="宋体" w:hAnsi="宋体" w:cs="宋体"/>
                <w:kern w:val="0"/>
                <w:sz w:val="24"/>
              </w:rPr>
            </w:pPr>
            <w:r>
              <w:rPr>
                <w:rFonts w:ascii="宋体" w:hAnsi="宋体" w:cs="宋体"/>
                <w:kern w:val="0"/>
                <w:sz w:val="24"/>
              </w:rPr>
              <w:t>20≤X＜100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1000≤Y＜30000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邮政业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20≤X＜300</w:t>
            </w:r>
          </w:p>
        </w:tc>
        <w:tc>
          <w:tcPr>
            <w:tcW w:w="1203" w:type="dxa"/>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Y≥30000</w:t>
            </w:r>
          </w:p>
        </w:tc>
        <w:tc>
          <w:tcPr>
            <w:tcW w:w="1891" w:type="dxa"/>
            <w:vAlign w:val="center"/>
          </w:tcPr>
          <w:p>
            <w:pPr>
              <w:widowControl/>
              <w:jc w:val="left"/>
              <w:rPr>
                <w:rFonts w:ascii="宋体" w:hAnsi="宋体" w:cs="宋体"/>
                <w:kern w:val="0"/>
                <w:sz w:val="24"/>
              </w:rPr>
            </w:pPr>
            <w:r>
              <w:rPr>
                <w:rFonts w:ascii="宋体" w:hAnsi="宋体" w:cs="宋体"/>
                <w:kern w:val="0"/>
                <w:sz w:val="24"/>
              </w:rPr>
              <w:t>2000≤Y＜30000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住宿业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餐饮业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ascii="宋体" w:hAnsi="宋体" w:cs="宋体"/>
                <w:kern w:val="0"/>
                <w:sz w:val="24"/>
              </w:rPr>
              <w:t>100≤Y＜2000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信息传输业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X≥2000</w:t>
            </w:r>
          </w:p>
        </w:tc>
        <w:tc>
          <w:tcPr>
            <w:tcW w:w="1891" w:type="dxa"/>
            <w:vAlign w:val="center"/>
          </w:tcPr>
          <w:p>
            <w:pPr>
              <w:widowControl/>
              <w:jc w:val="left"/>
              <w:rPr>
                <w:rFonts w:ascii="宋体" w:hAnsi="宋体" w:cs="宋体"/>
                <w:kern w:val="0"/>
                <w:sz w:val="24"/>
              </w:rPr>
            </w:pPr>
            <w:r>
              <w:rPr>
                <w:rFonts w:ascii="宋体" w:hAnsi="宋体" w:cs="宋体"/>
                <w:kern w:val="0"/>
                <w:sz w:val="24"/>
              </w:rPr>
              <w:t>100≤X＜2000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Y≥100000</w:t>
            </w:r>
          </w:p>
        </w:tc>
        <w:tc>
          <w:tcPr>
            <w:tcW w:w="1891" w:type="dxa"/>
            <w:vAlign w:val="center"/>
          </w:tcPr>
          <w:p>
            <w:pPr>
              <w:widowControl/>
              <w:jc w:val="left"/>
              <w:rPr>
                <w:rFonts w:ascii="宋体" w:hAnsi="宋体" w:cs="宋体"/>
                <w:kern w:val="0"/>
                <w:sz w:val="24"/>
              </w:rPr>
            </w:pPr>
            <w:r>
              <w:rPr>
                <w:rFonts w:ascii="宋体" w:hAnsi="宋体" w:cs="宋体"/>
                <w:kern w:val="0"/>
                <w:sz w:val="24"/>
              </w:rPr>
              <w:t>1000≤Y＜100000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软件和信息技术服务业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Y≥10000</w:t>
            </w:r>
          </w:p>
        </w:tc>
        <w:tc>
          <w:tcPr>
            <w:tcW w:w="1891" w:type="dxa"/>
            <w:vAlign w:val="center"/>
          </w:tcPr>
          <w:p>
            <w:pPr>
              <w:widowControl/>
              <w:jc w:val="left"/>
              <w:rPr>
                <w:rFonts w:ascii="宋体" w:hAnsi="宋体" w:cs="宋体"/>
                <w:kern w:val="0"/>
                <w:sz w:val="24"/>
              </w:rPr>
            </w:pPr>
            <w:r>
              <w:rPr>
                <w:rFonts w:ascii="宋体" w:hAnsi="宋体" w:cs="宋体"/>
                <w:kern w:val="0"/>
                <w:sz w:val="24"/>
              </w:rPr>
              <w:t>1000≤Y＜10000</w:t>
            </w:r>
          </w:p>
        </w:tc>
        <w:tc>
          <w:tcPr>
            <w:tcW w:w="1730" w:type="dxa"/>
            <w:vAlign w:val="center"/>
          </w:tcPr>
          <w:p>
            <w:pPr>
              <w:widowControl/>
              <w:jc w:val="left"/>
              <w:rPr>
                <w:rFonts w:ascii="宋体" w:hAnsi="宋体" w:cs="宋体"/>
                <w:kern w:val="0"/>
                <w:sz w:val="24"/>
              </w:rPr>
            </w:pPr>
            <w:r>
              <w:rPr>
                <w:rFonts w:ascii="宋体" w:hAnsi="宋体" w:cs="宋体"/>
                <w:kern w:val="0"/>
                <w:sz w:val="24"/>
              </w:rPr>
              <w:t>50≤Y＜1000</w:t>
            </w:r>
          </w:p>
        </w:tc>
        <w:tc>
          <w:tcPr>
            <w:tcW w:w="1203" w:type="dxa"/>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房地产开发经营</w:t>
            </w: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Y≥200000</w:t>
            </w:r>
          </w:p>
        </w:tc>
        <w:tc>
          <w:tcPr>
            <w:tcW w:w="1891" w:type="dxa"/>
            <w:vAlign w:val="center"/>
          </w:tcPr>
          <w:p>
            <w:pPr>
              <w:widowControl/>
              <w:jc w:val="left"/>
              <w:rPr>
                <w:rFonts w:ascii="宋体" w:hAnsi="宋体" w:cs="宋体"/>
                <w:kern w:val="0"/>
                <w:sz w:val="24"/>
              </w:rPr>
            </w:pPr>
            <w:r>
              <w:rPr>
                <w:rFonts w:ascii="宋体" w:hAnsi="宋体" w:cs="宋体"/>
                <w:kern w:val="0"/>
                <w:sz w:val="24"/>
              </w:rPr>
              <w:t>1000≤Y＜200000</w:t>
            </w:r>
          </w:p>
        </w:tc>
        <w:tc>
          <w:tcPr>
            <w:tcW w:w="1730" w:type="dxa"/>
            <w:vAlign w:val="center"/>
          </w:tcPr>
          <w:p>
            <w:pPr>
              <w:widowControl/>
              <w:jc w:val="left"/>
              <w:rPr>
                <w:rFonts w:ascii="宋体" w:hAnsi="宋体" w:cs="宋体"/>
                <w:kern w:val="0"/>
                <w:sz w:val="24"/>
              </w:rPr>
            </w:pPr>
            <w:r>
              <w:rPr>
                <w:rFonts w:ascii="宋体" w:hAnsi="宋体" w:cs="宋体"/>
                <w:kern w:val="0"/>
                <w:sz w:val="24"/>
              </w:rPr>
              <w:t>100≤Y＜1000</w:t>
            </w:r>
          </w:p>
        </w:tc>
        <w:tc>
          <w:tcPr>
            <w:tcW w:w="1203" w:type="dxa"/>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Z≥10000</w:t>
            </w:r>
          </w:p>
        </w:tc>
        <w:tc>
          <w:tcPr>
            <w:tcW w:w="1891" w:type="dxa"/>
            <w:vAlign w:val="center"/>
          </w:tcPr>
          <w:p>
            <w:pPr>
              <w:widowControl/>
              <w:jc w:val="left"/>
              <w:rPr>
                <w:rFonts w:ascii="宋体" w:hAnsi="宋体" w:cs="宋体"/>
                <w:kern w:val="0"/>
                <w:sz w:val="24"/>
              </w:rPr>
            </w:pPr>
            <w:r>
              <w:rPr>
                <w:rFonts w:ascii="宋体" w:hAnsi="宋体" w:cs="宋体"/>
                <w:kern w:val="0"/>
                <w:sz w:val="24"/>
              </w:rPr>
              <w:t>5000≤Z＜10000</w:t>
            </w:r>
          </w:p>
        </w:tc>
        <w:tc>
          <w:tcPr>
            <w:tcW w:w="1730" w:type="dxa"/>
            <w:vAlign w:val="center"/>
          </w:tcPr>
          <w:p>
            <w:pPr>
              <w:widowControl/>
              <w:jc w:val="left"/>
              <w:rPr>
                <w:rFonts w:ascii="宋体" w:hAnsi="宋体" w:cs="宋体"/>
                <w:kern w:val="0"/>
                <w:sz w:val="24"/>
              </w:rPr>
            </w:pPr>
            <w:r>
              <w:rPr>
                <w:rFonts w:ascii="宋体" w:hAnsi="宋体" w:cs="宋体"/>
                <w:kern w:val="0"/>
                <w:sz w:val="24"/>
              </w:rPr>
              <w:t>2000≤Z＜5000</w:t>
            </w:r>
          </w:p>
        </w:tc>
        <w:tc>
          <w:tcPr>
            <w:tcW w:w="1203" w:type="dxa"/>
            <w:vAlign w:val="center"/>
          </w:tcPr>
          <w:p>
            <w:pPr>
              <w:widowControl/>
              <w:jc w:val="left"/>
              <w:rPr>
                <w:rFonts w:ascii="宋体" w:hAnsi="宋体" w:cs="宋体"/>
                <w:kern w:val="0"/>
                <w:sz w:val="24"/>
              </w:rPr>
            </w:pPr>
            <w:r>
              <w:rPr>
                <w:rFonts w:ascii="宋体" w:hAnsi="宋体" w:cs="宋体"/>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物业管理</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X≥1000</w:t>
            </w:r>
          </w:p>
        </w:tc>
        <w:tc>
          <w:tcPr>
            <w:tcW w:w="1891" w:type="dxa"/>
            <w:vAlign w:val="center"/>
          </w:tcPr>
          <w:p>
            <w:pPr>
              <w:widowControl/>
              <w:jc w:val="left"/>
              <w:rPr>
                <w:rFonts w:ascii="宋体" w:hAnsi="宋体" w:cs="宋体"/>
                <w:kern w:val="0"/>
                <w:sz w:val="24"/>
              </w:rPr>
            </w:pPr>
            <w:r>
              <w:rPr>
                <w:rFonts w:ascii="宋体" w:hAnsi="宋体" w:cs="宋体"/>
                <w:kern w:val="0"/>
                <w:sz w:val="24"/>
              </w:rPr>
              <w:t>300≤X＜1000</w:t>
            </w:r>
          </w:p>
        </w:tc>
        <w:tc>
          <w:tcPr>
            <w:tcW w:w="1730" w:type="dxa"/>
            <w:vAlign w:val="center"/>
          </w:tcPr>
          <w:p>
            <w:pPr>
              <w:widowControl/>
              <w:jc w:val="left"/>
              <w:rPr>
                <w:rFonts w:ascii="宋体" w:hAnsi="宋体" w:cs="宋体"/>
                <w:kern w:val="0"/>
                <w:sz w:val="24"/>
              </w:rPr>
            </w:pPr>
            <w:r>
              <w:rPr>
                <w:rFonts w:ascii="宋体" w:hAnsi="宋体" w:cs="宋体"/>
                <w:kern w:val="0"/>
                <w:sz w:val="24"/>
              </w:rPr>
              <w:t>100≤X＜300</w:t>
            </w:r>
          </w:p>
        </w:tc>
        <w:tc>
          <w:tcPr>
            <w:tcW w:w="1203" w:type="dxa"/>
            <w:vAlign w:val="center"/>
          </w:tcPr>
          <w:p>
            <w:pPr>
              <w:widowControl/>
              <w:jc w:val="left"/>
              <w:rPr>
                <w:rFonts w:ascii="宋体" w:hAnsi="宋体" w:cs="宋体"/>
                <w:kern w:val="0"/>
                <w:sz w:val="24"/>
              </w:rPr>
            </w:pPr>
            <w:r>
              <w:rPr>
                <w:rFonts w:ascii="宋体" w:hAnsi="宋体" w:cs="宋体"/>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Y≥5000</w:t>
            </w:r>
          </w:p>
        </w:tc>
        <w:tc>
          <w:tcPr>
            <w:tcW w:w="1891" w:type="dxa"/>
            <w:vAlign w:val="center"/>
          </w:tcPr>
          <w:p>
            <w:pPr>
              <w:widowControl/>
              <w:jc w:val="left"/>
              <w:rPr>
                <w:rFonts w:ascii="宋体" w:hAnsi="宋体" w:cs="宋体"/>
                <w:kern w:val="0"/>
                <w:sz w:val="24"/>
              </w:rPr>
            </w:pPr>
            <w:r>
              <w:rPr>
                <w:rFonts w:ascii="宋体" w:hAnsi="宋体" w:cs="宋体"/>
                <w:kern w:val="0"/>
                <w:sz w:val="24"/>
              </w:rPr>
              <w:t>1000≤Y＜5000</w:t>
            </w:r>
          </w:p>
        </w:tc>
        <w:tc>
          <w:tcPr>
            <w:tcW w:w="1730" w:type="dxa"/>
            <w:vAlign w:val="center"/>
          </w:tcPr>
          <w:p>
            <w:pPr>
              <w:widowControl/>
              <w:jc w:val="left"/>
              <w:rPr>
                <w:rFonts w:ascii="宋体" w:hAnsi="宋体" w:cs="宋体"/>
                <w:kern w:val="0"/>
                <w:sz w:val="24"/>
              </w:rPr>
            </w:pPr>
            <w:r>
              <w:rPr>
                <w:rFonts w:ascii="宋体" w:hAnsi="宋体" w:cs="宋体"/>
                <w:kern w:val="0"/>
                <w:sz w:val="24"/>
              </w:rPr>
              <w:t>500≤Y＜1000</w:t>
            </w:r>
          </w:p>
        </w:tc>
        <w:tc>
          <w:tcPr>
            <w:tcW w:w="1203" w:type="dxa"/>
            <w:vAlign w:val="center"/>
          </w:tcPr>
          <w:p>
            <w:pPr>
              <w:widowControl/>
              <w:jc w:val="left"/>
              <w:rPr>
                <w:rFonts w:ascii="宋体" w:hAnsi="宋体" w:cs="宋体"/>
                <w:kern w:val="0"/>
                <w:sz w:val="24"/>
              </w:rPr>
            </w:pPr>
            <w:r>
              <w:rPr>
                <w:rFonts w:ascii="宋体" w:hAnsi="宋体" w:cs="宋体"/>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ascii="宋体" w:hAnsi="宋体" w:cs="宋体"/>
                <w:kern w:val="0"/>
                <w:sz w:val="24"/>
              </w:rPr>
              <w:t>租赁和商务服务业</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ascii="宋体" w:hAnsi="宋体" w:cs="宋体"/>
                <w:kern w:val="0"/>
                <w:sz w:val="24"/>
              </w:rPr>
              <w:t>万元</w:t>
            </w:r>
          </w:p>
        </w:tc>
        <w:tc>
          <w:tcPr>
            <w:tcW w:w="1231" w:type="dxa"/>
            <w:vAlign w:val="center"/>
          </w:tcPr>
          <w:p>
            <w:pPr>
              <w:widowControl/>
              <w:jc w:val="left"/>
              <w:rPr>
                <w:rFonts w:ascii="宋体" w:hAnsi="宋体" w:cs="宋体"/>
                <w:kern w:val="0"/>
                <w:sz w:val="24"/>
              </w:rPr>
            </w:pPr>
            <w:r>
              <w:rPr>
                <w:rFonts w:ascii="宋体" w:hAnsi="宋体" w:cs="宋体"/>
                <w:kern w:val="0"/>
                <w:sz w:val="24"/>
              </w:rPr>
              <w:t>Z≥120000</w:t>
            </w:r>
          </w:p>
        </w:tc>
        <w:tc>
          <w:tcPr>
            <w:tcW w:w="1891" w:type="dxa"/>
            <w:vAlign w:val="center"/>
          </w:tcPr>
          <w:p>
            <w:pPr>
              <w:widowControl/>
              <w:jc w:val="left"/>
              <w:rPr>
                <w:rFonts w:ascii="宋体" w:hAnsi="宋体" w:cs="宋体"/>
                <w:kern w:val="0"/>
                <w:sz w:val="24"/>
              </w:rPr>
            </w:pPr>
            <w:r>
              <w:rPr>
                <w:rFonts w:ascii="宋体" w:hAnsi="宋体" w:cs="宋体"/>
                <w:kern w:val="0"/>
                <w:sz w:val="24"/>
              </w:rPr>
              <w:t>8000≤Z＜120000</w:t>
            </w:r>
          </w:p>
        </w:tc>
        <w:tc>
          <w:tcPr>
            <w:tcW w:w="1730" w:type="dxa"/>
            <w:vAlign w:val="center"/>
          </w:tcPr>
          <w:p>
            <w:pPr>
              <w:widowControl/>
              <w:jc w:val="left"/>
              <w:rPr>
                <w:rFonts w:ascii="宋体" w:hAnsi="宋体" w:cs="宋体"/>
                <w:kern w:val="0"/>
                <w:sz w:val="24"/>
              </w:rPr>
            </w:pPr>
            <w:r>
              <w:rPr>
                <w:rFonts w:ascii="宋体" w:hAnsi="宋体" w:cs="宋体"/>
                <w:kern w:val="0"/>
                <w:sz w:val="24"/>
              </w:rPr>
              <w:t>100≤Z＜8000</w:t>
            </w:r>
          </w:p>
        </w:tc>
        <w:tc>
          <w:tcPr>
            <w:tcW w:w="1203" w:type="dxa"/>
            <w:vAlign w:val="center"/>
          </w:tcPr>
          <w:p>
            <w:pPr>
              <w:widowControl/>
              <w:jc w:val="left"/>
              <w:rPr>
                <w:rFonts w:ascii="宋体" w:hAnsi="宋体" w:cs="宋体"/>
                <w:kern w:val="0"/>
                <w:sz w:val="24"/>
              </w:rPr>
            </w:pPr>
            <w:r>
              <w:rPr>
                <w:rFonts w:ascii="宋体" w:hAnsi="宋体" w:cs="宋体"/>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ascii="宋体" w:hAnsi="宋体" w:cs="宋体"/>
                <w:kern w:val="0"/>
                <w:sz w:val="24"/>
              </w:rPr>
              <w:t>其他未列明行业 *</w:t>
            </w:r>
          </w:p>
        </w:tc>
        <w:tc>
          <w:tcPr>
            <w:tcW w:w="1560" w:type="dxa"/>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ascii="宋体" w:hAnsi="宋体" w:cs="宋体"/>
                <w:kern w:val="0"/>
                <w:sz w:val="24"/>
              </w:rPr>
              <w:t>人</w:t>
            </w:r>
          </w:p>
        </w:tc>
        <w:tc>
          <w:tcPr>
            <w:tcW w:w="1231" w:type="dxa"/>
            <w:vAlign w:val="center"/>
          </w:tcPr>
          <w:p>
            <w:pPr>
              <w:widowControl/>
              <w:jc w:val="left"/>
              <w:rPr>
                <w:rFonts w:ascii="宋体" w:hAnsi="宋体" w:cs="宋体"/>
                <w:kern w:val="0"/>
                <w:sz w:val="24"/>
              </w:rPr>
            </w:pPr>
            <w:r>
              <w:rPr>
                <w:rFonts w:ascii="宋体" w:hAnsi="宋体" w:cs="宋体"/>
                <w:kern w:val="0"/>
                <w:sz w:val="24"/>
              </w:rPr>
              <w:t>X≥300</w:t>
            </w:r>
          </w:p>
        </w:tc>
        <w:tc>
          <w:tcPr>
            <w:tcW w:w="1891" w:type="dxa"/>
            <w:vAlign w:val="center"/>
          </w:tcPr>
          <w:p>
            <w:pPr>
              <w:widowControl/>
              <w:jc w:val="left"/>
              <w:rPr>
                <w:rFonts w:ascii="宋体" w:hAnsi="宋体" w:cs="宋体"/>
                <w:kern w:val="0"/>
                <w:sz w:val="24"/>
              </w:rPr>
            </w:pPr>
            <w:r>
              <w:rPr>
                <w:rFonts w:ascii="宋体" w:hAnsi="宋体" w:cs="宋体"/>
                <w:kern w:val="0"/>
                <w:sz w:val="24"/>
              </w:rPr>
              <w:t>100≤X＜300</w:t>
            </w:r>
          </w:p>
        </w:tc>
        <w:tc>
          <w:tcPr>
            <w:tcW w:w="1730" w:type="dxa"/>
            <w:vAlign w:val="center"/>
          </w:tcPr>
          <w:p>
            <w:pPr>
              <w:widowControl/>
              <w:jc w:val="left"/>
              <w:rPr>
                <w:rFonts w:ascii="宋体" w:hAnsi="宋体" w:cs="宋体"/>
                <w:kern w:val="0"/>
                <w:sz w:val="24"/>
              </w:rPr>
            </w:pPr>
            <w:r>
              <w:rPr>
                <w:rFonts w:ascii="宋体" w:hAnsi="宋体" w:cs="宋体"/>
                <w:kern w:val="0"/>
                <w:sz w:val="24"/>
              </w:rPr>
              <w:t>10≤X＜100</w:t>
            </w:r>
          </w:p>
        </w:tc>
        <w:tc>
          <w:tcPr>
            <w:tcW w:w="1203" w:type="dxa"/>
            <w:vAlign w:val="center"/>
          </w:tcPr>
          <w:p>
            <w:pPr>
              <w:widowControl/>
              <w:jc w:val="left"/>
              <w:rPr>
                <w:rFonts w:ascii="宋体" w:hAnsi="宋体" w:cs="宋体"/>
                <w:kern w:val="0"/>
                <w:sz w:val="24"/>
              </w:rPr>
            </w:pPr>
            <w:r>
              <w:rPr>
                <w:rFonts w:ascii="宋体" w:hAnsi="宋体" w:cs="宋体"/>
                <w:kern w:val="0"/>
                <w:sz w:val="24"/>
              </w:rPr>
              <w:t>X＜10</w:t>
            </w:r>
          </w:p>
        </w:tc>
      </w:tr>
    </w:tbl>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说明： 　　</w:t>
      </w:r>
      <w:r>
        <w:rPr>
          <w:rFonts w:ascii="宋体" w:hAnsi="宋体" w:cs="宋体"/>
          <w:kern w:val="0"/>
          <w:szCs w:val="21"/>
        </w:rPr>
        <w:br w:type="textWrapping"/>
      </w:r>
      <w:r>
        <w:rPr>
          <w:rFonts w:ascii="宋体" w:hAnsi="宋体" w:cs="宋体"/>
          <w:kern w:val="0"/>
          <w:szCs w:val="21"/>
        </w:rPr>
        <w:t>    1.大型、中型和小型企业须同时满足所列指标的下限，否则下划一档；微型企业只须满足所列指标中的一项即可。 　　</w:t>
      </w:r>
      <w:r>
        <w:rPr>
          <w:rFonts w:ascii="宋体" w:hAnsi="宋体" w:cs="宋体"/>
          <w:kern w:val="0"/>
          <w:szCs w:val="21"/>
        </w:rPr>
        <w:br w:type="textWrapping"/>
      </w:r>
      <w:r>
        <w:rPr>
          <w:rFonts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ascii="宋体" w:hAnsi="宋体" w:cs="宋体"/>
          <w:kern w:val="0"/>
          <w:szCs w:val="21"/>
        </w:rPr>
        <w:br w:type="textWrapping"/>
      </w:r>
      <w:r>
        <w:rPr>
          <w:rFonts w:ascii="宋体" w:hAnsi="宋体" w:cs="宋体"/>
          <w:kern w:val="0"/>
          <w:szCs w:val="21"/>
        </w:rPr>
        <w:t>    3.企业划分指标以现行统计制度为准。</w:t>
      </w:r>
      <w:r>
        <w:rPr>
          <w:rFonts w:ascii="宋体" w:hAnsi="宋体" w:cs="宋体"/>
          <w:kern w:val="0"/>
          <w:szCs w:val="21"/>
        </w:rPr>
        <w:br w:type="textWrapping"/>
      </w:r>
      <w:r>
        <w:rPr>
          <w:rFonts w:ascii="宋体" w:hAnsi="宋体" w:cs="宋体"/>
          <w:kern w:val="0"/>
          <w:szCs w:val="21"/>
        </w:rPr>
        <w:t>    （1）从业人员，是指期末从业人员数，没有期末从业人员数的，采用全年平均人员数代替。</w:t>
      </w:r>
      <w:r>
        <w:rPr>
          <w:rFonts w:ascii="宋体" w:hAnsi="宋体" w:cs="宋体"/>
          <w:kern w:val="0"/>
          <w:szCs w:val="21"/>
        </w:rPr>
        <w:br w:type="textWrapping"/>
      </w:r>
      <w:r>
        <w:rPr>
          <w:rFonts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kern w:val="0"/>
          <w:szCs w:val="21"/>
        </w:rPr>
        <w:br w:type="textWrapping"/>
      </w:r>
      <w:r>
        <w:rPr>
          <w:rFonts w:ascii="宋体" w:hAnsi="宋体" w:cs="宋体"/>
          <w:kern w:val="0"/>
          <w:szCs w:val="21"/>
        </w:rPr>
        <w:t>    （3）资产总额，采用资产总计代替。</w:t>
      </w:r>
    </w:p>
    <w:p>
      <w:pPr>
        <w:widowControl/>
        <w:jc w:val="left"/>
        <w:rPr>
          <w:rFonts w:ascii="宋体" w:hAnsi="宋体" w:cs="宋体"/>
          <w:kern w:val="0"/>
          <w:sz w:val="24"/>
        </w:rPr>
      </w:pPr>
      <w:r>
        <w:rPr>
          <w:rFonts w:ascii="宋体" w:hAnsi="宋体" w:cs="宋体"/>
          <w:kern w:val="0"/>
          <w:sz w:val="18"/>
          <w:szCs w:val="18"/>
        </w:rPr>
        <w:br w:type="textWrapping"/>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宋体" w:hAnsi="宋体" w:cs="宋体"/>
          <w:b/>
          <w:bCs/>
          <w:kern w:val="0"/>
          <w:sz w:val="27"/>
          <w:szCs w:val="27"/>
        </w:rPr>
      </w:pPr>
      <w:r>
        <w:rPr>
          <w:rFonts w:ascii="宋体" w:hAnsi="宋体" w:cs="宋体"/>
          <w:b/>
          <w:bCs/>
          <w:kern w:val="0"/>
          <w:sz w:val="27"/>
          <w:szCs w:val="27"/>
        </w:rPr>
        <w:t>一、修订背景</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宋体" w:hAnsi="宋体" w:cs="宋体"/>
          <w:b/>
          <w:bCs/>
          <w:kern w:val="0"/>
          <w:sz w:val="27"/>
          <w:szCs w:val="27"/>
        </w:rPr>
      </w:pPr>
      <w:r>
        <w:rPr>
          <w:rFonts w:ascii="宋体" w:hAnsi="宋体" w:cs="宋体"/>
          <w:b/>
          <w:bCs/>
          <w:kern w:val="0"/>
          <w:sz w:val="27"/>
          <w:szCs w:val="27"/>
        </w:rPr>
        <w:t>二、修订主要内容</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宋体" w:hAnsi="宋体" w:cs="宋体"/>
          <w:kern w:val="0"/>
          <w:sz w:val="24"/>
        </w:rPr>
      </w:pPr>
      <w:r>
        <w:rPr>
          <w:rFonts w:ascii="宋体" w:hAnsi="宋体" w:cs="宋体"/>
          <w:kern w:val="0"/>
          <w:sz w:val="18"/>
          <w:szCs w:val="18"/>
        </w:rPr>
        <w:br w:type="textWrapping"/>
      </w:r>
      <w:r>
        <w:rPr>
          <w:rFonts w:ascii="宋体" w:hAnsi="宋体" w:cs="宋体"/>
          <w:kern w:val="0"/>
          <w:sz w:val="18"/>
          <w:szCs w:val="18"/>
        </w:rPr>
        <w:br w:type="textWrapping"/>
      </w:r>
    </w:p>
    <w:p>
      <w:pPr>
        <w:widowControl/>
        <w:shd w:val="clear" w:color="auto" w:fill="FFFFFF"/>
        <w:spacing w:line="600" w:lineRule="atLeast"/>
        <w:jc w:val="center"/>
        <w:textAlignment w:val="baseline"/>
        <w:rPr>
          <w:rFonts w:ascii="宋体" w:hAnsi="宋体" w:cs="宋体"/>
          <w:b/>
          <w:bCs/>
          <w:kern w:val="0"/>
          <w:sz w:val="36"/>
          <w:szCs w:val="36"/>
        </w:rPr>
      </w:pPr>
      <w:r>
        <w:rPr>
          <w:rFonts w:ascii="宋体" w:hAnsi="宋体" w:cs="宋体"/>
          <w:b/>
          <w:bCs/>
          <w:kern w:val="0"/>
          <w:sz w:val="36"/>
          <w:szCs w:val="36"/>
        </w:rPr>
        <w:t>中国人民银行中国银行业监督管理委员会</w:t>
      </w:r>
      <w:r>
        <w:rPr>
          <w:rFonts w:ascii="宋体" w:hAnsi="宋体" w:cs="宋体"/>
          <w:b/>
          <w:bCs/>
          <w:kern w:val="0"/>
          <w:sz w:val="36"/>
          <w:szCs w:val="36"/>
        </w:rPr>
        <w:br w:type="textWrapping"/>
      </w:r>
      <w:r>
        <w:rPr>
          <w:rFonts w:ascii="宋体" w:hAnsi="宋体" w:cs="宋体"/>
          <w:b/>
          <w:bCs/>
          <w:kern w:val="0"/>
          <w:sz w:val="36"/>
          <w:szCs w:val="36"/>
        </w:rPr>
        <w:t>中国证券监督管理委员会中国保险监督管理委员会</w:t>
      </w:r>
      <w:r>
        <w:rPr>
          <w:rFonts w:ascii="宋体" w:hAnsi="宋体" w:cs="宋体"/>
          <w:b/>
          <w:bCs/>
          <w:kern w:val="0"/>
          <w:sz w:val="36"/>
          <w:szCs w:val="36"/>
        </w:rPr>
        <w:br w:type="textWrapping"/>
      </w:r>
      <w:r>
        <w:rPr>
          <w:rFonts w:ascii="宋体" w:hAnsi="宋体" w:cs="宋体"/>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r>
        <w:rPr>
          <w:rFonts w:ascii="宋体" w:hAnsi="宋体" w:cs="宋体"/>
          <w:kern w:val="0"/>
          <w:szCs w:val="21"/>
        </w:rPr>
        <w:br w:type="textWrapping"/>
      </w:r>
      <w:r>
        <w:rPr>
          <w:rFonts w:ascii="宋体" w:hAnsi="宋体" w:cs="宋体"/>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附件：金融业企业划型标准规定</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金融业企业划型标准规定</w:t>
      </w:r>
    </w:p>
    <w:p>
      <w:pPr>
        <w:widowControl/>
        <w:shd w:val="clear" w:color="auto" w:fill="FFFFFF"/>
        <w:spacing w:line="420" w:lineRule="atLeast"/>
        <w:jc w:val="left"/>
        <w:textAlignment w:val="baseline"/>
        <w:rPr>
          <w:rFonts w:ascii="宋体" w:hAnsi="宋体" w:cs="宋体"/>
          <w:kern w:val="0"/>
          <w:szCs w:val="21"/>
        </w:rPr>
      </w:pPr>
      <w:r>
        <w:rPr>
          <w:rFonts w:ascii="宋体" w:hAnsi="宋体" w:cs="宋体"/>
          <w:kern w:val="0"/>
          <w:szCs w:val="21"/>
        </w:rPr>
        <w:t>    一、 根据《中华人民共和国中小企业促进法》、《国务院关于进一步促进中小企业发展的若干意见》（国发〔2009〕36号）和《国务院办公厅关于金融支持小微企业发展的实施意见》（国办发〔2013〕87号），制定本规定。</w:t>
      </w:r>
      <w:r>
        <w:rPr>
          <w:rFonts w:ascii="宋体" w:hAnsi="宋体" w:cs="宋体"/>
          <w:kern w:val="0"/>
          <w:szCs w:val="21"/>
        </w:rPr>
        <w:br w:type="textWrapping"/>
      </w:r>
      <w:r>
        <w:rPr>
          <w:rFonts w:ascii="宋体" w:hAnsi="宋体" w:cs="宋体"/>
          <w:kern w:val="0"/>
          <w:szCs w:val="21"/>
        </w:rPr>
        <w:t>    二、 适用范围。本规定适用于从事《国民经济行业分类》(GB/T4754-2011)中J门类（金融业）活动的企业。</w:t>
      </w:r>
      <w:r>
        <w:rPr>
          <w:rFonts w:ascii="宋体" w:hAnsi="宋体" w:cs="宋体"/>
          <w:kern w:val="0"/>
          <w:szCs w:val="21"/>
        </w:rPr>
        <w:br w:type="textWrapping"/>
      </w:r>
      <w:r>
        <w:rPr>
          <w:rFonts w:ascii="宋体" w:hAnsi="宋体" w:cs="宋体"/>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Pr>
          <w:rFonts w:ascii="宋体" w:hAnsi="宋体" w:cs="宋体"/>
          <w:kern w:val="0"/>
          <w:szCs w:val="21"/>
        </w:rPr>
        <w:br w:type="textWrapping"/>
      </w:r>
      <w:r>
        <w:rPr>
          <w:rFonts w:ascii="宋体" w:hAnsi="宋体" w:cs="宋体"/>
          <w:kern w:val="0"/>
          <w:szCs w:val="21"/>
        </w:rPr>
        <w:t>    四、划型标准指标。采用一个完整会计年度中四个季度末法人并表口径的资产总额（信托公司为信托资产）平均值作为划型指标，该指标以监管部门数据为准。</w:t>
      </w:r>
      <w:r>
        <w:rPr>
          <w:rFonts w:ascii="宋体" w:hAnsi="宋体" w:cs="宋体"/>
          <w:kern w:val="0"/>
          <w:szCs w:val="21"/>
        </w:rPr>
        <w:br w:type="textWrapping"/>
      </w:r>
      <w:r>
        <w:rPr>
          <w:rFonts w:ascii="宋体" w:hAnsi="宋体" w:cs="宋体"/>
          <w:kern w:val="0"/>
          <w:szCs w:val="21"/>
        </w:rPr>
        <w:t>    五、指标标准值。依据指标标准值，将各类金融业企业划分为大、中、小、微四个规模类型，中型企业标准上限及以上的为大型企业。</w:t>
      </w:r>
      <w:r>
        <w:rPr>
          <w:rFonts w:ascii="宋体" w:hAnsi="宋体" w:cs="宋体"/>
          <w:kern w:val="0"/>
          <w:szCs w:val="21"/>
        </w:rPr>
        <w:br w:type="textWrapping"/>
      </w:r>
      <w:r>
        <w:rPr>
          <w:rFonts w:ascii="宋体" w:hAnsi="宋体"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(四) 证券业金融机构。资产总额1000亿元以下的为中小微型企业。其中，资产总额100亿元及以上的为中型企业，资产总额10亿元及以上的为小型企业，资产总额10亿元以下的为微型企业。</w:t>
      </w:r>
      <w:r>
        <w:rPr>
          <w:rFonts w:ascii="宋体" w:hAnsi="宋体" w:cs="宋体"/>
          <w:kern w:val="0"/>
          <w:szCs w:val="21"/>
        </w:rPr>
        <w:br w:type="textWrapping"/>
      </w:r>
      <w:r>
        <w:rPr>
          <w:rFonts w:ascii="宋体" w:hAnsi="宋体" w:cs="宋体"/>
          <w:kern w:val="0"/>
          <w:szCs w:val="21"/>
        </w:rPr>
        <w:t>    (五) 保险业金融机构。资产总额5000亿元以下的为中小微型企业。其中，资产总额400亿元及以上的为中型企业，资产总额20亿元及以上的为小型企业，资产总额20亿元以下的为微型企业。</w:t>
      </w:r>
      <w:r>
        <w:rPr>
          <w:rFonts w:ascii="宋体" w:hAnsi="宋体" w:cs="宋体"/>
          <w:kern w:val="0"/>
          <w:szCs w:val="21"/>
        </w:rPr>
        <w:br w:type="textWrapping"/>
      </w:r>
      <w:r>
        <w:rPr>
          <w:rFonts w:ascii="宋体" w:hAnsi="宋体" w:cs="宋体"/>
          <w:kern w:val="0"/>
          <w:szCs w:val="21"/>
        </w:rPr>
        <w:t>    (六) 信托公司。信托资产1000亿元以下的为中小微型企业。其中，信托资产400亿元及以上的为中型企业，信托资产20亿元及以上的为小型企业，信托资产20亿元以下的为微型企业。</w:t>
      </w:r>
      <w:r>
        <w:rPr>
          <w:rFonts w:ascii="宋体" w:hAnsi="宋体" w:cs="宋体"/>
          <w:kern w:val="0"/>
          <w:szCs w:val="21"/>
        </w:rPr>
        <w:br w:type="textWrapping"/>
      </w:r>
      <w:r>
        <w:rPr>
          <w:rFonts w:ascii="宋体" w:hAnsi="宋体" w:cs="宋体"/>
          <w:kern w:val="0"/>
          <w:szCs w:val="21"/>
        </w:rPr>
        <w:t>    (七) 金融控股公司。资产总额40000亿元以下的为中小微型企业。其中，资产总额5000亿元及以上的为中型企业，资产总额50亿元及以上的为小型企业，资产总额50亿元以下的为微型企业。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ascii="宋体" w:hAnsi="宋体" w:cs="宋体"/>
          <w:kern w:val="0"/>
          <w:szCs w:val="21"/>
        </w:rPr>
        <w:br w:type="textWrapping"/>
      </w:r>
      <w:r>
        <w:rPr>
          <w:rFonts w:ascii="宋体" w:hAnsi="宋体" w:cs="宋体"/>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Pr>
          <w:rFonts w:ascii="宋体" w:hAnsi="宋体" w:cs="宋体"/>
          <w:kern w:val="0"/>
          <w:szCs w:val="21"/>
        </w:rPr>
        <w:br w:type="textWrapping"/>
      </w:r>
      <w:r>
        <w:rPr>
          <w:rFonts w:ascii="宋体" w:hAnsi="宋体" w:cs="宋体"/>
          <w:kern w:val="0"/>
          <w:szCs w:val="21"/>
        </w:rPr>
        <w:t>    七、 标准值的评估和调整。金融业企业划型标准工作组毎五年对划型标准值受经济发展与通货膨胀等因素的响程度进行评估和调整。</w:t>
      </w:r>
      <w:r>
        <w:rPr>
          <w:rFonts w:ascii="宋体" w:hAnsi="宋体" w:cs="宋体"/>
          <w:kern w:val="0"/>
          <w:szCs w:val="21"/>
        </w:rPr>
        <w:br w:type="textWrapping"/>
      </w:r>
      <w:r>
        <w:rPr>
          <w:rFonts w:ascii="宋体" w:hAnsi="宋体" w:cs="宋体"/>
          <w:kern w:val="0"/>
          <w:szCs w:val="21"/>
        </w:rPr>
        <w:t>    八、 本规定的中型金融业企业标准上限即为大型金融业企业下限。国务院有关部门据此进行相关数据的统计分析，不得制定与本规定不一致的金融业企业划型标准。</w:t>
      </w:r>
      <w:r>
        <w:rPr>
          <w:rFonts w:ascii="宋体" w:hAnsi="宋体" w:cs="宋体"/>
          <w:kern w:val="0"/>
          <w:szCs w:val="21"/>
        </w:rPr>
        <w:br w:type="textWrapping"/>
      </w:r>
      <w:r>
        <w:rPr>
          <w:rFonts w:ascii="宋体" w:hAnsi="宋体" w:cs="宋体"/>
          <w:kern w:val="0"/>
          <w:szCs w:val="21"/>
        </w:rPr>
        <w:t>    九、 融资担保公司参照本规定中“除贷款公司、小额贷款公司、典当行以外的其他金融机构”标准划型。</w:t>
      </w:r>
      <w:r>
        <w:rPr>
          <w:rFonts w:ascii="宋体" w:hAnsi="宋体" w:cs="宋体"/>
          <w:kern w:val="0"/>
          <w:szCs w:val="21"/>
        </w:rPr>
        <w:br w:type="textWrapping"/>
      </w:r>
      <w:r>
        <w:rPr>
          <w:rFonts w:ascii="宋体" w:hAnsi="宋体" w:cs="宋体"/>
          <w:kern w:val="0"/>
          <w:szCs w:val="21"/>
        </w:rPr>
        <w:t>    十、本规定由人民银行会同银监会，证监会、保监会和统计局负责解释。</w:t>
      </w:r>
      <w:r>
        <w:rPr>
          <w:rFonts w:ascii="宋体" w:hAnsi="宋体" w:cs="宋体"/>
          <w:kern w:val="0"/>
          <w:szCs w:val="21"/>
        </w:rPr>
        <w:br w:type="textWrapping"/>
      </w:r>
      <w:r>
        <w:rPr>
          <w:rFonts w:ascii="宋体" w:hAnsi="宋体" w:cs="宋体"/>
          <w:kern w:val="0"/>
          <w:szCs w:val="21"/>
        </w:rPr>
        <w:t>    十一、本规定自发布之日起实施。</w:t>
      </w:r>
    </w:p>
    <w:p>
      <w:pPr>
        <w:widowControl/>
        <w:shd w:val="clear" w:color="auto" w:fill="FFFFFF"/>
        <w:spacing w:before="150" w:line="420" w:lineRule="atLeast"/>
        <w:jc w:val="left"/>
        <w:textAlignment w:val="baseline"/>
        <w:rPr>
          <w:rFonts w:ascii="宋体" w:hAnsi="宋体" w:cs="宋体"/>
          <w:kern w:val="0"/>
          <w:szCs w:val="21"/>
        </w:rPr>
      </w:pPr>
      <w:r>
        <w:rPr>
          <w:rFonts w:ascii="宋体" w:hAnsi="宋体" w:cs="宋体"/>
          <w:kern w:val="0"/>
          <w:szCs w:val="21"/>
        </w:rPr>
        <w:t>附：金融业企业划型标准</w:t>
      </w:r>
    </w:p>
    <w:p>
      <w:pPr>
        <w:widowControl/>
        <w:shd w:val="clear" w:color="auto" w:fill="FFFFFF"/>
        <w:spacing w:before="150" w:line="600" w:lineRule="atLeast"/>
        <w:jc w:val="center"/>
        <w:textAlignment w:val="baseline"/>
        <w:rPr>
          <w:rFonts w:ascii="宋体" w:hAnsi="宋体" w:cs="宋体"/>
          <w:b/>
          <w:bCs/>
          <w:kern w:val="0"/>
          <w:sz w:val="36"/>
          <w:szCs w:val="36"/>
        </w:rPr>
      </w:pPr>
      <w:r>
        <w:rPr>
          <w:rFonts w:ascii="宋体" w:hAnsi="宋体" w:cs="宋体"/>
          <w:b/>
          <w:bCs/>
          <w:kern w:val="0"/>
          <w:sz w:val="36"/>
          <w:szCs w:val="36"/>
        </w:rPr>
        <w:t>金融业企业划型标准</w:t>
      </w:r>
    </w:p>
    <w:tbl>
      <w:tblPr>
        <w:tblStyle w:val="41"/>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行业</w:t>
            </w:r>
          </w:p>
        </w:tc>
        <w:tc>
          <w:tcPr>
            <w:tcW w:w="283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类别</w:t>
            </w:r>
          </w:p>
        </w:tc>
        <w:tc>
          <w:tcPr>
            <w:tcW w:w="60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类型</w:t>
            </w:r>
          </w:p>
        </w:tc>
        <w:tc>
          <w:tcPr>
            <w:tcW w:w="3326" w:type="dxa"/>
            <w:tcMar>
              <w:top w:w="75" w:type="dxa"/>
              <w:left w:w="75" w:type="dxa"/>
              <w:bottom w:w="75" w:type="dxa"/>
              <w:right w:w="75" w:type="dxa"/>
            </w:tcMar>
            <w:vAlign w:val="bottom"/>
          </w:tcPr>
          <w:p>
            <w:pPr>
              <w:widowControl/>
              <w:jc w:val="center"/>
              <w:rPr>
                <w:rFonts w:ascii="宋体" w:hAnsi="宋体" w:cs="宋体"/>
                <w:b/>
                <w:bCs/>
                <w:kern w:val="0"/>
                <w:szCs w:val="21"/>
              </w:rPr>
            </w:pPr>
            <w:r>
              <w:rPr>
                <w:rFonts w:ascii="宋体" w:hAnsi="宋体" w:cs="宋体"/>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kern w:val="0"/>
                <w:sz w:val="24"/>
              </w:rPr>
            </w:pPr>
            <w:r>
              <w:rPr>
                <w:rFonts w:ascii="宋体" w:hAnsi="宋体" w:cs="宋体"/>
                <w:kern w:val="0"/>
                <w:sz w:val="24"/>
              </w:rPr>
              <w:t>货币金融服务</w:t>
            </w: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货币银行服务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银行业存款类金融机构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非货币银行服务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银行业非存款类金融机构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贷款公司、小额贷款公司及典当行</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kern w:val="0"/>
                <w:sz w:val="24"/>
              </w:rPr>
            </w:pPr>
            <w:r>
              <w:rPr>
                <w:rFonts w:ascii="宋体" w:hAnsi="宋体" w:cs="宋体"/>
                <w:kern w:val="0"/>
                <w:sz w:val="24"/>
              </w:rPr>
              <w:t>资本市场服务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证券业金融机构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kern w:val="0"/>
                <w:sz w:val="24"/>
              </w:rPr>
            </w:pPr>
            <w:r>
              <w:rPr>
                <w:rFonts w:ascii="宋体" w:hAnsi="宋体" w:cs="宋体"/>
                <w:kern w:val="0"/>
                <w:sz w:val="24"/>
              </w:rPr>
              <w:t>保险业</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保险业金融机构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60" w:type="dxa"/>
            <w:gridSpan w:val="2"/>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kern w:val="0"/>
                <w:sz w:val="24"/>
              </w:rPr>
            </w:pPr>
            <w:r>
              <w:rPr>
                <w:rFonts w:ascii="宋体" w:hAnsi="宋体" w:cs="宋体"/>
                <w:kern w:val="0"/>
                <w:sz w:val="24"/>
              </w:rPr>
              <w:t>其他金融业</w:t>
            </w: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金融信托与管理服务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信托公司</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控股公司服务</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金融控股公司</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restart"/>
            <w:vAlign w:val="center"/>
          </w:tcPr>
          <w:p>
            <w:pPr>
              <w:widowControl/>
              <w:jc w:val="left"/>
              <w:rPr>
                <w:rFonts w:ascii="宋体" w:hAnsi="宋体" w:cs="宋体"/>
                <w:kern w:val="0"/>
                <w:sz w:val="24"/>
              </w:rPr>
            </w:pPr>
            <w:r>
              <w:rPr>
                <w:rFonts w:ascii="宋体" w:hAnsi="宋体" w:cs="宋体"/>
                <w:kern w:val="0"/>
                <w:sz w:val="24"/>
              </w:rPr>
              <w:t>其他未包括的金融业</w:t>
            </w:r>
          </w:p>
        </w:tc>
        <w:tc>
          <w:tcPr>
            <w:tcW w:w="2836" w:type="dxa"/>
            <w:vMerge w:val="restart"/>
            <w:vAlign w:val="center"/>
          </w:tcPr>
          <w:p>
            <w:pPr>
              <w:widowControl/>
              <w:jc w:val="left"/>
              <w:rPr>
                <w:rFonts w:ascii="宋体" w:hAnsi="宋体" w:cs="宋体"/>
                <w:kern w:val="0"/>
                <w:sz w:val="24"/>
              </w:rPr>
            </w:pPr>
            <w:r>
              <w:rPr>
                <w:rFonts w:ascii="宋体" w:hAnsi="宋体" w:cs="宋体"/>
                <w:kern w:val="0"/>
                <w:sz w:val="24"/>
              </w:rPr>
              <w:t>除贷款公司、小额贷款公司及典当行以外的其他金融机构</w:t>
            </w:r>
          </w:p>
        </w:tc>
        <w:tc>
          <w:tcPr>
            <w:tcW w:w="606" w:type="dxa"/>
            <w:vAlign w:val="center"/>
          </w:tcPr>
          <w:p>
            <w:pPr>
              <w:widowControl/>
              <w:jc w:val="left"/>
              <w:rPr>
                <w:rFonts w:ascii="宋体" w:hAnsi="宋体" w:cs="宋体"/>
                <w:kern w:val="0"/>
                <w:sz w:val="24"/>
              </w:rPr>
            </w:pPr>
            <w:r>
              <w:rPr>
                <w:rFonts w:ascii="宋体" w:hAnsi="宋体" w:cs="宋体"/>
                <w:kern w:val="0"/>
                <w:sz w:val="24"/>
              </w:rPr>
              <w:t>中型</w:t>
            </w:r>
          </w:p>
        </w:tc>
        <w:tc>
          <w:tcPr>
            <w:tcW w:w="3326" w:type="dxa"/>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小型</w:t>
            </w:r>
          </w:p>
        </w:tc>
        <w:tc>
          <w:tcPr>
            <w:tcW w:w="3326" w:type="dxa"/>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kern w:val="0"/>
                <w:sz w:val="24"/>
              </w:rPr>
            </w:pPr>
          </w:p>
        </w:tc>
        <w:tc>
          <w:tcPr>
            <w:tcW w:w="1025" w:type="dxa"/>
            <w:vMerge w:val="continue"/>
            <w:vAlign w:val="center"/>
          </w:tcPr>
          <w:p>
            <w:pPr>
              <w:widowControl/>
              <w:jc w:val="left"/>
              <w:rPr>
                <w:rFonts w:ascii="宋体" w:hAnsi="宋体" w:cs="宋体"/>
                <w:kern w:val="0"/>
                <w:sz w:val="24"/>
              </w:rPr>
            </w:pPr>
          </w:p>
        </w:tc>
        <w:tc>
          <w:tcPr>
            <w:tcW w:w="2836" w:type="dxa"/>
            <w:vMerge w:val="continue"/>
            <w:vAlign w:val="center"/>
          </w:tcPr>
          <w:p>
            <w:pPr>
              <w:widowControl/>
              <w:jc w:val="left"/>
              <w:rPr>
                <w:rFonts w:ascii="宋体" w:hAnsi="宋体" w:cs="宋体"/>
                <w:kern w:val="0"/>
                <w:sz w:val="24"/>
              </w:rPr>
            </w:pPr>
          </w:p>
        </w:tc>
        <w:tc>
          <w:tcPr>
            <w:tcW w:w="606" w:type="dxa"/>
            <w:vAlign w:val="center"/>
          </w:tcPr>
          <w:p>
            <w:pPr>
              <w:widowControl/>
              <w:jc w:val="left"/>
              <w:rPr>
                <w:rFonts w:ascii="宋体" w:hAnsi="宋体" w:cs="宋体"/>
                <w:kern w:val="0"/>
                <w:sz w:val="24"/>
              </w:rPr>
            </w:pPr>
            <w:r>
              <w:rPr>
                <w:rFonts w:ascii="宋体" w:hAnsi="宋体" w:cs="宋体"/>
                <w:kern w:val="0"/>
                <w:sz w:val="24"/>
              </w:rPr>
              <w:t>微型</w:t>
            </w:r>
          </w:p>
        </w:tc>
        <w:tc>
          <w:tcPr>
            <w:tcW w:w="3326" w:type="dxa"/>
            <w:vAlign w:val="center"/>
          </w:tcPr>
          <w:p>
            <w:pPr>
              <w:widowControl/>
              <w:jc w:val="left"/>
              <w:rPr>
                <w:rFonts w:ascii="宋体" w:hAnsi="宋体" w:cs="宋体"/>
                <w:kern w:val="0"/>
                <w:sz w:val="24"/>
              </w:rPr>
            </w:pPr>
            <w:r>
              <w:rPr>
                <w:rFonts w:ascii="宋体" w:hAnsi="宋体" w:cs="宋体"/>
                <w:kern w:val="0"/>
                <w:sz w:val="24"/>
              </w:rPr>
              <w:t>50亿元以下</w:t>
            </w:r>
          </w:p>
        </w:tc>
      </w:tr>
    </w:tbl>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23、代理服务费支付承诺书</w:t>
      </w:r>
    </w:p>
    <w:p>
      <w:pPr>
        <w:jc w:val="center"/>
        <w:rPr>
          <w:rFonts w:ascii="仿宋" w:hAnsi="仿宋" w:eastAsia="仿宋"/>
          <w:b/>
          <w:bCs/>
          <w:sz w:val="30"/>
          <w:szCs w:val="30"/>
        </w:rPr>
      </w:pPr>
    </w:p>
    <w:p>
      <w:pPr>
        <w:jc w:val="center"/>
        <w:rPr>
          <w:rFonts w:ascii="仿宋" w:hAnsi="仿宋" w:eastAsia="仿宋"/>
          <w:szCs w:val="21"/>
        </w:rPr>
      </w:pPr>
      <w:r>
        <w:rPr>
          <w:rFonts w:hint="eastAsia" w:ascii="仿宋" w:hAnsi="仿宋" w:eastAsia="仿宋"/>
          <w:b/>
          <w:bCs/>
          <w:sz w:val="30"/>
          <w:szCs w:val="30"/>
        </w:rPr>
        <w:t>代理服务费支付承诺书</w:t>
      </w:r>
    </w:p>
    <w:p>
      <w:pPr>
        <w:snapToGrid w:val="0"/>
        <w:spacing w:before="50" w:after="50" w:line="360" w:lineRule="auto"/>
        <w:rPr>
          <w:rFonts w:ascii="仿宋" w:hAnsi="仿宋" w:eastAsia="仿宋"/>
          <w:spacing w:val="20"/>
          <w:sz w:val="24"/>
          <w:u w:val="single"/>
        </w:rPr>
      </w:pPr>
    </w:p>
    <w:p>
      <w:pPr>
        <w:spacing w:before="50" w:after="50" w:line="360" w:lineRule="auto"/>
        <w:contextualSpacing/>
        <w:rPr>
          <w:rFonts w:ascii="仿宋" w:hAnsi="仿宋" w:eastAsia="仿宋"/>
          <w:spacing w:val="20"/>
          <w:sz w:val="24"/>
        </w:rPr>
      </w:pPr>
      <w:r>
        <w:rPr>
          <w:rFonts w:hint="eastAsia" w:ascii="仿宋" w:hAnsi="仿宋" w:eastAsia="仿宋"/>
          <w:spacing w:val="20"/>
          <w:sz w:val="24"/>
        </w:rPr>
        <w:t>致：</w:t>
      </w:r>
      <w:r>
        <w:rPr>
          <w:rFonts w:ascii="仿宋" w:hAnsi="仿宋" w:eastAsia="仿宋"/>
          <w:spacing w:val="20"/>
          <w:sz w:val="24"/>
        </w:rPr>
        <w:t xml:space="preserve"> </w:t>
      </w:r>
    </w:p>
    <w:p>
      <w:pPr>
        <w:spacing w:before="50" w:after="50" w:line="360" w:lineRule="auto"/>
        <w:ind w:firstLine="630"/>
        <w:contextualSpacing/>
        <w:rPr>
          <w:rFonts w:ascii="仿宋" w:hAnsi="仿宋" w:eastAsia="仿宋"/>
          <w:spacing w:val="20"/>
          <w:sz w:val="24"/>
        </w:rPr>
      </w:pPr>
      <w:r>
        <w:rPr>
          <w:rFonts w:hint="eastAsia" w:ascii="仿宋" w:hAnsi="仿宋" w:eastAsia="仿宋"/>
          <w:spacing w:val="20"/>
          <w:sz w:val="24"/>
        </w:rPr>
        <w:t>我公司已认真阅读了招标文件（项目编号：</w:t>
      </w:r>
      <w:r>
        <w:rPr>
          <w:rFonts w:ascii="仿宋" w:hAnsi="仿宋" w:eastAsia="仿宋"/>
          <w:spacing w:val="20"/>
          <w:sz w:val="24"/>
        </w:rPr>
        <w:t xml:space="preserve"> </w:t>
      </w:r>
      <w:r>
        <w:rPr>
          <w:rFonts w:hint="eastAsia" w:ascii="仿宋" w:hAnsi="仿宋" w:eastAsia="仿宋"/>
          <w:spacing w:val="20"/>
          <w:sz w:val="24"/>
        </w:rPr>
        <w:t xml:space="preserve">         ）并在此承诺：</w:t>
      </w:r>
    </w:p>
    <w:p>
      <w:pPr>
        <w:spacing w:before="50" w:after="50" w:line="360" w:lineRule="auto"/>
        <w:ind w:firstLine="630"/>
        <w:contextualSpacing/>
        <w:rPr>
          <w:rFonts w:ascii="仿宋" w:hAnsi="仿宋" w:eastAsia="仿宋"/>
          <w:sz w:val="24"/>
        </w:rPr>
      </w:pPr>
      <w:r>
        <w:rPr>
          <w:rFonts w:hint="eastAsia" w:ascii="仿宋" w:hAnsi="仿宋" w:eastAsia="仿宋"/>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before="50" w:after="50" w:line="360" w:lineRule="auto"/>
        <w:ind w:firstLine="630"/>
        <w:rPr>
          <w:rFonts w:ascii="仿宋" w:hAnsi="仿宋" w:eastAsia="仿宋"/>
          <w:sz w:val="24"/>
        </w:rPr>
      </w:pPr>
    </w:p>
    <w:p>
      <w:pPr>
        <w:snapToGrid w:val="0"/>
        <w:spacing w:line="360" w:lineRule="auto"/>
        <w:rPr>
          <w:rFonts w:ascii="仿宋" w:hAnsi="仿宋" w:eastAsia="仿宋"/>
          <w:sz w:val="24"/>
          <w:szCs w:val="20"/>
        </w:rPr>
      </w:pPr>
      <w:r>
        <w:rPr>
          <w:rFonts w:hint="eastAsia" w:ascii="仿宋" w:hAnsi="仿宋" w:eastAsia="仿宋"/>
          <w:sz w:val="24"/>
        </w:rPr>
        <w:t>承诺方（投标人）法定名称</w:t>
      </w:r>
      <w:r>
        <w:rPr>
          <w:rFonts w:ascii="仿宋" w:hAnsi="仿宋" w:eastAsia="仿宋"/>
          <w:sz w:val="24"/>
        </w:rPr>
        <w:t>：__________</w:t>
      </w:r>
      <w:r>
        <w:rPr>
          <w:rFonts w:hint="eastAsia" w:ascii="仿宋" w:hAnsi="仿宋" w:eastAsia="仿宋"/>
          <w:sz w:val="24"/>
          <w:u w:val="single"/>
        </w:rPr>
        <w:t>（盖章）</w:t>
      </w:r>
      <w:r>
        <w:rPr>
          <w:rFonts w:ascii="仿宋" w:hAnsi="仿宋" w:eastAsia="仿宋"/>
          <w:sz w:val="24"/>
        </w:rPr>
        <w:t>_________</w:t>
      </w:r>
    </w:p>
    <w:p>
      <w:pPr>
        <w:snapToGrid w:val="0"/>
        <w:spacing w:line="360" w:lineRule="auto"/>
        <w:rPr>
          <w:rFonts w:ascii="仿宋" w:hAnsi="仿宋" w:eastAsia="仿宋"/>
          <w:sz w:val="24"/>
        </w:rPr>
      </w:pPr>
      <w:r>
        <w:rPr>
          <w:rFonts w:hint="eastAsia" w:ascii="仿宋" w:hAnsi="仿宋" w:eastAsia="仿宋"/>
          <w:sz w:val="24"/>
        </w:rPr>
        <w:t>承诺方（投标人）法定地址</w:t>
      </w:r>
      <w:r>
        <w:rPr>
          <w:rFonts w:ascii="仿宋" w:hAnsi="仿宋" w:eastAsia="仿宋"/>
          <w:sz w:val="24"/>
        </w:rPr>
        <w:t xml:space="preserve">：___________________ </w:t>
      </w:r>
    </w:p>
    <w:p>
      <w:pPr>
        <w:snapToGrid w:val="0"/>
        <w:spacing w:before="50" w:after="50" w:line="360" w:lineRule="auto"/>
        <w:rPr>
          <w:rFonts w:ascii="仿宋" w:hAnsi="仿宋" w:eastAsia="仿宋"/>
          <w:sz w:val="24"/>
          <w:u w:val="single"/>
        </w:rPr>
      </w:pP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 xml:space="preserve">    联系传真：</w:t>
      </w:r>
      <w:r>
        <w:rPr>
          <w:rFonts w:hint="eastAsia" w:ascii="仿宋" w:hAnsi="仿宋" w:eastAsia="仿宋"/>
          <w:sz w:val="24"/>
          <w:u w:val="single"/>
        </w:rPr>
        <w:t xml:space="preserve">               </w:t>
      </w:r>
    </w:p>
    <w:p>
      <w:pPr>
        <w:snapToGrid w:val="0"/>
        <w:spacing w:before="50" w:after="50" w:line="360" w:lineRule="auto"/>
        <w:rPr>
          <w:rFonts w:ascii="仿宋" w:hAnsi="仿宋" w:eastAsia="仿宋"/>
          <w:sz w:val="24"/>
        </w:rPr>
      </w:pPr>
      <w:r>
        <w:rPr>
          <w:rFonts w:hint="eastAsia" w:ascii="仿宋" w:hAnsi="仿宋" w:eastAsia="仿宋"/>
          <w:sz w:val="24"/>
        </w:rPr>
        <w:t>承诺日期</w:t>
      </w:r>
      <w:r>
        <w:rPr>
          <w:rFonts w:ascii="仿宋" w:hAnsi="仿宋" w:eastAsia="仿宋"/>
          <w:sz w:val="24"/>
        </w:rPr>
        <w:t>：_____</w:t>
      </w:r>
      <w:r>
        <w:rPr>
          <w:rFonts w:hint="eastAsia" w:ascii="仿宋" w:hAnsi="仿宋" w:eastAsia="仿宋"/>
          <w:sz w:val="24"/>
        </w:rPr>
        <w:t>年</w:t>
      </w:r>
      <w:r>
        <w:rPr>
          <w:rFonts w:ascii="仿宋" w:hAnsi="仿宋" w:eastAsia="仿宋"/>
          <w:sz w:val="24"/>
        </w:rPr>
        <w:t>___</w:t>
      </w:r>
      <w:r>
        <w:rPr>
          <w:rFonts w:hint="eastAsia" w:ascii="仿宋" w:hAnsi="仿宋" w:eastAsia="仿宋"/>
          <w:sz w:val="24"/>
        </w:rPr>
        <w:t>月</w:t>
      </w:r>
      <w:r>
        <w:rPr>
          <w:rFonts w:ascii="仿宋" w:hAnsi="仿宋" w:eastAsia="仿宋"/>
          <w:sz w:val="24"/>
        </w:rPr>
        <w:t>___</w:t>
      </w:r>
      <w:r>
        <w:rPr>
          <w:rFonts w:hint="eastAsia" w:ascii="仿宋" w:hAnsi="仿宋" w:eastAsia="仿宋"/>
          <w:sz w:val="24"/>
        </w:rPr>
        <w:t>日</w:t>
      </w:r>
    </w:p>
    <w:p>
      <w:pPr>
        <w:rPr>
          <w:rFonts w:ascii="仿宋_GB2312" w:hAnsi="仿宋_GB2312" w:eastAsia="仿宋_GB2312" w:cs="仿宋_GB2312"/>
          <w:sz w:val="24"/>
        </w:rPr>
      </w:pPr>
    </w:p>
    <w:sectPr>
      <w:headerReference r:id="rId13" w:type="default"/>
      <w:footerReference r:id="rId14" w:type="default"/>
      <w:pgSz w:w="11905" w:h="16838"/>
      <w:pgMar w:top="1417" w:right="1417" w:bottom="1417" w:left="1417" w:header="850" w:footer="85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pBdr>
        <w:top w:val="none" w:color="auto" w:sz="0" w:space="0"/>
        <w:left w:val="none" w:color="auto" w:sz="0" w:space="0"/>
        <w:bottom w:val="none" w:color="auto" w:sz="0" w:space="0"/>
        <w:right w:val="none" w:color="auto" w:sz="0" w:space="0"/>
      </w:pBdr>
    </w:pPr>
    <w:r>
      <w:rPr>
        <w:rStyle w:val="45"/>
      </w:rPr>
      <w:fldChar w:fldCharType="begin"/>
    </w:r>
    <w:r>
      <w:rPr>
        <w:rStyle w:val="45"/>
      </w:rPr>
      <w:instrText xml:space="preserve">Page</w:instrText>
    </w:r>
    <w:r>
      <w:rPr>
        <w:rStyle w:val="45"/>
      </w:rPr>
      <w:fldChar w:fldCharType="separate"/>
    </w:r>
    <w:r>
      <w:rPr>
        <w:rStyle w:val="45"/>
      </w:rPr>
      <w:t>1</w:t>
    </w:r>
    <w:r>
      <w:rPr>
        <w:rStyle w:val="45"/>
      </w:rPr>
      <w:fldChar w:fldCharType="end"/>
    </w:r>
  </w:p>
  <w:p>
    <w:pPr>
      <w:pStyle w:val="27"/>
      <w:framePr w:wrap="around" w:vAnchor="text" w:hAnchor="margin" w:xAlign="center" w:y="1"/>
      <w:pBdr>
        <w:top w:val="none" w:color="auto" w:sz="0" w:space="0"/>
        <w:left w:val="none" w:color="auto" w:sz="0" w:space="0"/>
        <w:bottom w:val="none" w:color="auto" w:sz="0" w:space="0"/>
        <w:right w:val="none" w:color="auto" w:sz="0" w:space="0"/>
      </w:pBdr>
    </w:pPr>
    <w:r>
      <w:rPr>
        <w:rStyle w:val="45"/>
      </w:rPr>
      <w:fldChar w:fldCharType="begin"/>
    </w:r>
    <w:r>
      <w:rPr>
        <w:rStyle w:val="45"/>
      </w:rPr>
      <w:instrText xml:space="preserve">Page</w:instrText>
    </w:r>
    <w:r>
      <w:rPr>
        <w:rStyle w:val="45"/>
      </w:rPr>
      <w:fldChar w:fldCharType="separate"/>
    </w:r>
    <w:r>
      <w:rPr>
        <w:rStyle w:val="45"/>
      </w:rPr>
      <w:t>1</w:t>
    </w:r>
    <w:r>
      <w:rPr>
        <w:rStyle w:val="45"/>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44</w:t>
                </w:r>
                <w:r>
                  <w:fldChar w:fldCharType="end"/>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43</w:t>
                </w:r>
                <w:r>
                  <w:fldChar w:fldCharType="end"/>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sz w:val="18"/>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63</w:t>
                </w:r>
                <w:r>
                  <w:fldChar w:fldCharType="end"/>
                </w:r>
              </w:p>
            </w:txbxContent>
          </v:textbox>
        </v:shape>
      </w:pict>
    </w:r>
  </w:p>
  <w:p>
    <w:pPr>
      <w:pStyle w:val="27"/>
    </w:pP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1E6B9615"/>
    <w:multiLevelType w:val="singleLevel"/>
    <w:tmpl w:val="1E6B9615"/>
    <w:lvl w:ilvl="0" w:tentative="0">
      <w:start w:val="1"/>
      <w:numFmt w:val="decimal"/>
      <w:suff w:val="nothing"/>
      <w:lvlText w:val="（%1）"/>
      <w:lvlJc w:val="left"/>
    </w:lvl>
  </w:abstractNum>
  <w:abstractNum w:abstractNumId="3">
    <w:nsid w:val="55A64084"/>
    <w:multiLevelType w:val="singleLevel"/>
    <w:tmpl w:val="55A64084"/>
    <w:lvl w:ilvl="0" w:tentative="0">
      <w:start w:val="1"/>
      <w:numFmt w:val="chineseCounting"/>
      <w:suff w:val="space"/>
      <w:lvlText w:val="第%1部分"/>
      <w:lvlJc w:val="left"/>
      <w:rPr>
        <w:rFonts w:hint="eastAsia"/>
      </w:r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D883EFB"/>
    <w:multiLevelType w:val="multilevel"/>
    <w:tmpl w:val="5D883EFB"/>
    <w:lvl w:ilvl="0" w:tentative="0">
      <w:start w:val="1"/>
      <w:numFmt w:val="decimal"/>
      <w:lvlText w:val="%1."/>
      <w:legacy w:legacy="1" w:legacySpace="0" w:legacyIndent="425"/>
      <w:lvlJc w:val="left"/>
      <w:pPr>
        <w:ind w:left="425" w:hanging="425"/>
      </w:pPr>
    </w:lvl>
    <w:lvl w:ilvl="1" w:tentative="0">
      <w:start w:val="1"/>
      <w:numFmt w:val="decimal"/>
      <w:pStyle w:val="19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4ZmY1MjRkOGQ4YThhNDg4MTRjODMyNGQyMTExYTQifQ=="/>
  </w:docVars>
  <w:rsids>
    <w:rsidRoot w:val="00417C8A"/>
    <w:rsid w:val="00002EF8"/>
    <w:rsid w:val="00003B69"/>
    <w:rsid w:val="00005125"/>
    <w:rsid w:val="0000551C"/>
    <w:rsid w:val="00007AAB"/>
    <w:rsid w:val="00010C9A"/>
    <w:rsid w:val="00010FC1"/>
    <w:rsid w:val="0001278F"/>
    <w:rsid w:val="0002045E"/>
    <w:rsid w:val="00021D87"/>
    <w:rsid w:val="0002203D"/>
    <w:rsid w:val="0002468D"/>
    <w:rsid w:val="00025A9F"/>
    <w:rsid w:val="00026762"/>
    <w:rsid w:val="00031F75"/>
    <w:rsid w:val="000329A7"/>
    <w:rsid w:val="00033D7B"/>
    <w:rsid w:val="000402F5"/>
    <w:rsid w:val="00040A03"/>
    <w:rsid w:val="00047118"/>
    <w:rsid w:val="00047D3B"/>
    <w:rsid w:val="0005172F"/>
    <w:rsid w:val="000517D0"/>
    <w:rsid w:val="00051C47"/>
    <w:rsid w:val="000535F4"/>
    <w:rsid w:val="00056199"/>
    <w:rsid w:val="0005700A"/>
    <w:rsid w:val="0006049D"/>
    <w:rsid w:val="0006344A"/>
    <w:rsid w:val="0006392C"/>
    <w:rsid w:val="000643A5"/>
    <w:rsid w:val="00065197"/>
    <w:rsid w:val="000657C6"/>
    <w:rsid w:val="00065EFB"/>
    <w:rsid w:val="00067FB2"/>
    <w:rsid w:val="000702AD"/>
    <w:rsid w:val="00074373"/>
    <w:rsid w:val="000751F9"/>
    <w:rsid w:val="00075850"/>
    <w:rsid w:val="0007656E"/>
    <w:rsid w:val="000812D0"/>
    <w:rsid w:val="00082DC1"/>
    <w:rsid w:val="00083E93"/>
    <w:rsid w:val="00083EB1"/>
    <w:rsid w:val="00087605"/>
    <w:rsid w:val="00092B23"/>
    <w:rsid w:val="000933A2"/>
    <w:rsid w:val="0009629C"/>
    <w:rsid w:val="00097421"/>
    <w:rsid w:val="00097868"/>
    <w:rsid w:val="0009797B"/>
    <w:rsid w:val="000A0868"/>
    <w:rsid w:val="000A1F26"/>
    <w:rsid w:val="000A3FC5"/>
    <w:rsid w:val="000A4017"/>
    <w:rsid w:val="000A5AC0"/>
    <w:rsid w:val="000B0284"/>
    <w:rsid w:val="000B14AE"/>
    <w:rsid w:val="000B1744"/>
    <w:rsid w:val="000B1D0B"/>
    <w:rsid w:val="000B2A94"/>
    <w:rsid w:val="000B625B"/>
    <w:rsid w:val="000C14CF"/>
    <w:rsid w:val="000C1F3C"/>
    <w:rsid w:val="000C3344"/>
    <w:rsid w:val="000D0E6C"/>
    <w:rsid w:val="000D110F"/>
    <w:rsid w:val="000D122E"/>
    <w:rsid w:val="000D1267"/>
    <w:rsid w:val="000D1D59"/>
    <w:rsid w:val="000D4D0E"/>
    <w:rsid w:val="000D716C"/>
    <w:rsid w:val="000E1C88"/>
    <w:rsid w:val="000E3723"/>
    <w:rsid w:val="000E4A4F"/>
    <w:rsid w:val="000E5C9B"/>
    <w:rsid w:val="000E6F8C"/>
    <w:rsid w:val="000E72A0"/>
    <w:rsid w:val="000F0D59"/>
    <w:rsid w:val="000F51A7"/>
    <w:rsid w:val="000F5EF4"/>
    <w:rsid w:val="000F7FA8"/>
    <w:rsid w:val="001023D9"/>
    <w:rsid w:val="00103B47"/>
    <w:rsid w:val="00104327"/>
    <w:rsid w:val="00104663"/>
    <w:rsid w:val="00104806"/>
    <w:rsid w:val="00104A07"/>
    <w:rsid w:val="0010763D"/>
    <w:rsid w:val="00111E93"/>
    <w:rsid w:val="00112B08"/>
    <w:rsid w:val="00114BF9"/>
    <w:rsid w:val="00114C81"/>
    <w:rsid w:val="00115363"/>
    <w:rsid w:val="00116EDA"/>
    <w:rsid w:val="0012018C"/>
    <w:rsid w:val="00120D86"/>
    <w:rsid w:val="00121BE7"/>
    <w:rsid w:val="0012490E"/>
    <w:rsid w:val="001259AD"/>
    <w:rsid w:val="00125D70"/>
    <w:rsid w:val="00126CDE"/>
    <w:rsid w:val="00132EE2"/>
    <w:rsid w:val="001345B3"/>
    <w:rsid w:val="0013527E"/>
    <w:rsid w:val="00137525"/>
    <w:rsid w:val="0014024E"/>
    <w:rsid w:val="0014242C"/>
    <w:rsid w:val="0014545F"/>
    <w:rsid w:val="00145D25"/>
    <w:rsid w:val="00152844"/>
    <w:rsid w:val="00154591"/>
    <w:rsid w:val="00154E3A"/>
    <w:rsid w:val="00156402"/>
    <w:rsid w:val="00156633"/>
    <w:rsid w:val="00157269"/>
    <w:rsid w:val="0015771E"/>
    <w:rsid w:val="00157914"/>
    <w:rsid w:val="00157FB7"/>
    <w:rsid w:val="00160B0A"/>
    <w:rsid w:val="00161F66"/>
    <w:rsid w:val="00162DD9"/>
    <w:rsid w:val="001637A2"/>
    <w:rsid w:val="00163B9C"/>
    <w:rsid w:val="00165068"/>
    <w:rsid w:val="001657B2"/>
    <w:rsid w:val="00167505"/>
    <w:rsid w:val="00171701"/>
    <w:rsid w:val="0017455C"/>
    <w:rsid w:val="00174F52"/>
    <w:rsid w:val="001751A8"/>
    <w:rsid w:val="0018130F"/>
    <w:rsid w:val="00181544"/>
    <w:rsid w:val="00182D73"/>
    <w:rsid w:val="0018376B"/>
    <w:rsid w:val="001841D9"/>
    <w:rsid w:val="00184C15"/>
    <w:rsid w:val="00185F55"/>
    <w:rsid w:val="001873DB"/>
    <w:rsid w:val="00187AB1"/>
    <w:rsid w:val="0019064E"/>
    <w:rsid w:val="00190DB7"/>
    <w:rsid w:val="00191263"/>
    <w:rsid w:val="00191BE8"/>
    <w:rsid w:val="00191EE1"/>
    <w:rsid w:val="00193494"/>
    <w:rsid w:val="00194583"/>
    <w:rsid w:val="001A0C24"/>
    <w:rsid w:val="001A15C0"/>
    <w:rsid w:val="001A4123"/>
    <w:rsid w:val="001A4A9D"/>
    <w:rsid w:val="001A6712"/>
    <w:rsid w:val="001A7E2A"/>
    <w:rsid w:val="001B2770"/>
    <w:rsid w:val="001B485F"/>
    <w:rsid w:val="001B4C51"/>
    <w:rsid w:val="001B589D"/>
    <w:rsid w:val="001B70E5"/>
    <w:rsid w:val="001B748B"/>
    <w:rsid w:val="001C07C7"/>
    <w:rsid w:val="001C4733"/>
    <w:rsid w:val="001C57F3"/>
    <w:rsid w:val="001C5AA3"/>
    <w:rsid w:val="001C6042"/>
    <w:rsid w:val="001C6A81"/>
    <w:rsid w:val="001C6EC1"/>
    <w:rsid w:val="001D24BB"/>
    <w:rsid w:val="001D30DD"/>
    <w:rsid w:val="001D3CEA"/>
    <w:rsid w:val="001D43F0"/>
    <w:rsid w:val="001D6ED7"/>
    <w:rsid w:val="001D76A1"/>
    <w:rsid w:val="001E3B20"/>
    <w:rsid w:val="001E4A9F"/>
    <w:rsid w:val="001F14C4"/>
    <w:rsid w:val="001F2767"/>
    <w:rsid w:val="001F429B"/>
    <w:rsid w:val="001F43C6"/>
    <w:rsid w:val="001F4C63"/>
    <w:rsid w:val="001F661E"/>
    <w:rsid w:val="001F7E31"/>
    <w:rsid w:val="00201062"/>
    <w:rsid w:val="0020236F"/>
    <w:rsid w:val="00204DA6"/>
    <w:rsid w:val="0020567D"/>
    <w:rsid w:val="002056F9"/>
    <w:rsid w:val="00205B7D"/>
    <w:rsid w:val="002062F2"/>
    <w:rsid w:val="0020786F"/>
    <w:rsid w:val="002102AD"/>
    <w:rsid w:val="00210450"/>
    <w:rsid w:val="002105F0"/>
    <w:rsid w:val="00213AC9"/>
    <w:rsid w:val="00214C2B"/>
    <w:rsid w:val="00214D48"/>
    <w:rsid w:val="0022062E"/>
    <w:rsid w:val="002212C4"/>
    <w:rsid w:val="0022186D"/>
    <w:rsid w:val="00223848"/>
    <w:rsid w:val="00223A5B"/>
    <w:rsid w:val="00224A52"/>
    <w:rsid w:val="002261D7"/>
    <w:rsid w:val="002266CD"/>
    <w:rsid w:val="0022698F"/>
    <w:rsid w:val="00230A8D"/>
    <w:rsid w:val="00231CB7"/>
    <w:rsid w:val="00233356"/>
    <w:rsid w:val="00235AC1"/>
    <w:rsid w:val="0023638E"/>
    <w:rsid w:val="00240411"/>
    <w:rsid w:val="00243D9A"/>
    <w:rsid w:val="002442F3"/>
    <w:rsid w:val="00244766"/>
    <w:rsid w:val="00247AB8"/>
    <w:rsid w:val="00251888"/>
    <w:rsid w:val="0025660E"/>
    <w:rsid w:val="00256A92"/>
    <w:rsid w:val="0025749B"/>
    <w:rsid w:val="002608A0"/>
    <w:rsid w:val="00260A0D"/>
    <w:rsid w:val="00262E82"/>
    <w:rsid w:val="00264B31"/>
    <w:rsid w:val="00264FFB"/>
    <w:rsid w:val="00266447"/>
    <w:rsid w:val="00267D7C"/>
    <w:rsid w:val="00270E20"/>
    <w:rsid w:val="00271324"/>
    <w:rsid w:val="00274B01"/>
    <w:rsid w:val="00275F7B"/>
    <w:rsid w:val="00283EAF"/>
    <w:rsid w:val="002857D3"/>
    <w:rsid w:val="002860D2"/>
    <w:rsid w:val="00286495"/>
    <w:rsid w:val="00291839"/>
    <w:rsid w:val="00291D57"/>
    <w:rsid w:val="002945E5"/>
    <w:rsid w:val="00295DD9"/>
    <w:rsid w:val="002A0921"/>
    <w:rsid w:val="002A13E9"/>
    <w:rsid w:val="002A168D"/>
    <w:rsid w:val="002A22BB"/>
    <w:rsid w:val="002A2667"/>
    <w:rsid w:val="002A3119"/>
    <w:rsid w:val="002A4A75"/>
    <w:rsid w:val="002A5124"/>
    <w:rsid w:val="002A683A"/>
    <w:rsid w:val="002A6BAE"/>
    <w:rsid w:val="002A72A8"/>
    <w:rsid w:val="002A7EFA"/>
    <w:rsid w:val="002B0298"/>
    <w:rsid w:val="002B186A"/>
    <w:rsid w:val="002B1BA5"/>
    <w:rsid w:val="002B3711"/>
    <w:rsid w:val="002B4A4B"/>
    <w:rsid w:val="002B5650"/>
    <w:rsid w:val="002B6B66"/>
    <w:rsid w:val="002B78AF"/>
    <w:rsid w:val="002C0C85"/>
    <w:rsid w:val="002C2C53"/>
    <w:rsid w:val="002C3804"/>
    <w:rsid w:val="002C65F6"/>
    <w:rsid w:val="002C7AA4"/>
    <w:rsid w:val="002D2F86"/>
    <w:rsid w:val="002D5386"/>
    <w:rsid w:val="002D6849"/>
    <w:rsid w:val="002D6DC6"/>
    <w:rsid w:val="002D7C56"/>
    <w:rsid w:val="002E2C11"/>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40EC"/>
    <w:rsid w:val="00307917"/>
    <w:rsid w:val="00310479"/>
    <w:rsid w:val="00310557"/>
    <w:rsid w:val="00310AA4"/>
    <w:rsid w:val="0031167A"/>
    <w:rsid w:val="00316329"/>
    <w:rsid w:val="003214B7"/>
    <w:rsid w:val="00322583"/>
    <w:rsid w:val="00322E59"/>
    <w:rsid w:val="00323729"/>
    <w:rsid w:val="00323B52"/>
    <w:rsid w:val="00323E60"/>
    <w:rsid w:val="003250A1"/>
    <w:rsid w:val="0032789C"/>
    <w:rsid w:val="00327C7D"/>
    <w:rsid w:val="003302F0"/>
    <w:rsid w:val="00332DA4"/>
    <w:rsid w:val="00334D83"/>
    <w:rsid w:val="003371DD"/>
    <w:rsid w:val="00340D15"/>
    <w:rsid w:val="003413F9"/>
    <w:rsid w:val="0034305B"/>
    <w:rsid w:val="00347CAD"/>
    <w:rsid w:val="00350E72"/>
    <w:rsid w:val="00351EEF"/>
    <w:rsid w:val="0035254A"/>
    <w:rsid w:val="003565A0"/>
    <w:rsid w:val="003618CE"/>
    <w:rsid w:val="00365766"/>
    <w:rsid w:val="00365F56"/>
    <w:rsid w:val="003670EB"/>
    <w:rsid w:val="00367EAB"/>
    <w:rsid w:val="0037368A"/>
    <w:rsid w:val="00375107"/>
    <w:rsid w:val="0037517D"/>
    <w:rsid w:val="003822F9"/>
    <w:rsid w:val="00384E3C"/>
    <w:rsid w:val="00385323"/>
    <w:rsid w:val="0039130B"/>
    <w:rsid w:val="00391E7C"/>
    <w:rsid w:val="00392AD8"/>
    <w:rsid w:val="00393589"/>
    <w:rsid w:val="00393A4C"/>
    <w:rsid w:val="003949AE"/>
    <w:rsid w:val="003A137B"/>
    <w:rsid w:val="003A19D2"/>
    <w:rsid w:val="003A3963"/>
    <w:rsid w:val="003A546B"/>
    <w:rsid w:val="003A74F5"/>
    <w:rsid w:val="003B1CEB"/>
    <w:rsid w:val="003B24CA"/>
    <w:rsid w:val="003B2A7E"/>
    <w:rsid w:val="003B2B02"/>
    <w:rsid w:val="003B4EAE"/>
    <w:rsid w:val="003B774D"/>
    <w:rsid w:val="003B7907"/>
    <w:rsid w:val="003C46C5"/>
    <w:rsid w:val="003C4B74"/>
    <w:rsid w:val="003C527A"/>
    <w:rsid w:val="003C637D"/>
    <w:rsid w:val="003C7A48"/>
    <w:rsid w:val="003C7F20"/>
    <w:rsid w:val="003D10C3"/>
    <w:rsid w:val="003D1A22"/>
    <w:rsid w:val="003D3253"/>
    <w:rsid w:val="003D391F"/>
    <w:rsid w:val="003D7052"/>
    <w:rsid w:val="003E074D"/>
    <w:rsid w:val="003E0777"/>
    <w:rsid w:val="003E2D56"/>
    <w:rsid w:val="003E4007"/>
    <w:rsid w:val="003E5724"/>
    <w:rsid w:val="003E6C02"/>
    <w:rsid w:val="003F2982"/>
    <w:rsid w:val="003F4084"/>
    <w:rsid w:val="003F77E0"/>
    <w:rsid w:val="00400057"/>
    <w:rsid w:val="00400B4D"/>
    <w:rsid w:val="00400BD4"/>
    <w:rsid w:val="004014D1"/>
    <w:rsid w:val="004039C1"/>
    <w:rsid w:val="00403FEC"/>
    <w:rsid w:val="00404284"/>
    <w:rsid w:val="00407D88"/>
    <w:rsid w:val="004109FD"/>
    <w:rsid w:val="0041394C"/>
    <w:rsid w:val="00413B7A"/>
    <w:rsid w:val="0041460B"/>
    <w:rsid w:val="00414F64"/>
    <w:rsid w:val="00417C8A"/>
    <w:rsid w:val="0042136D"/>
    <w:rsid w:val="00423BEF"/>
    <w:rsid w:val="00424C70"/>
    <w:rsid w:val="0042557D"/>
    <w:rsid w:val="00426003"/>
    <w:rsid w:val="00426CA3"/>
    <w:rsid w:val="00427B10"/>
    <w:rsid w:val="004350B7"/>
    <w:rsid w:val="004357E0"/>
    <w:rsid w:val="0043766D"/>
    <w:rsid w:val="00441896"/>
    <w:rsid w:val="00442935"/>
    <w:rsid w:val="0044422F"/>
    <w:rsid w:val="004443C5"/>
    <w:rsid w:val="00445C1C"/>
    <w:rsid w:val="00447789"/>
    <w:rsid w:val="00450F51"/>
    <w:rsid w:val="004513F6"/>
    <w:rsid w:val="00451D55"/>
    <w:rsid w:val="00457231"/>
    <w:rsid w:val="00457BF2"/>
    <w:rsid w:val="004600A6"/>
    <w:rsid w:val="00460793"/>
    <w:rsid w:val="0046142B"/>
    <w:rsid w:val="00461637"/>
    <w:rsid w:val="00463E5C"/>
    <w:rsid w:val="00464359"/>
    <w:rsid w:val="00465D0D"/>
    <w:rsid w:val="00467CFF"/>
    <w:rsid w:val="0047117D"/>
    <w:rsid w:val="00471407"/>
    <w:rsid w:val="00471DA5"/>
    <w:rsid w:val="00472E4E"/>
    <w:rsid w:val="0047483C"/>
    <w:rsid w:val="00474BED"/>
    <w:rsid w:val="00476C0B"/>
    <w:rsid w:val="00477EFE"/>
    <w:rsid w:val="004832BC"/>
    <w:rsid w:val="00485E04"/>
    <w:rsid w:val="00486B01"/>
    <w:rsid w:val="00487465"/>
    <w:rsid w:val="004939A7"/>
    <w:rsid w:val="00495C9D"/>
    <w:rsid w:val="0049681F"/>
    <w:rsid w:val="00497699"/>
    <w:rsid w:val="00497DB2"/>
    <w:rsid w:val="004A0174"/>
    <w:rsid w:val="004A236E"/>
    <w:rsid w:val="004A3418"/>
    <w:rsid w:val="004A403F"/>
    <w:rsid w:val="004A51BA"/>
    <w:rsid w:val="004A5DF1"/>
    <w:rsid w:val="004A6677"/>
    <w:rsid w:val="004A7A78"/>
    <w:rsid w:val="004B0401"/>
    <w:rsid w:val="004B3B15"/>
    <w:rsid w:val="004B5136"/>
    <w:rsid w:val="004B5B9E"/>
    <w:rsid w:val="004C0238"/>
    <w:rsid w:val="004C0EE6"/>
    <w:rsid w:val="004C30B9"/>
    <w:rsid w:val="004C3EFB"/>
    <w:rsid w:val="004C40D8"/>
    <w:rsid w:val="004C5147"/>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4899"/>
    <w:rsid w:val="004E7CD7"/>
    <w:rsid w:val="004F3734"/>
    <w:rsid w:val="004F69CA"/>
    <w:rsid w:val="004F7507"/>
    <w:rsid w:val="004F7995"/>
    <w:rsid w:val="00503D74"/>
    <w:rsid w:val="005041C0"/>
    <w:rsid w:val="0050570A"/>
    <w:rsid w:val="0050629F"/>
    <w:rsid w:val="00513DE6"/>
    <w:rsid w:val="005144B2"/>
    <w:rsid w:val="00517733"/>
    <w:rsid w:val="005215F9"/>
    <w:rsid w:val="00522169"/>
    <w:rsid w:val="005230CA"/>
    <w:rsid w:val="0052340D"/>
    <w:rsid w:val="0052376F"/>
    <w:rsid w:val="00524FD6"/>
    <w:rsid w:val="00527442"/>
    <w:rsid w:val="00527E1C"/>
    <w:rsid w:val="00532937"/>
    <w:rsid w:val="00532D0F"/>
    <w:rsid w:val="005351C1"/>
    <w:rsid w:val="00536FBF"/>
    <w:rsid w:val="0054018C"/>
    <w:rsid w:val="005410BB"/>
    <w:rsid w:val="00544130"/>
    <w:rsid w:val="005459FE"/>
    <w:rsid w:val="00545F40"/>
    <w:rsid w:val="00553FE7"/>
    <w:rsid w:val="0055544C"/>
    <w:rsid w:val="00555780"/>
    <w:rsid w:val="00556840"/>
    <w:rsid w:val="00557737"/>
    <w:rsid w:val="0056065C"/>
    <w:rsid w:val="00565E32"/>
    <w:rsid w:val="00565EF8"/>
    <w:rsid w:val="00566709"/>
    <w:rsid w:val="00566FBC"/>
    <w:rsid w:val="0057066B"/>
    <w:rsid w:val="00570DFC"/>
    <w:rsid w:val="00572BAD"/>
    <w:rsid w:val="00573677"/>
    <w:rsid w:val="005738F4"/>
    <w:rsid w:val="00573BCB"/>
    <w:rsid w:val="00575CC2"/>
    <w:rsid w:val="00576529"/>
    <w:rsid w:val="00576EFE"/>
    <w:rsid w:val="005770CA"/>
    <w:rsid w:val="00581324"/>
    <w:rsid w:val="00582D8F"/>
    <w:rsid w:val="00585233"/>
    <w:rsid w:val="0058680D"/>
    <w:rsid w:val="00586C3A"/>
    <w:rsid w:val="005879E7"/>
    <w:rsid w:val="00590A70"/>
    <w:rsid w:val="00591190"/>
    <w:rsid w:val="00591584"/>
    <w:rsid w:val="00594CDD"/>
    <w:rsid w:val="005A3003"/>
    <w:rsid w:val="005A32FB"/>
    <w:rsid w:val="005A3E6E"/>
    <w:rsid w:val="005A7A4A"/>
    <w:rsid w:val="005B180C"/>
    <w:rsid w:val="005C2908"/>
    <w:rsid w:val="005C2B59"/>
    <w:rsid w:val="005C30CF"/>
    <w:rsid w:val="005C3154"/>
    <w:rsid w:val="005C3A22"/>
    <w:rsid w:val="005C54A7"/>
    <w:rsid w:val="005C6EE6"/>
    <w:rsid w:val="005C6F10"/>
    <w:rsid w:val="005D0155"/>
    <w:rsid w:val="005D2F62"/>
    <w:rsid w:val="005D375C"/>
    <w:rsid w:val="005D451A"/>
    <w:rsid w:val="005D6575"/>
    <w:rsid w:val="005D70ED"/>
    <w:rsid w:val="005E282B"/>
    <w:rsid w:val="005E33BD"/>
    <w:rsid w:val="005E4144"/>
    <w:rsid w:val="005E4CB0"/>
    <w:rsid w:val="005E5B57"/>
    <w:rsid w:val="005E68E7"/>
    <w:rsid w:val="005F510E"/>
    <w:rsid w:val="005F5691"/>
    <w:rsid w:val="005F78A5"/>
    <w:rsid w:val="00601F1E"/>
    <w:rsid w:val="006029F2"/>
    <w:rsid w:val="00604458"/>
    <w:rsid w:val="00605CCE"/>
    <w:rsid w:val="00606ED5"/>
    <w:rsid w:val="006070BD"/>
    <w:rsid w:val="006073C6"/>
    <w:rsid w:val="00607E60"/>
    <w:rsid w:val="006107F3"/>
    <w:rsid w:val="006120C0"/>
    <w:rsid w:val="00615BAF"/>
    <w:rsid w:val="00617775"/>
    <w:rsid w:val="00622201"/>
    <w:rsid w:val="006225C8"/>
    <w:rsid w:val="006225CB"/>
    <w:rsid w:val="00624516"/>
    <w:rsid w:val="00625199"/>
    <w:rsid w:val="006257E9"/>
    <w:rsid w:val="00625BC2"/>
    <w:rsid w:val="0062625D"/>
    <w:rsid w:val="006264DB"/>
    <w:rsid w:val="00630ADC"/>
    <w:rsid w:val="00630CF7"/>
    <w:rsid w:val="006351A3"/>
    <w:rsid w:val="00637770"/>
    <w:rsid w:val="006378C9"/>
    <w:rsid w:val="00642276"/>
    <w:rsid w:val="00643AA9"/>
    <w:rsid w:val="00643BDC"/>
    <w:rsid w:val="0064613F"/>
    <w:rsid w:val="006465FE"/>
    <w:rsid w:val="006467D7"/>
    <w:rsid w:val="00646E44"/>
    <w:rsid w:val="00651F43"/>
    <w:rsid w:val="006527F3"/>
    <w:rsid w:val="006541FB"/>
    <w:rsid w:val="006628E8"/>
    <w:rsid w:val="00665466"/>
    <w:rsid w:val="00665C19"/>
    <w:rsid w:val="00665CBD"/>
    <w:rsid w:val="00671A32"/>
    <w:rsid w:val="00672AC8"/>
    <w:rsid w:val="00675C4B"/>
    <w:rsid w:val="0067762D"/>
    <w:rsid w:val="00680B4E"/>
    <w:rsid w:val="006810E4"/>
    <w:rsid w:val="006814C4"/>
    <w:rsid w:val="006839B6"/>
    <w:rsid w:val="006843E1"/>
    <w:rsid w:val="006856F5"/>
    <w:rsid w:val="0068671B"/>
    <w:rsid w:val="00686CFF"/>
    <w:rsid w:val="00686F48"/>
    <w:rsid w:val="006872D9"/>
    <w:rsid w:val="00687DA3"/>
    <w:rsid w:val="0069160B"/>
    <w:rsid w:val="006936A5"/>
    <w:rsid w:val="006948E4"/>
    <w:rsid w:val="00694B34"/>
    <w:rsid w:val="00694B87"/>
    <w:rsid w:val="00694D00"/>
    <w:rsid w:val="006A1906"/>
    <w:rsid w:val="006A3D9E"/>
    <w:rsid w:val="006A4F05"/>
    <w:rsid w:val="006A69A8"/>
    <w:rsid w:val="006B183A"/>
    <w:rsid w:val="006B1904"/>
    <w:rsid w:val="006B1A97"/>
    <w:rsid w:val="006B4F54"/>
    <w:rsid w:val="006B6B67"/>
    <w:rsid w:val="006C002F"/>
    <w:rsid w:val="006C02F5"/>
    <w:rsid w:val="006C5FEF"/>
    <w:rsid w:val="006C7EB3"/>
    <w:rsid w:val="006D5227"/>
    <w:rsid w:val="006D629D"/>
    <w:rsid w:val="006E51D3"/>
    <w:rsid w:val="006E64A5"/>
    <w:rsid w:val="006E6C77"/>
    <w:rsid w:val="006E772C"/>
    <w:rsid w:val="006E797A"/>
    <w:rsid w:val="006F0A0C"/>
    <w:rsid w:val="006F1D8D"/>
    <w:rsid w:val="006F2510"/>
    <w:rsid w:val="006F3A0F"/>
    <w:rsid w:val="006F3BC8"/>
    <w:rsid w:val="007014C0"/>
    <w:rsid w:val="00702458"/>
    <w:rsid w:val="00704455"/>
    <w:rsid w:val="007047D8"/>
    <w:rsid w:val="00707395"/>
    <w:rsid w:val="007122EB"/>
    <w:rsid w:val="00715B09"/>
    <w:rsid w:val="0072144E"/>
    <w:rsid w:val="00721BF4"/>
    <w:rsid w:val="00722300"/>
    <w:rsid w:val="00722DF5"/>
    <w:rsid w:val="00725A2B"/>
    <w:rsid w:val="007266EE"/>
    <w:rsid w:val="00727382"/>
    <w:rsid w:val="0072764B"/>
    <w:rsid w:val="00727936"/>
    <w:rsid w:val="00727E2C"/>
    <w:rsid w:val="00727F6F"/>
    <w:rsid w:val="007327FF"/>
    <w:rsid w:val="007402C2"/>
    <w:rsid w:val="007402D5"/>
    <w:rsid w:val="00740EED"/>
    <w:rsid w:val="00741976"/>
    <w:rsid w:val="00741F19"/>
    <w:rsid w:val="00743134"/>
    <w:rsid w:val="007435B2"/>
    <w:rsid w:val="00743C5C"/>
    <w:rsid w:val="0075094E"/>
    <w:rsid w:val="00751DF3"/>
    <w:rsid w:val="00752F32"/>
    <w:rsid w:val="0075304B"/>
    <w:rsid w:val="00757BAC"/>
    <w:rsid w:val="0076108E"/>
    <w:rsid w:val="00762B5C"/>
    <w:rsid w:val="00766FAE"/>
    <w:rsid w:val="007715B9"/>
    <w:rsid w:val="00771654"/>
    <w:rsid w:val="00772AC2"/>
    <w:rsid w:val="00773A2C"/>
    <w:rsid w:val="00775269"/>
    <w:rsid w:val="0077608C"/>
    <w:rsid w:val="007774FA"/>
    <w:rsid w:val="00777C1A"/>
    <w:rsid w:val="00777D9F"/>
    <w:rsid w:val="00777DF4"/>
    <w:rsid w:val="00777F21"/>
    <w:rsid w:val="00780272"/>
    <w:rsid w:val="007804F7"/>
    <w:rsid w:val="007809BE"/>
    <w:rsid w:val="00780D50"/>
    <w:rsid w:val="007814B9"/>
    <w:rsid w:val="0078178E"/>
    <w:rsid w:val="007822C3"/>
    <w:rsid w:val="00784810"/>
    <w:rsid w:val="00785B15"/>
    <w:rsid w:val="00787752"/>
    <w:rsid w:val="007910DD"/>
    <w:rsid w:val="0079174D"/>
    <w:rsid w:val="00793282"/>
    <w:rsid w:val="0079412B"/>
    <w:rsid w:val="00794E94"/>
    <w:rsid w:val="00794F1B"/>
    <w:rsid w:val="007A06F3"/>
    <w:rsid w:val="007A160C"/>
    <w:rsid w:val="007A179B"/>
    <w:rsid w:val="007A4FF4"/>
    <w:rsid w:val="007A5361"/>
    <w:rsid w:val="007A6CC8"/>
    <w:rsid w:val="007B0001"/>
    <w:rsid w:val="007B3695"/>
    <w:rsid w:val="007B58B1"/>
    <w:rsid w:val="007B5ADD"/>
    <w:rsid w:val="007B6A7E"/>
    <w:rsid w:val="007B7257"/>
    <w:rsid w:val="007C2503"/>
    <w:rsid w:val="007C2B7A"/>
    <w:rsid w:val="007C4BF9"/>
    <w:rsid w:val="007C5716"/>
    <w:rsid w:val="007D0823"/>
    <w:rsid w:val="007D1249"/>
    <w:rsid w:val="007D3E95"/>
    <w:rsid w:val="007D4361"/>
    <w:rsid w:val="007D506A"/>
    <w:rsid w:val="007D7005"/>
    <w:rsid w:val="007E3068"/>
    <w:rsid w:val="007E6C18"/>
    <w:rsid w:val="007E765C"/>
    <w:rsid w:val="007F0029"/>
    <w:rsid w:val="007F0976"/>
    <w:rsid w:val="007F168D"/>
    <w:rsid w:val="007F1749"/>
    <w:rsid w:val="007F3580"/>
    <w:rsid w:val="007F5965"/>
    <w:rsid w:val="007F5CEC"/>
    <w:rsid w:val="007F6983"/>
    <w:rsid w:val="007F79BA"/>
    <w:rsid w:val="00800AE2"/>
    <w:rsid w:val="00801A06"/>
    <w:rsid w:val="00802471"/>
    <w:rsid w:val="00803059"/>
    <w:rsid w:val="008030DC"/>
    <w:rsid w:val="008040CB"/>
    <w:rsid w:val="0080418D"/>
    <w:rsid w:val="008050DE"/>
    <w:rsid w:val="008070FB"/>
    <w:rsid w:val="00810D84"/>
    <w:rsid w:val="00811B05"/>
    <w:rsid w:val="008125CD"/>
    <w:rsid w:val="00813057"/>
    <w:rsid w:val="00813A0F"/>
    <w:rsid w:val="00815230"/>
    <w:rsid w:val="00816151"/>
    <w:rsid w:val="00817564"/>
    <w:rsid w:val="00817EB6"/>
    <w:rsid w:val="0082016A"/>
    <w:rsid w:val="00820ECE"/>
    <w:rsid w:val="0082176B"/>
    <w:rsid w:val="00821954"/>
    <w:rsid w:val="008219AD"/>
    <w:rsid w:val="00822072"/>
    <w:rsid w:val="00822430"/>
    <w:rsid w:val="008231ED"/>
    <w:rsid w:val="0082403F"/>
    <w:rsid w:val="008244BC"/>
    <w:rsid w:val="0082455A"/>
    <w:rsid w:val="008248BC"/>
    <w:rsid w:val="008249F4"/>
    <w:rsid w:val="00825C61"/>
    <w:rsid w:val="00827589"/>
    <w:rsid w:val="00827791"/>
    <w:rsid w:val="0083025C"/>
    <w:rsid w:val="00830F84"/>
    <w:rsid w:val="008310B0"/>
    <w:rsid w:val="008325F0"/>
    <w:rsid w:val="00832CA5"/>
    <w:rsid w:val="00834788"/>
    <w:rsid w:val="00836946"/>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5797"/>
    <w:rsid w:val="00886234"/>
    <w:rsid w:val="008863D4"/>
    <w:rsid w:val="00886634"/>
    <w:rsid w:val="00887B85"/>
    <w:rsid w:val="00890B37"/>
    <w:rsid w:val="00890DCD"/>
    <w:rsid w:val="00896670"/>
    <w:rsid w:val="00896BE8"/>
    <w:rsid w:val="00896ED5"/>
    <w:rsid w:val="00897A25"/>
    <w:rsid w:val="008A037C"/>
    <w:rsid w:val="008A17D1"/>
    <w:rsid w:val="008A251A"/>
    <w:rsid w:val="008A5161"/>
    <w:rsid w:val="008A6135"/>
    <w:rsid w:val="008A7376"/>
    <w:rsid w:val="008B3587"/>
    <w:rsid w:val="008B3818"/>
    <w:rsid w:val="008B43D4"/>
    <w:rsid w:val="008B470F"/>
    <w:rsid w:val="008B6655"/>
    <w:rsid w:val="008C0F39"/>
    <w:rsid w:val="008C3401"/>
    <w:rsid w:val="008C4226"/>
    <w:rsid w:val="008C4325"/>
    <w:rsid w:val="008C4B7C"/>
    <w:rsid w:val="008C4E5B"/>
    <w:rsid w:val="008C5CF0"/>
    <w:rsid w:val="008C764A"/>
    <w:rsid w:val="008D18D9"/>
    <w:rsid w:val="008D4AB1"/>
    <w:rsid w:val="008D7471"/>
    <w:rsid w:val="008D7B31"/>
    <w:rsid w:val="008E19EE"/>
    <w:rsid w:val="008E1A0D"/>
    <w:rsid w:val="008E316D"/>
    <w:rsid w:val="008E4B80"/>
    <w:rsid w:val="008E6364"/>
    <w:rsid w:val="008E7F7C"/>
    <w:rsid w:val="008F03D5"/>
    <w:rsid w:val="008F07DF"/>
    <w:rsid w:val="008F1A2E"/>
    <w:rsid w:val="008F526D"/>
    <w:rsid w:val="00900D76"/>
    <w:rsid w:val="00901100"/>
    <w:rsid w:val="0090286C"/>
    <w:rsid w:val="0090287D"/>
    <w:rsid w:val="009048AE"/>
    <w:rsid w:val="00906681"/>
    <w:rsid w:val="009072A8"/>
    <w:rsid w:val="00907BAD"/>
    <w:rsid w:val="00910AEC"/>
    <w:rsid w:val="00911FE1"/>
    <w:rsid w:val="00912BD2"/>
    <w:rsid w:val="009175CE"/>
    <w:rsid w:val="0092030F"/>
    <w:rsid w:val="009215A1"/>
    <w:rsid w:val="00921A52"/>
    <w:rsid w:val="009247EE"/>
    <w:rsid w:val="009250EF"/>
    <w:rsid w:val="00926541"/>
    <w:rsid w:val="00926E3F"/>
    <w:rsid w:val="009271D3"/>
    <w:rsid w:val="00927477"/>
    <w:rsid w:val="009309E4"/>
    <w:rsid w:val="00933465"/>
    <w:rsid w:val="00933FD9"/>
    <w:rsid w:val="00934ED5"/>
    <w:rsid w:val="0093527E"/>
    <w:rsid w:val="00935678"/>
    <w:rsid w:val="00935C1D"/>
    <w:rsid w:val="00936104"/>
    <w:rsid w:val="00936426"/>
    <w:rsid w:val="00936632"/>
    <w:rsid w:val="009379E5"/>
    <w:rsid w:val="00940FA0"/>
    <w:rsid w:val="009415ED"/>
    <w:rsid w:val="00944F1A"/>
    <w:rsid w:val="0094590D"/>
    <w:rsid w:val="00947BAD"/>
    <w:rsid w:val="00947FE6"/>
    <w:rsid w:val="00952269"/>
    <w:rsid w:val="00952CE1"/>
    <w:rsid w:val="00953507"/>
    <w:rsid w:val="009557D2"/>
    <w:rsid w:val="009568DF"/>
    <w:rsid w:val="0095792B"/>
    <w:rsid w:val="009626CD"/>
    <w:rsid w:val="009639DC"/>
    <w:rsid w:val="00963B11"/>
    <w:rsid w:val="0096450C"/>
    <w:rsid w:val="009700D6"/>
    <w:rsid w:val="00970329"/>
    <w:rsid w:val="00970F9E"/>
    <w:rsid w:val="009712BD"/>
    <w:rsid w:val="00974BCB"/>
    <w:rsid w:val="00975C87"/>
    <w:rsid w:val="00976585"/>
    <w:rsid w:val="009833C8"/>
    <w:rsid w:val="00986357"/>
    <w:rsid w:val="009924D5"/>
    <w:rsid w:val="009931AC"/>
    <w:rsid w:val="00993E50"/>
    <w:rsid w:val="00995623"/>
    <w:rsid w:val="00995C94"/>
    <w:rsid w:val="0099637C"/>
    <w:rsid w:val="0099775A"/>
    <w:rsid w:val="00997ACE"/>
    <w:rsid w:val="009A2940"/>
    <w:rsid w:val="009A373E"/>
    <w:rsid w:val="009A5E9D"/>
    <w:rsid w:val="009A728E"/>
    <w:rsid w:val="009A74ED"/>
    <w:rsid w:val="009B0779"/>
    <w:rsid w:val="009B1146"/>
    <w:rsid w:val="009B206E"/>
    <w:rsid w:val="009B24E0"/>
    <w:rsid w:val="009B3A3E"/>
    <w:rsid w:val="009B55F5"/>
    <w:rsid w:val="009B7B41"/>
    <w:rsid w:val="009C17E3"/>
    <w:rsid w:val="009C221E"/>
    <w:rsid w:val="009C3B05"/>
    <w:rsid w:val="009C473A"/>
    <w:rsid w:val="009C4D5D"/>
    <w:rsid w:val="009C4F71"/>
    <w:rsid w:val="009C6549"/>
    <w:rsid w:val="009C725B"/>
    <w:rsid w:val="009C76D3"/>
    <w:rsid w:val="009C77E0"/>
    <w:rsid w:val="009D13D6"/>
    <w:rsid w:val="009D1860"/>
    <w:rsid w:val="009D3E5A"/>
    <w:rsid w:val="009D5067"/>
    <w:rsid w:val="009D5C27"/>
    <w:rsid w:val="009D5D43"/>
    <w:rsid w:val="009D744F"/>
    <w:rsid w:val="009E0132"/>
    <w:rsid w:val="009E0166"/>
    <w:rsid w:val="009E1AA0"/>
    <w:rsid w:val="009E2D6F"/>
    <w:rsid w:val="009E3C73"/>
    <w:rsid w:val="009E4458"/>
    <w:rsid w:val="009E6D86"/>
    <w:rsid w:val="009E7112"/>
    <w:rsid w:val="009F3AC5"/>
    <w:rsid w:val="009F3F77"/>
    <w:rsid w:val="009F51CF"/>
    <w:rsid w:val="009F55BF"/>
    <w:rsid w:val="009F5C24"/>
    <w:rsid w:val="009F5CDD"/>
    <w:rsid w:val="009F7C75"/>
    <w:rsid w:val="00A042F1"/>
    <w:rsid w:val="00A05568"/>
    <w:rsid w:val="00A0629A"/>
    <w:rsid w:val="00A10B9C"/>
    <w:rsid w:val="00A15C91"/>
    <w:rsid w:val="00A1715B"/>
    <w:rsid w:val="00A200B6"/>
    <w:rsid w:val="00A2031E"/>
    <w:rsid w:val="00A20F2A"/>
    <w:rsid w:val="00A216B1"/>
    <w:rsid w:val="00A22975"/>
    <w:rsid w:val="00A22F25"/>
    <w:rsid w:val="00A23624"/>
    <w:rsid w:val="00A23D3B"/>
    <w:rsid w:val="00A26379"/>
    <w:rsid w:val="00A270A3"/>
    <w:rsid w:val="00A27EE2"/>
    <w:rsid w:val="00A30D6F"/>
    <w:rsid w:val="00A34393"/>
    <w:rsid w:val="00A36348"/>
    <w:rsid w:val="00A36FB8"/>
    <w:rsid w:val="00A40FD5"/>
    <w:rsid w:val="00A41EAC"/>
    <w:rsid w:val="00A428D5"/>
    <w:rsid w:val="00A42B9E"/>
    <w:rsid w:val="00A44F6D"/>
    <w:rsid w:val="00A44FE5"/>
    <w:rsid w:val="00A4609C"/>
    <w:rsid w:val="00A472EC"/>
    <w:rsid w:val="00A5358B"/>
    <w:rsid w:val="00A53D4A"/>
    <w:rsid w:val="00A55F87"/>
    <w:rsid w:val="00A56E2E"/>
    <w:rsid w:val="00A67420"/>
    <w:rsid w:val="00A7154B"/>
    <w:rsid w:val="00A746F5"/>
    <w:rsid w:val="00A74AD9"/>
    <w:rsid w:val="00A74F5D"/>
    <w:rsid w:val="00A7634A"/>
    <w:rsid w:val="00A773A7"/>
    <w:rsid w:val="00A773DA"/>
    <w:rsid w:val="00A81702"/>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4A9"/>
    <w:rsid w:val="00AA17DC"/>
    <w:rsid w:val="00AA6BF1"/>
    <w:rsid w:val="00AA7A18"/>
    <w:rsid w:val="00AB01E4"/>
    <w:rsid w:val="00AB1582"/>
    <w:rsid w:val="00AB29D3"/>
    <w:rsid w:val="00AB39F3"/>
    <w:rsid w:val="00AB3F35"/>
    <w:rsid w:val="00AB44CD"/>
    <w:rsid w:val="00AB44F1"/>
    <w:rsid w:val="00AB454D"/>
    <w:rsid w:val="00AC1694"/>
    <w:rsid w:val="00AC2B19"/>
    <w:rsid w:val="00AC3A1C"/>
    <w:rsid w:val="00AC3D35"/>
    <w:rsid w:val="00AC4A89"/>
    <w:rsid w:val="00AC6CEC"/>
    <w:rsid w:val="00AC7411"/>
    <w:rsid w:val="00AD0DBF"/>
    <w:rsid w:val="00AD5A99"/>
    <w:rsid w:val="00AD6ACB"/>
    <w:rsid w:val="00AE05FC"/>
    <w:rsid w:val="00AE1B40"/>
    <w:rsid w:val="00AE2ED6"/>
    <w:rsid w:val="00AF039F"/>
    <w:rsid w:val="00AF199C"/>
    <w:rsid w:val="00AF4A99"/>
    <w:rsid w:val="00AF5099"/>
    <w:rsid w:val="00AF6325"/>
    <w:rsid w:val="00AF7A6A"/>
    <w:rsid w:val="00B00F7A"/>
    <w:rsid w:val="00B012D5"/>
    <w:rsid w:val="00B0332B"/>
    <w:rsid w:val="00B03BEE"/>
    <w:rsid w:val="00B077EB"/>
    <w:rsid w:val="00B11F7D"/>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3318"/>
    <w:rsid w:val="00B665B5"/>
    <w:rsid w:val="00B66DC1"/>
    <w:rsid w:val="00B67101"/>
    <w:rsid w:val="00B706D0"/>
    <w:rsid w:val="00B73A67"/>
    <w:rsid w:val="00B76B6C"/>
    <w:rsid w:val="00B76F48"/>
    <w:rsid w:val="00B8043F"/>
    <w:rsid w:val="00B810F4"/>
    <w:rsid w:val="00B8308E"/>
    <w:rsid w:val="00B85012"/>
    <w:rsid w:val="00B91124"/>
    <w:rsid w:val="00B9180C"/>
    <w:rsid w:val="00B9298C"/>
    <w:rsid w:val="00B929F6"/>
    <w:rsid w:val="00B94480"/>
    <w:rsid w:val="00B97B7B"/>
    <w:rsid w:val="00B97BD6"/>
    <w:rsid w:val="00BA18A9"/>
    <w:rsid w:val="00BA2C2D"/>
    <w:rsid w:val="00BA4F14"/>
    <w:rsid w:val="00BB14F8"/>
    <w:rsid w:val="00BB1D3E"/>
    <w:rsid w:val="00BB20A2"/>
    <w:rsid w:val="00BB5269"/>
    <w:rsid w:val="00BC02D7"/>
    <w:rsid w:val="00BC058F"/>
    <w:rsid w:val="00BC1E6A"/>
    <w:rsid w:val="00BC3D6F"/>
    <w:rsid w:val="00BC500A"/>
    <w:rsid w:val="00BC57B1"/>
    <w:rsid w:val="00BC61AC"/>
    <w:rsid w:val="00BD0EBD"/>
    <w:rsid w:val="00BD20CF"/>
    <w:rsid w:val="00BD3984"/>
    <w:rsid w:val="00BD3B87"/>
    <w:rsid w:val="00BD4C35"/>
    <w:rsid w:val="00BE4CCA"/>
    <w:rsid w:val="00BE6FA5"/>
    <w:rsid w:val="00BF28ED"/>
    <w:rsid w:val="00BF4A9B"/>
    <w:rsid w:val="00BF4D63"/>
    <w:rsid w:val="00BF55E7"/>
    <w:rsid w:val="00C013D8"/>
    <w:rsid w:val="00C0150B"/>
    <w:rsid w:val="00C02786"/>
    <w:rsid w:val="00C036EC"/>
    <w:rsid w:val="00C04372"/>
    <w:rsid w:val="00C0598F"/>
    <w:rsid w:val="00C05D83"/>
    <w:rsid w:val="00C06B27"/>
    <w:rsid w:val="00C1042C"/>
    <w:rsid w:val="00C1171B"/>
    <w:rsid w:val="00C13CEC"/>
    <w:rsid w:val="00C13CF5"/>
    <w:rsid w:val="00C142D9"/>
    <w:rsid w:val="00C14BD8"/>
    <w:rsid w:val="00C17776"/>
    <w:rsid w:val="00C1781A"/>
    <w:rsid w:val="00C2059D"/>
    <w:rsid w:val="00C20DC8"/>
    <w:rsid w:val="00C23661"/>
    <w:rsid w:val="00C2561D"/>
    <w:rsid w:val="00C2741E"/>
    <w:rsid w:val="00C300F2"/>
    <w:rsid w:val="00C31EB2"/>
    <w:rsid w:val="00C320DF"/>
    <w:rsid w:val="00C329C3"/>
    <w:rsid w:val="00C34C64"/>
    <w:rsid w:val="00C35B77"/>
    <w:rsid w:val="00C35D54"/>
    <w:rsid w:val="00C408A4"/>
    <w:rsid w:val="00C4126C"/>
    <w:rsid w:val="00C42C0C"/>
    <w:rsid w:val="00C42C40"/>
    <w:rsid w:val="00C45D96"/>
    <w:rsid w:val="00C47F0A"/>
    <w:rsid w:val="00C55889"/>
    <w:rsid w:val="00C55E95"/>
    <w:rsid w:val="00C62563"/>
    <w:rsid w:val="00C6395F"/>
    <w:rsid w:val="00C642F8"/>
    <w:rsid w:val="00C649BC"/>
    <w:rsid w:val="00C66128"/>
    <w:rsid w:val="00C66BD5"/>
    <w:rsid w:val="00C66EE6"/>
    <w:rsid w:val="00C66FCB"/>
    <w:rsid w:val="00C670AB"/>
    <w:rsid w:val="00C71D3E"/>
    <w:rsid w:val="00C721C3"/>
    <w:rsid w:val="00C826A0"/>
    <w:rsid w:val="00C83068"/>
    <w:rsid w:val="00C83429"/>
    <w:rsid w:val="00C8410F"/>
    <w:rsid w:val="00C8512D"/>
    <w:rsid w:val="00C85A01"/>
    <w:rsid w:val="00C8637A"/>
    <w:rsid w:val="00C870A4"/>
    <w:rsid w:val="00C87C97"/>
    <w:rsid w:val="00C90ECA"/>
    <w:rsid w:val="00C93022"/>
    <w:rsid w:val="00C946D2"/>
    <w:rsid w:val="00C951D0"/>
    <w:rsid w:val="00CA4195"/>
    <w:rsid w:val="00CA45AE"/>
    <w:rsid w:val="00CA535D"/>
    <w:rsid w:val="00CA5747"/>
    <w:rsid w:val="00CA6080"/>
    <w:rsid w:val="00CA61D7"/>
    <w:rsid w:val="00CA70BF"/>
    <w:rsid w:val="00CA7348"/>
    <w:rsid w:val="00CA7986"/>
    <w:rsid w:val="00CB16E8"/>
    <w:rsid w:val="00CB2CE8"/>
    <w:rsid w:val="00CB364F"/>
    <w:rsid w:val="00CB394A"/>
    <w:rsid w:val="00CB7229"/>
    <w:rsid w:val="00CC0E83"/>
    <w:rsid w:val="00CC1D36"/>
    <w:rsid w:val="00CC4095"/>
    <w:rsid w:val="00CC5BDB"/>
    <w:rsid w:val="00CC6070"/>
    <w:rsid w:val="00CC718E"/>
    <w:rsid w:val="00CD1CAB"/>
    <w:rsid w:val="00CD3144"/>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22B6"/>
    <w:rsid w:val="00D32534"/>
    <w:rsid w:val="00D32B75"/>
    <w:rsid w:val="00D32C0A"/>
    <w:rsid w:val="00D32C17"/>
    <w:rsid w:val="00D353FF"/>
    <w:rsid w:val="00D402F9"/>
    <w:rsid w:val="00D434C3"/>
    <w:rsid w:val="00D44839"/>
    <w:rsid w:val="00D47043"/>
    <w:rsid w:val="00D47915"/>
    <w:rsid w:val="00D5093A"/>
    <w:rsid w:val="00D51479"/>
    <w:rsid w:val="00D55FFA"/>
    <w:rsid w:val="00D625F8"/>
    <w:rsid w:val="00D626F2"/>
    <w:rsid w:val="00D63D29"/>
    <w:rsid w:val="00D6421E"/>
    <w:rsid w:val="00D649AA"/>
    <w:rsid w:val="00D73372"/>
    <w:rsid w:val="00D73693"/>
    <w:rsid w:val="00D74A49"/>
    <w:rsid w:val="00D74BEC"/>
    <w:rsid w:val="00D754F3"/>
    <w:rsid w:val="00D75A07"/>
    <w:rsid w:val="00D80A4D"/>
    <w:rsid w:val="00D83294"/>
    <w:rsid w:val="00D832F2"/>
    <w:rsid w:val="00D83A4D"/>
    <w:rsid w:val="00D840D8"/>
    <w:rsid w:val="00D852B0"/>
    <w:rsid w:val="00D85827"/>
    <w:rsid w:val="00D92EA4"/>
    <w:rsid w:val="00D93A13"/>
    <w:rsid w:val="00D949A2"/>
    <w:rsid w:val="00D94B21"/>
    <w:rsid w:val="00DA0B33"/>
    <w:rsid w:val="00DA1B47"/>
    <w:rsid w:val="00DA2036"/>
    <w:rsid w:val="00DA3FC7"/>
    <w:rsid w:val="00DA46E3"/>
    <w:rsid w:val="00DA4EC4"/>
    <w:rsid w:val="00DA55DB"/>
    <w:rsid w:val="00DA5953"/>
    <w:rsid w:val="00DA5BA5"/>
    <w:rsid w:val="00DA5CCE"/>
    <w:rsid w:val="00DA5D11"/>
    <w:rsid w:val="00DA662A"/>
    <w:rsid w:val="00DA7361"/>
    <w:rsid w:val="00DA7537"/>
    <w:rsid w:val="00DA7B21"/>
    <w:rsid w:val="00DA7BFE"/>
    <w:rsid w:val="00DB2FD1"/>
    <w:rsid w:val="00DB3137"/>
    <w:rsid w:val="00DB6503"/>
    <w:rsid w:val="00DB663C"/>
    <w:rsid w:val="00DC10A7"/>
    <w:rsid w:val="00DC168D"/>
    <w:rsid w:val="00DC2A50"/>
    <w:rsid w:val="00DC33B6"/>
    <w:rsid w:val="00DC63F9"/>
    <w:rsid w:val="00DD17E8"/>
    <w:rsid w:val="00DD29D3"/>
    <w:rsid w:val="00DD4B24"/>
    <w:rsid w:val="00DD5651"/>
    <w:rsid w:val="00DD6196"/>
    <w:rsid w:val="00DD64D2"/>
    <w:rsid w:val="00DE0474"/>
    <w:rsid w:val="00DE0E2E"/>
    <w:rsid w:val="00DE12F4"/>
    <w:rsid w:val="00DE1DFC"/>
    <w:rsid w:val="00DE208C"/>
    <w:rsid w:val="00DE53B2"/>
    <w:rsid w:val="00DE6B52"/>
    <w:rsid w:val="00DF13FF"/>
    <w:rsid w:val="00DF1553"/>
    <w:rsid w:val="00DF3FB1"/>
    <w:rsid w:val="00DF42AD"/>
    <w:rsid w:val="00DF4624"/>
    <w:rsid w:val="00DF4644"/>
    <w:rsid w:val="00DF46D3"/>
    <w:rsid w:val="00DF4743"/>
    <w:rsid w:val="00DF7B2B"/>
    <w:rsid w:val="00E01909"/>
    <w:rsid w:val="00E04E0A"/>
    <w:rsid w:val="00E04FDF"/>
    <w:rsid w:val="00E05A53"/>
    <w:rsid w:val="00E05F15"/>
    <w:rsid w:val="00E07D2B"/>
    <w:rsid w:val="00E10531"/>
    <w:rsid w:val="00E10877"/>
    <w:rsid w:val="00E10F29"/>
    <w:rsid w:val="00E1304F"/>
    <w:rsid w:val="00E13BC1"/>
    <w:rsid w:val="00E1419F"/>
    <w:rsid w:val="00E1468A"/>
    <w:rsid w:val="00E17315"/>
    <w:rsid w:val="00E17D79"/>
    <w:rsid w:val="00E20872"/>
    <w:rsid w:val="00E20A02"/>
    <w:rsid w:val="00E238C5"/>
    <w:rsid w:val="00E24CE9"/>
    <w:rsid w:val="00E261C5"/>
    <w:rsid w:val="00E32521"/>
    <w:rsid w:val="00E34C20"/>
    <w:rsid w:val="00E35D90"/>
    <w:rsid w:val="00E3742A"/>
    <w:rsid w:val="00E4159A"/>
    <w:rsid w:val="00E42DE4"/>
    <w:rsid w:val="00E45EE2"/>
    <w:rsid w:val="00E46623"/>
    <w:rsid w:val="00E46934"/>
    <w:rsid w:val="00E51C1B"/>
    <w:rsid w:val="00E52E4C"/>
    <w:rsid w:val="00E56E61"/>
    <w:rsid w:val="00E57296"/>
    <w:rsid w:val="00E622B2"/>
    <w:rsid w:val="00E633B5"/>
    <w:rsid w:val="00E644CD"/>
    <w:rsid w:val="00E65A9B"/>
    <w:rsid w:val="00E66135"/>
    <w:rsid w:val="00E715C6"/>
    <w:rsid w:val="00E720E4"/>
    <w:rsid w:val="00E7370C"/>
    <w:rsid w:val="00E76C25"/>
    <w:rsid w:val="00E775D2"/>
    <w:rsid w:val="00E8010C"/>
    <w:rsid w:val="00E80AE9"/>
    <w:rsid w:val="00E85789"/>
    <w:rsid w:val="00E9005A"/>
    <w:rsid w:val="00E90688"/>
    <w:rsid w:val="00E91461"/>
    <w:rsid w:val="00E91B94"/>
    <w:rsid w:val="00E93356"/>
    <w:rsid w:val="00EA0EAA"/>
    <w:rsid w:val="00EA357D"/>
    <w:rsid w:val="00EA37AB"/>
    <w:rsid w:val="00EA4736"/>
    <w:rsid w:val="00EA5BEE"/>
    <w:rsid w:val="00EA5D3F"/>
    <w:rsid w:val="00EA60CE"/>
    <w:rsid w:val="00EA62B8"/>
    <w:rsid w:val="00EA6B0D"/>
    <w:rsid w:val="00EB0AE3"/>
    <w:rsid w:val="00EB0BD9"/>
    <w:rsid w:val="00EB3246"/>
    <w:rsid w:val="00EB4FA7"/>
    <w:rsid w:val="00EB5222"/>
    <w:rsid w:val="00EB602F"/>
    <w:rsid w:val="00EB68EE"/>
    <w:rsid w:val="00EB7174"/>
    <w:rsid w:val="00EB7E69"/>
    <w:rsid w:val="00EC155E"/>
    <w:rsid w:val="00EC23C5"/>
    <w:rsid w:val="00EC2706"/>
    <w:rsid w:val="00EC287E"/>
    <w:rsid w:val="00EC3182"/>
    <w:rsid w:val="00EC35BE"/>
    <w:rsid w:val="00EC3F23"/>
    <w:rsid w:val="00EC57BD"/>
    <w:rsid w:val="00EC5AEE"/>
    <w:rsid w:val="00EC74CE"/>
    <w:rsid w:val="00EC7697"/>
    <w:rsid w:val="00EC77D6"/>
    <w:rsid w:val="00EC7AA0"/>
    <w:rsid w:val="00ED1F25"/>
    <w:rsid w:val="00ED23E5"/>
    <w:rsid w:val="00ED3A71"/>
    <w:rsid w:val="00ED758C"/>
    <w:rsid w:val="00EE06ED"/>
    <w:rsid w:val="00EE232E"/>
    <w:rsid w:val="00EE3209"/>
    <w:rsid w:val="00EE4212"/>
    <w:rsid w:val="00EE54FE"/>
    <w:rsid w:val="00EE55D8"/>
    <w:rsid w:val="00EE5E15"/>
    <w:rsid w:val="00EF03A2"/>
    <w:rsid w:val="00EF1A94"/>
    <w:rsid w:val="00EF20FA"/>
    <w:rsid w:val="00EF260C"/>
    <w:rsid w:val="00EF52D6"/>
    <w:rsid w:val="00EF7E5B"/>
    <w:rsid w:val="00F00B43"/>
    <w:rsid w:val="00F0162F"/>
    <w:rsid w:val="00F01C96"/>
    <w:rsid w:val="00F0661F"/>
    <w:rsid w:val="00F12CBB"/>
    <w:rsid w:val="00F1355C"/>
    <w:rsid w:val="00F16306"/>
    <w:rsid w:val="00F226E8"/>
    <w:rsid w:val="00F2566F"/>
    <w:rsid w:val="00F30E51"/>
    <w:rsid w:val="00F31980"/>
    <w:rsid w:val="00F31AD0"/>
    <w:rsid w:val="00F33527"/>
    <w:rsid w:val="00F3506F"/>
    <w:rsid w:val="00F35DF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4B76"/>
    <w:rsid w:val="00F673BD"/>
    <w:rsid w:val="00F675E2"/>
    <w:rsid w:val="00F70C83"/>
    <w:rsid w:val="00F75E0E"/>
    <w:rsid w:val="00F76826"/>
    <w:rsid w:val="00F76A15"/>
    <w:rsid w:val="00F77A72"/>
    <w:rsid w:val="00F8143A"/>
    <w:rsid w:val="00F82144"/>
    <w:rsid w:val="00F825E8"/>
    <w:rsid w:val="00F82E38"/>
    <w:rsid w:val="00F83C52"/>
    <w:rsid w:val="00F83D25"/>
    <w:rsid w:val="00F84A1B"/>
    <w:rsid w:val="00F85561"/>
    <w:rsid w:val="00F85A41"/>
    <w:rsid w:val="00F87203"/>
    <w:rsid w:val="00F87DA7"/>
    <w:rsid w:val="00F90A9D"/>
    <w:rsid w:val="00F91535"/>
    <w:rsid w:val="00F92229"/>
    <w:rsid w:val="00F92AB2"/>
    <w:rsid w:val="00F942DD"/>
    <w:rsid w:val="00F94983"/>
    <w:rsid w:val="00F95111"/>
    <w:rsid w:val="00F97C8E"/>
    <w:rsid w:val="00F97E58"/>
    <w:rsid w:val="00FA0AAD"/>
    <w:rsid w:val="00FA1DC1"/>
    <w:rsid w:val="00FA791B"/>
    <w:rsid w:val="00FB0E70"/>
    <w:rsid w:val="00FB1EA2"/>
    <w:rsid w:val="00FB1EB6"/>
    <w:rsid w:val="00FB1F05"/>
    <w:rsid w:val="00FB343F"/>
    <w:rsid w:val="00FB3989"/>
    <w:rsid w:val="00FB5FF6"/>
    <w:rsid w:val="00FB67DD"/>
    <w:rsid w:val="00FB748E"/>
    <w:rsid w:val="00FC02C4"/>
    <w:rsid w:val="00FC066F"/>
    <w:rsid w:val="00FC33BC"/>
    <w:rsid w:val="00FC44E4"/>
    <w:rsid w:val="00FC5B79"/>
    <w:rsid w:val="00FC7905"/>
    <w:rsid w:val="00FD0273"/>
    <w:rsid w:val="00FD7EAF"/>
    <w:rsid w:val="00FE5E89"/>
    <w:rsid w:val="00FE7260"/>
    <w:rsid w:val="00FE7DC3"/>
    <w:rsid w:val="00FF0866"/>
    <w:rsid w:val="00FF0CA9"/>
    <w:rsid w:val="00FF724C"/>
    <w:rsid w:val="00FF7BD2"/>
    <w:rsid w:val="035E457C"/>
    <w:rsid w:val="0482288A"/>
    <w:rsid w:val="04D337CA"/>
    <w:rsid w:val="061500FA"/>
    <w:rsid w:val="074804D3"/>
    <w:rsid w:val="08713341"/>
    <w:rsid w:val="0D4505F0"/>
    <w:rsid w:val="100D394F"/>
    <w:rsid w:val="10E174AF"/>
    <w:rsid w:val="111840FB"/>
    <w:rsid w:val="134C274B"/>
    <w:rsid w:val="14107EB2"/>
    <w:rsid w:val="17D842CD"/>
    <w:rsid w:val="19695FA6"/>
    <w:rsid w:val="1C090846"/>
    <w:rsid w:val="1FE70AFA"/>
    <w:rsid w:val="20565887"/>
    <w:rsid w:val="21452D71"/>
    <w:rsid w:val="23B151C9"/>
    <w:rsid w:val="273A0946"/>
    <w:rsid w:val="27CD1ADA"/>
    <w:rsid w:val="2C4F65F9"/>
    <w:rsid w:val="2DBA3FBC"/>
    <w:rsid w:val="2ECD6CBC"/>
    <w:rsid w:val="3216630D"/>
    <w:rsid w:val="348D3DAC"/>
    <w:rsid w:val="35CC6A7A"/>
    <w:rsid w:val="37D05549"/>
    <w:rsid w:val="3D3018FA"/>
    <w:rsid w:val="41146C25"/>
    <w:rsid w:val="46FF308C"/>
    <w:rsid w:val="47101269"/>
    <w:rsid w:val="477A6E15"/>
    <w:rsid w:val="4CAA5AA7"/>
    <w:rsid w:val="4E75368B"/>
    <w:rsid w:val="501615C8"/>
    <w:rsid w:val="50173181"/>
    <w:rsid w:val="51263DB5"/>
    <w:rsid w:val="51D13AD5"/>
    <w:rsid w:val="520E5565"/>
    <w:rsid w:val="531001F3"/>
    <w:rsid w:val="56D062B3"/>
    <w:rsid w:val="572528F9"/>
    <w:rsid w:val="57F329F7"/>
    <w:rsid w:val="598D1707"/>
    <w:rsid w:val="5AA93841"/>
    <w:rsid w:val="5B743E4F"/>
    <w:rsid w:val="5D6E37EF"/>
    <w:rsid w:val="5EAB17F0"/>
    <w:rsid w:val="61386F18"/>
    <w:rsid w:val="623D7285"/>
    <w:rsid w:val="64632D20"/>
    <w:rsid w:val="649E44AB"/>
    <w:rsid w:val="653F7D14"/>
    <w:rsid w:val="65644F35"/>
    <w:rsid w:val="65B546FF"/>
    <w:rsid w:val="666344C6"/>
    <w:rsid w:val="67AA652A"/>
    <w:rsid w:val="680B4BB0"/>
    <w:rsid w:val="68232E85"/>
    <w:rsid w:val="684D1945"/>
    <w:rsid w:val="6B221D8A"/>
    <w:rsid w:val="6BA35F11"/>
    <w:rsid w:val="6CD9680B"/>
    <w:rsid w:val="6CF941B4"/>
    <w:rsid w:val="6EF70BC7"/>
    <w:rsid w:val="6F834209"/>
    <w:rsid w:val="70BB0F48"/>
    <w:rsid w:val="70C20D61"/>
    <w:rsid w:val="71AE1DA3"/>
    <w:rsid w:val="72870CC6"/>
    <w:rsid w:val="72E87C49"/>
    <w:rsid w:val="73EC4A73"/>
    <w:rsid w:val="786D1EFA"/>
    <w:rsid w:val="78C92DB4"/>
    <w:rsid w:val="7950233F"/>
    <w:rsid w:val="7ABF36D2"/>
    <w:rsid w:val="7B98103C"/>
    <w:rsid w:val="7C1B67D8"/>
    <w:rsid w:val="7C354ADD"/>
    <w:rsid w:val="7D2A7BAD"/>
    <w:rsid w:val="7DFBB8BB"/>
    <w:rsid w:val="7F290F00"/>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4"/>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5"/>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7"/>
    <w:qFormat/>
    <w:uiPriority w:val="0"/>
    <w:pPr>
      <w:keepNext/>
      <w:widowControl/>
      <w:numPr>
        <w:ilvl w:val="0"/>
        <w:numId w:val="4"/>
      </w:numPr>
      <w:jc w:val="left"/>
      <w:outlineLvl w:val="4"/>
    </w:pPr>
    <w:rPr>
      <w:kern w:val="0"/>
      <w:sz w:val="24"/>
      <w:szCs w:val="20"/>
    </w:rPr>
  </w:style>
  <w:style w:type="paragraph" w:styleId="8">
    <w:name w:val="heading 6"/>
    <w:basedOn w:val="1"/>
    <w:next w:val="1"/>
    <w:link w:val="58"/>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59"/>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1"/>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link w:val="280"/>
    <w:qFormat/>
    <w:uiPriority w:val="0"/>
    <w:pPr>
      <w:spacing w:line="360" w:lineRule="auto"/>
      <w:jc w:val="center"/>
    </w:pPr>
    <w:rPr>
      <w:rFonts w:ascii="Calibri" w:hAnsi="Calibri"/>
      <w:sz w:val="20"/>
      <w:szCs w:val="20"/>
    </w:rPr>
  </w:style>
  <w:style w:type="paragraph" w:styleId="15">
    <w:name w:val="Document Map"/>
    <w:basedOn w:val="1"/>
    <w:link w:val="118"/>
    <w:semiHidden/>
    <w:qFormat/>
    <w:uiPriority w:val="0"/>
    <w:pPr>
      <w:shd w:val="clear" w:color="auto" w:fill="000080"/>
    </w:pPr>
  </w:style>
  <w:style w:type="paragraph" w:styleId="16">
    <w:name w:val="annotation text"/>
    <w:basedOn w:val="1"/>
    <w:link w:val="70"/>
    <w:qFormat/>
    <w:uiPriority w:val="0"/>
    <w:pPr>
      <w:jc w:val="left"/>
    </w:pPr>
  </w:style>
  <w:style w:type="paragraph" w:styleId="17">
    <w:name w:val="Body Text"/>
    <w:basedOn w:val="1"/>
    <w:next w:val="18"/>
    <w:link w:val="83"/>
    <w:qFormat/>
    <w:uiPriority w:val="0"/>
    <w:pPr>
      <w:spacing w:line="360" w:lineRule="auto"/>
    </w:pPr>
    <w:rPr>
      <w:rFonts w:eastAsia="仿宋_GB2312"/>
      <w:sz w:val="28"/>
    </w:rPr>
  </w:style>
  <w:style w:type="paragraph" w:styleId="18">
    <w:name w:val="Body Text First Indent"/>
    <w:basedOn w:val="17"/>
    <w:next w:val="1"/>
    <w:link w:val="202"/>
    <w:qFormat/>
    <w:uiPriority w:val="0"/>
    <w:pPr>
      <w:spacing w:after="120" w:line="240" w:lineRule="auto"/>
      <w:ind w:firstLine="420" w:firstLineChars="100"/>
    </w:pPr>
    <w:rPr>
      <w:rFonts w:eastAsia="宋体"/>
      <w:sz w:val="21"/>
    </w:rPr>
  </w:style>
  <w:style w:type="paragraph" w:styleId="19">
    <w:name w:val="Body Text Indent"/>
    <w:basedOn w:val="1"/>
    <w:link w:val="64"/>
    <w:qFormat/>
    <w:uiPriority w:val="0"/>
    <w:pPr>
      <w:spacing w:after="120"/>
      <w:ind w:left="420" w:leftChars="200"/>
    </w:p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2"/>
    <w:qFormat/>
    <w:uiPriority w:val="0"/>
    <w:rPr>
      <w:rFonts w:ascii="宋体" w:hAnsi="Courier New"/>
      <w:szCs w:val="20"/>
    </w:rPr>
  </w:style>
  <w:style w:type="paragraph" w:styleId="24">
    <w:name w:val="Date"/>
    <w:basedOn w:val="1"/>
    <w:next w:val="1"/>
    <w:link w:val="65"/>
    <w:qFormat/>
    <w:uiPriority w:val="0"/>
    <w:rPr>
      <w:rFonts w:ascii="楷体_GB2312" w:eastAsia="楷体_GB2312"/>
      <w:b/>
      <w:sz w:val="28"/>
      <w:szCs w:val="20"/>
    </w:rPr>
  </w:style>
  <w:style w:type="paragraph" w:styleId="25">
    <w:name w:val="Body Text Indent 2"/>
    <w:basedOn w:val="1"/>
    <w:link w:val="79"/>
    <w:qFormat/>
    <w:uiPriority w:val="0"/>
    <w:pPr>
      <w:spacing w:after="120" w:line="480" w:lineRule="auto"/>
      <w:ind w:left="420" w:leftChars="200"/>
    </w:pPr>
  </w:style>
  <w:style w:type="paragraph" w:styleId="26">
    <w:name w:val="Balloon Text"/>
    <w:basedOn w:val="1"/>
    <w:link w:val="198"/>
    <w:semiHidden/>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9"/>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1"/>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3"/>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link w:val="201"/>
    <w:semiHidden/>
    <w:qFormat/>
    <w:uiPriority w:val="0"/>
    <w:pPr>
      <w:widowControl/>
      <w:spacing w:afterLines="50"/>
    </w:pPr>
    <w:rPr>
      <w:b/>
      <w:bCs/>
      <w:kern w:val="0"/>
      <w:sz w:val="24"/>
      <w:szCs w:val="20"/>
    </w:rPr>
  </w:style>
  <w:style w:type="paragraph" w:styleId="40">
    <w:name w:val="Body Text First Indent 2"/>
    <w:basedOn w:val="19"/>
    <w:link w:val="203"/>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首行缩进"/>
    <w:basedOn w:val="1"/>
    <w:qFormat/>
    <w:uiPriority w:val="99"/>
    <w:pPr>
      <w:spacing w:line="360" w:lineRule="auto"/>
      <w:ind w:firstLine="480" w:firstLineChars="200"/>
    </w:pPr>
    <w:rPr>
      <w:sz w:val="24"/>
      <w:szCs w:val="22"/>
      <w:lang w:val="zh-CN"/>
    </w:rPr>
  </w:style>
  <w:style w:type="character" w:customStyle="1" w:styleId="51">
    <w:name w:val="标题 1 Char"/>
    <w:link w:val="2"/>
    <w:qFormat/>
    <w:uiPriority w:val="0"/>
    <w:rPr>
      <w:rFonts w:eastAsia="仿宋_GB2312"/>
      <w:b/>
      <w:kern w:val="44"/>
      <w:sz w:val="44"/>
      <w:lang w:val="en-US" w:eastAsia="zh-CN" w:bidi="ar-SA"/>
    </w:rPr>
  </w:style>
  <w:style w:type="character" w:customStyle="1" w:styleId="52">
    <w:name w:val="正文缩进 Char"/>
    <w:link w:val="4"/>
    <w:qFormat/>
    <w:uiPriority w:val="0"/>
    <w:rPr>
      <w:rFonts w:eastAsia="宋体"/>
      <w:kern w:val="2"/>
      <w:sz w:val="21"/>
      <w:szCs w:val="24"/>
      <w:lang w:val="en-US" w:eastAsia="zh-CN" w:bidi="ar-SA"/>
    </w:rPr>
  </w:style>
  <w:style w:type="paragraph" w:customStyle="1" w:styleId="53">
    <w:name w:val="_Style 15"/>
    <w:basedOn w:val="1"/>
    <w:qFormat/>
    <w:uiPriority w:val="0"/>
    <w:rPr>
      <w:rFonts w:ascii="Tahoma" w:hAnsi="Tahoma"/>
      <w:sz w:val="24"/>
      <w:szCs w:val="20"/>
    </w:rPr>
  </w:style>
  <w:style w:type="character" w:customStyle="1" w:styleId="54">
    <w:name w:val="标题 2 Char"/>
    <w:link w:val="3"/>
    <w:qFormat/>
    <w:uiPriority w:val="0"/>
    <w:rPr>
      <w:rFonts w:ascii="Arial" w:hAnsi="Arial" w:eastAsia="黑体"/>
      <w:b/>
      <w:kern w:val="2"/>
      <w:sz w:val="32"/>
      <w:lang w:val="en-US" w:eastAsia="zh-CN" w:bidi="ar-SA"/>
    </w:rPr>
  </w:style>
  <w:style w:type="character" w:customStyle="1" w:styleId="55">
    <w:name w:val="标题 3 Char"/>
    <w:link w:val="5"/>
    <w:qFormat/>
    <w:uiPriority w:val="0"/>
    <w:rPr>
      <w:rFonts w:eastAsia="仿宋_GB2312"/>
      <w:b/>
      <w:kern w:val="2"/>
      <w:sz w:val="32"/>
      <w:lang w:val="en-US" w:eastAsia="zh-CN" w:bidi="ar-SA"/>
    </w:rPr>
  </w:style>
  <w:style w:type="character" w:customStyle="1" w:styleId="56">
    <w:name w:val="标题 4 Char1"/>
    <w:link w:val="6"/>
    <w:qFormat/>
    <w:uiPriority w:val="0"/>
    <w:rPr>
      <w:rFonts w:ascii="Arial" w:hAnsi="Arial" w:eastAsia="黑体"/>
      <w:b/>
      <w:kern w:val="2"/>
      <w:sz w:val="28"/>
      <w:lang w:val="en-US" w:eastAsia="zh-CN" w:bidi="ar-SA"/>
    </w:rPr>
  </w:style>
  <w:style w:type="character" w:customStyle="1" w:styleId="57">
    <w:name w:val="标题 5 Char1"/>
    <w:link w:val="7"/>
    <w:qFormat/>
    <w:uiPriority w:val="0"/>
    <w:rPr>
      <w:rFonts w:eastAsia="宋体"/>
      <w:sz w:val="24"/>
      <w:lang w:val="en-US" w:eastAsia="zh-CN" w:bidi="ar-SA"/>
    </w:rPr>
  </w:style>
  <w:style w:type="character" w:customStyle="1" w:styleId="58">
    <w:name w:val="标题 6 Char1"/>
    <w:link w:val="8"/>
    <w:qFormat/>
    <w:uiPriority w:val="0"/>
    <w:rPr>
      <w:rFonts w:ascii="宋体" w:hAnsi="Arial" w:eastAsia="宋体"/>
      <w:sz w:val="24"/>
      <w:lang w:val="en-US" w:eastAsia="zh-CN" w:bidi="ar-SA"/>
    </w:rPr>
  </w:style>
  <w:style w:type="character" w:customStyle="1" w:styleId="59">
    <w:name w:val="标题 7 Char1"/>
    <w:link w:val="9"/>
    <w:qFormat/>
    <w:uiPriority w:val="0"/>
    <w:rPr>
      <w:rFonts w:ascii="宋体" w:hAnsi="Arial" w:eastAsia="宋体"/>
      <w:b/>
      <w:sz w:val="24"/>
      <w:lang w:val="en-US" w:eastAsia="zh-CN" w:bidi="ar-SA"/>
    </w:rPr>
  </w:style>
  <w:style w:type="character" w:customStyle="1" w:styleId="60">
    <w:name w:val="标题 8 Char1"/>
    <w:link w:val="10"/>
    <w:qFormat/>
    <w:uiPriority w:val="0"/>
    <w:rPr>
      <w:rFonts w:ascii="Arial" w:hAnsi="Arial" w:eastAsia="黑体"/>
      <w:sz w:val="24"/>
      <w:lang w:val="en-US" w:eastAsia="zh-CN" w:bidi="ar-SA"/>
    </w:rPr>
  </w:style>
  <w:style w:type="character" w:customStyle="1" w:styleId="61">
    <w:name w:val="标题 9 Char1"/>
    <w:link w:val="11"/>
    <w:qFormat/>
    <w:uiPriority w:val="0"/>
    <w:rPr>
      <w:rFonts w:ascii="Arial" w:hAnsi="Arial" w:eastAsia="黑体"/>
      <w:sz w:val="24"/>
      <w:lang w:val="en-US" w:eastAsia="zh-CN" w:bidi="ar-SA"/>
    </w:rPr>
  </w:style>
  <w:style w:type="character" w:customStyle="1" w:styleId="62">
    <w:name w:val="纯文本 Char"/>
    <w:link w:val="23"/>
    <w:qFormat/>
    <w:uiPriority w:val="0"/>
    <w:rPr>
      <w:rFonts w:ascii="宋体" w:hAnsi="Courier New" w:eastAsia="宋体"/>
      <w:kern w:val="2"/>
      <w:sz w:val="21"/>
      <w:lang w:val="en-US" w:eastAsia="zh-CN" w:bidi="ar-SA"/>
    </w:rPr>
  </w:style>
  <w:style w:type="paragraph" w:customStyle="1" w:styleId="63">
    <w:name w:val="表正文"/>
    <w:basedOn w:val="1"/>
    <w:next w:val="23"/>
    <w:qFormat/>
    <w:uiPriority w:val="0"/>
    <w:rPr>
      <w:rFonts w:ascii="宋体" w:hAnsi="Courier New"/>
      <w:szCs w:val="20"/>
    </w:rPr>
  </w:style>
  <w:style w:type="character" w:customStyle="1" w:styleId="64">
    <w:name w:val="正文文本缩进 Char"/>
    <w:link w:val="19"/>
    <w:qFormat/>
    <w:uiPriority w:val="0"/>
    <w:rPr>
      <w:rFonts w:eastAsia="宋体"/>
      <w:kern w:val="2"/>
      <w:sz w:val="21"/>
      <w:szCs w:val="24"/>
      <w:lang w:val="en-US" w:eastAsia="zh-CN" w:bidi="ar-SA"/>
    </w:rPr>
  </w:style>
  <w:style w:type="character" w:customStyle="1" w:styleId="65">
    <w:name w:val="日期 Char2"/>
    <w:link w:val="24"/>
    <w:qFormat/>
    <w:uiPriority w:val="0"/>
    <w:rPr>
      <w:rFonts w:ascii="楷体_GB2312" w:eastAsia="楷体_GB2312"/>
      <w:b/>
      <w:kern w:val="2"/>
      <w:sz w:val="28"/>
      <w:lang w:val="en-US" w:eastAsia="zh-CN" w:bidi="ar-SA"/>
    </w:rPr>
  </w:style>
  <w:style w:type="character" w:customStyle="1" w:styleId="66">
    <w:name w:val="页眉 Char1"/>
    <w:link w:val="28"/>
    <w:qFormat/>
    <w:uiPriority w:val="0"/>
    <w:rPr>
      <w:rFonts w:eastAsia="宋体"/>
      <w:kern w:val="2"/>
      <w:sz w:val="18"/>
      <w:szCs w:val="18"/>
      <w:lang w:val="en-US" w:eastAsia="zh-CN" w:bidi="ar-SA"/>
    </w:rPr>
  </w:style>
  <w:style w:type="character" w:customStyle="1" w:styleId="67">
    <w:name w:val="页脚 Char"/>
    <w:link w:val="27"/>
    <w:qFormat/>
    <w:locked/>
    <w:uiPriority w:val="0"/>
    <w:rPr>
      <w:rFonts w:eastAsia="宋体"/>
      <w:kern w:val="2"/>
      <w:sz w:val="18"/>
      <w:szCs w:val="18"/>
      <w:lang w:val="en-US" w:eastAsia="zh-CN" w:bidi="ar-SA"/>
    </w:rPr>
  </w:style>
  <w:style w:type="paragraph" w:customStyle="1" w:styleId="68">
    <w:name w:val="正文段"/>
    <w:basedOn w:val="1"/>
    <w:link w:val="69"/>
    <w:qFormat/>
    <w:uiPriority w:val="0"/>
    <w:pPr>
      <w:widowControl/>
      <w:snapToGrid w:val="0"/>
      <w:spacing w:afterLines="50"/>
      <w:ind w:firstLine="200" w:firstLineChars="200"/>
    </w:pPr>
    <w:rPr>
      <w:kern w:val="0"/>
      <w:sz w:val="24"/>
      <w:szCs w:val="20"/>
    </w:rPr>
  </w:style>
  <w:style w:type="character" w:customStyle="1" w:styleId="69">
    <w:name w:val="正文段 Char"/>
    <w:link w:val="68"/>
    <w:qFormat/>
    <w:uiPriority w:val="0"/>
    <w:rPr>
      <w:rFonts w:eastAsia="宋体"/>
      <w:sz w:val="24"/>
      <w:lang w:val="en-US" w:eastAsia="zh-CN" w:bidi="ar-SA"/>
    </w:rPr>
  </w:style>
  <w:style w:type="character" w:customStyle="1" w:styleId="70">
    <w:name w:val="批注文字 Char1"/>
    <w:link w:val="16"/>
    <w:qFormat/>
    <w:uiPriority w:val="0"/>
    <w:rPr>
      <w:rFonts w:eastAsia="宋体"/>
      <w:kern w:val="2"/>
      <w:sz w:val="21"/>
      <w:szCs w:val="24"/>
      <w:lang w:val="en-US" w:eastAsia="zh-CN" w:bidi="ar-SA"/>
    </w:rPr>
  </w:style>
  <w:style w:type="character" w:customStyle="1" w:styleId="71">
    <w:name w:val="正文文本 2 Char1"/>
    <w:link w:val="33"/>
    <w:qFormat/>
    <w:uiPriority w:val="0"/>
    <w:rPr>
      <w:rFonts w:ascii="隶书" w:eastAsia="隶书"/>
      <w:bCs/>
      <w:sz w:val="72"/>
      <w:szCs w:val="84"/>
      <w:lang w:val="en-US" w:eastAsia="zh-CN" w:bidi="ar-SA"/>
    </w:rPr>
  </w:style>
  <w:style w:type="paragraph" w:customStyle="1" w:styleId="72">
    <w:name w:val="Char"/>
    <w:basedOn w:val="1"/>
    <w:qFormat/>
    <w:uiPriority w:val="0"/>
    <w:rPr>
      <w:rFonts w:ascii="仿宋_GB2312" w:eastAsia="仿宋_GB2312"/>
      <w:b/>
      <w:sz w:val="32"/>
      <w:szCs w:val="32"/>
    </w:rPr>
  </w:style>
  <w:style w:type="paragraph" w:customStyle="1" w:styleId="73">
    <w:name w:val="Table Text"/>
    <w:link w:val="74"/>
    <w:qFormat/>
    <w:uiPriority w:val="0"/>
    <w:pPr>
      <w:snapToGrid w:val="0"/>
      <w:spacing w:before="80" w:after="80"/>
    </w:pPr>
    <w:rPr>
      <w:rFonts w:ascii="Arial" w:hAnsi="Arial" w:eastAsia="宋体" w:cs="Times New Roman"/>
      <w:sz w:val="18"/>
      <w:lang w:val="en-US" w:eastAsia="zh-CN" w:bidi="ar-SA"/>
    </w:rPr>
  </w:style>
  <w:style w:type="character" w:customStyle="1" w:styleId="74">
    <w:name w:val="Table Text Char1"/>
    <w:link w:val="73"/>
    <w:qFormat/>
    <w:uiPriority w:val="0"/>
    <w:rPr>
      <w:rFonts w:ascii="Arial" w:hAnsi="Arial"/>
      <w:sz w:val="18"/>
      <w:lang w:val="en-US" w:eastAsia="zh-CN" w:bidi="ar-SA"/>
    </w:rPr>
  </w:style>
  <w:style w:type="character" w:customStyle="1" w:styleId="75">
    <w:name w:val="正文（缩进2汉字） Char"/>
    <w:link w:val="76"/>
    <w:qFormat/>
    <w:uiPriority w:val="0"/>
    <w:rPr>
      <w:rFonts w:ascii="宋体"/>
      <w:kern w:val="2"/>
      <w:sz w:val="21"/>
      <w:lang w:bidi="ar-SA"/>
    </w:rPr>
  </w:style>
  <w:style w:type="paragraph" w:customStyle="1" w:styleId="76">
    <w:name w:val="正文（缩进2汉字）"/>
    <w:basedOn w:val="1"/>
    <w:link w:val="75"/>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7">
    <w:name w:val="Char111"/>
    <w:basedOn w:val="1"/>
    <w:qFormat/>
    <w:uiPriority w:val="0"/>
    <w:pPr>
      <w:tabs>
        <w:tab w:val="left" w:pos="432"/>
      </w:tabs>
      <w:spacing w:beforeLines="50" w:afterLines="50"/>
      <w:ind w:left="432" w:hanging="432"/>
      <w:jc w:val="center"/>
    </w:pPr>
    <w:rPr>
      <w:sz w:val="24"/>
    </w:rPr>
  </w:style>
  <w:style w:type="paragraph" w:customStyle="1" w:styleId="78">
    <w:name w:val="模板普通正文"/>
    <w:basedOn w:val="19"/>
    <w:qFormat/>
    <w:uiPriority w:val="0"/>
    <w:pPr>
      <w:spacing w:beforeLines="50" w:after="10" w:line="360" w:lineRule="auto"/>
      <w:ind w:left="0" w:leftChars="0" w:firstLine="175" w:firstLineChars="175"/>
      <w:jc w:val="left"/>
    </w:pPr>
    <w:rPr>
      <w:sz w:val="24"/>
    </w:rPr>
  </w:style>
  <w:style w:type="character" w:customStyle="1" w:styleId="79">
    <w:name w:val="正文文本缩进 2 Char1"/>
    <w:link w:val="25"/>
    <w:qFormat/>
    <w:locked/>
    <w:uiPriority w:val="0"/>
    <w:rPr>
      <w:rFonts w:eastAsia="宋体"/>
      <w:kern w:val="2"/>
      <w:sz w:val="21"/>
      <w:szCs w:val="24"/>
      <w:lang w:val="en-US" w:eastAsia="zh-CN" w:bidi="ar-SA"/>
    </w:rPr>
  </w:style>
  <w:style w:type="paragraph" w:customStyle="1" w:styleId="80">
    <w:name w:val="缺省文本"/>
    <w:basedOn w:val="1"/>
    <w:qFormat/>
    <w:uiPriority w:val="0"/>
    <w:pPr>
      <w:autoSpaceDE w:val="0"/>
      <w:autoSpaceDN w:val="0"/>
      <w:adjustRightInd w:val="0"/>
      <w:jc w:val="left"/>
    </w:pPr>
    <w:rPr>
      <w:kern w:val="0"/>
      <w:sz w:val="24"/>
    </w:rPr>
  </w:style>
  <w:style w:type="paragraph" w:customStyle="1" w:styleId="81">
    <w:name w:val="WW-正文文字缩进 2"/>
    <w:basedOn w:val="1"/>
    <w:qFormat/>
    <w:uiPriority w:val="0"/>
    <w:pPr>
      <w:suppressAutoHyphens/>
      <w:ind w:firstLine="420"/>
    </w:pPr>
    <w:rPr>
      <w:kern w:val="1"/>
      <w:szCs w:val="20"/>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character" w:customStyle="1" w:styleId="83">
    <w:name w:val="正文文本 Char1"/>
    <w:link w:val="17"/>
    <w:qFormat/>
    <w:locked/>
    <w:uiPriority w:val="0"/>
    <w:rPr>
      <w:rFonts w:eastAsia="仿宋_GB2312"/>
      <w:kern w:val="2"/>
      <w:sz w:val="28"/>
      <w:szCs w:val="24"/>
      <w:lang w:val="en-US" w:eastAsia="zh-CN" w:bidi="ar-SA"/>
    </w:rPr>
  </w:style>
  <w:style w:type="paragraph" w:customStyle="1" w:styleId="84">
    <w:name w:val="项目排列"/>
    <w:basedOn w:val="1"/>
    <w:link w:val="85"/>
    <w:qFormat/>
    <w:uiPriority w:val="0"/>
    <w:pPr>
      <w:tabs>
        <w:tab w:val="left" w:pos="900"/>
      </w:tabs>
      <w:spacing w:beforeLines="50" w:afterLines="50" w:line="300" w:lineRule="auto"/>
      <w:ind w:left="900" w:hanging="420"/>
    </w:pPr>
    <w:rPr>
      <w:sz w:val="24"/>
    </w:rPr>
  </w:style>
  <w:style w:type="character" w:customStyle="1" w:styleId="85">
    <w:name w:val="项目排列 Char"/>
    <w:link w:val="84"/>
    <w:qFormat/>
    <w:uiPriority w:val="0"/>
    <w:rPr>
      <w:kern w:val="2"/>
      <w:sz w:val="24"/>
      <w:szCs w:val="24"/>
    </w:rPr>
  </w:style>
  <w:style w:type="character" w:customStyle="1" w:styleId="86">
    <w:name w:val="style21"/>
    <w:qFormat/>
    <w:uiPriority w:val="0"/>
    <w:rPr>
      <w:sz w:val="15"/>
      <w:szCs w:val="15"/>
    </w:rPr>
  </w:style>
  <w:style w:type="paragraph" w:customStyle="1" w:styleId="87">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8">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89">
    <w:name w:val="Char1"/>
    <w:basedOn w:val="1"/>
    <w:qFormat/>
    <w:uiPriority w:val="0"/>
    <w:rPr>
      <w:szCs w:val="20"/>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默认段落字体 Para Char Char Char Char"/>
    <w:basedOn w:val="1"/>
    <w:qFormat/>
    <w:uiPriority w:val="0"/>
  </w:style>
  <w:style w:type="paragraph" w:customStyle="1" w:styleId="92">
    <w:name w:val="Char Char Char1 Char Char Char1 Char Char Char Char"/>
    <w:basedOn w:val="1"/>
    <w:qFormat/>
    <w:uiPriority w:val="0"/>
  </w:style>
  <w:style w:type="character" w:customStyle="1" w:styleId="93">
    <w:name w:val="font1"/>
    <w:qFormat/>
    <w:uiPriority w:val="0"/>
    <w:rPr>
      <w:color w:val="999999"/>
      <w:sz w:val="18"/>
      <w:szCs w:val="18"/>
      <w:u w:val="none"/>
    </w:rPr>
  </w:style>
  <w:style w:type="paragraph" w:customStyle="1" w:styleId="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 Char Char Char Char Char Char Char Char Char"/>
    <w:basedOn w:val="1"/>
    <w:qFormat/>
    <w:uiPriority w:val="0"/>
    <w:rPr>
      <w:rFonts w:ascii="Tahoma" w:hAnsi="Tahoma"/>
      <w:sz w:val="24"/>
      <w:szCs w:val="20"/>
    </w:rPr>
  </w:style>
  <w:style w:type="character" w:customStyle="1" w:styleId="96">
    <w:name w:val="apple-style-span"/>
    <w:basedOn w:val="43"/>
    <w:qFormat/>
    <w:uiPriority w:val="0"/>
  </w:style>
  <w:style w:type="paragraph" w:customStyle="1" w:styleId="97">
    <w:name w:val="正文无缩进"/>
    <w:basedOn w:val="1"/>
    <w:link w:val="98"/>
    <w:qFormat/>
    <w:uiPriority w:val="0"/>
    <w:pPr>
      <w:spacing w:line="360" w:lineRule="auto"/>
    </w:pPr>
    <w:rPr>
      <w:rFonts w:ascii="宋体"/>
      <w:color w:val="000000"/>
      <w:sz w:val="24"/>
    </w:rPr>
  </w:style>
  <w:style w:type="character" w:customStyle="1" w:styleId="98">
    <w:name w:val="正文无缩进 Char"/>
    <w:link w:val="97"/>
    <w:qFormat/>
    <w:uiPriority w:val="0"/>
    <w:rPr>
      <w:rFonts w:ascii="宋体" w:eastAsia="宋体"/>
      <w:color w:val="000000"/>
      <w:kern w:val="2"/>
      <w:sz w:val="24"/>
      <w:szCs w:val="24"/>
      <w:lang w:val="en-US" w:eastAsia="zh-CN" w:bidi="ar-SA"/>
    </w:rPr>
  </w:style>
  <w:style w:type="paragraph" w:customStyle="1" w:styleId="9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0">
    <w:name w:val="ca-3"/>
    <w:basedOn w:val="43"/>
    <w:qFormat/>
    <w:uiPriority w:val="0"/>
  </w:style>
  <w:style w:type="paragraph" w:customStyle="1" w:styleId="10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2">
    <w:name w:val="表格 Char Char"/>
    <w:link w:val="103"/>
    <w:qFormat/>
    <w:locked/>
    <w:uiPriority w:val="0"/>
    <w:rPr>
      <w:rFonts w:ascii="宋体" w:hAnsi="宋体" w:eastAsia="宋体"/>
      <w:lang w:val="en-US" w:eastAsia="zh-CN" w:bidi="ar-SA"/>
    </w:rPr>
  </w:style>
  <w:style w:type="paragraph" w:customStyle="1" w:styleId="103">
    <w:name w:val="表格"/>
    <w:basedOn w:val="1"/>
    <w:link w:val="102"/>
    <w:qFormat/>
    <w:uiPriority w:val="0"/>
    <w:pPr>
      <w:snapToGrid w:val="0"/>
      <w:ind w:firstLine="42" w:firstLineChars="21"/>
    </w:pPr>
    <w:rPr>
      <w:rFonts w:ascii="宋体" w:hAnsi="宋体"/>
      <w:kern w:val="0"/>
      <w:sz w:val="20"/>
      <w:szCs w:val="20"/>
    </w:rPr>
  </w:style>
  <w:style w:type="paragraph" w:customStyle="1" w:styleId="10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5">
    <w:name w:val="Char Char1 Char Char Char Char Char Char"/>
    <w:basedOn w:val="1"/>
    <w:qFormat/>
    <w:uiPriority w:val="0"/>
    <w:pPr>
      <w:widowControl/>
      <w:spacing w:after="160" w:line="240" w:lineRule="exact"/>
      <w:jc w:val="left"/>
    </w:pPr>
  </w:style>
  <w:style w:type="character" w:customStyle="1" w:styleId="106">
    <w:name w:val="Char Char"/>
    <w:qFormat/>
    <w:uiPriority w:val="0"/>
    <w:rPr>
      <w:rFonts w:hint="eastAsia" w:ascii="宋体" w:hAnsi="Courier New" w:eastAsia="宋体"/>
      <w:kern w:val="2"/>
      <w:sz w:val="21"/>
      <w:lang w:val="en-US" w:eastAsia="zh-CN" w:bidi="ar-SA"/>
    </w:rPr>
  </w:style>
  <w:style w:type="character" w:customStyle="1" w:styleId="107">
    <w:name w:val="style51"/>
    <w:qFormat/>
    <w:uiPriority w:val="0"/>
    <w:rPr>
      <w:sz w:val="21"/>
      <w:szCs w:val="21"/>
    </w:rPr>
  </w:style>
  <w:style w:type="paragraph" w:customStyle="1" w:styleId="10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09">
    <w:name w:val="标准文本"/>
    <w:basedOn w:val="1"/>
    <w:link w:val="110"/>
    <w:qFormat/>
    <w:uiPriority w:val="0"/>
    <w:pPr>
      <w:spacing w:line="360" w:lineRule="auto"/>
      <w:ind w:firstLine="480" w:firstLineChars="200"/>
    </w:pPr>
    <w:rPr>
      <w:rFonts w:cs="宋体"/>
      <w:sz w:val="24"/>
      <w:szCs w:val="20"/>
    </w:rPr>
  </w:style>
  <w:style w:type="character" w:customStyle="1" w:styleId="110">
    <w:name w:val="标准文本 Char"/>
    <w:link w:val="109"/>
    <w:qFormat/>
    <w:uiPriority w:val="0"/>
    <w:rPr>
      <w:rFonts w:eastAsia="宋体" w:cs="宋体"/>
      <w:kern w:val="2"/>
      <w:sz w:val="24"/>
      <w:lang w:val="en-US" w:eastAsia="zh-CN" w:bidi="ar-SA"/>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自定义正文"/>
    <w:basedOn w:val="1"/>
    <w:link w:val="113"/>
    <w:qFormat/>
    <w:uiPriority w:val="0"/>
    <w:pPr>
      <w:spacing w:line="480" w:lineRule="exact"/>
      <w:ind w:firstLine="200" w:firstLineChars="200"/>
      <w:jc w:val="left"/>
    </w:pPr>
    <w:rPr>
      <w:rFonts w:ascii="仿宋_GB2312" w:eastAsia="仿宋_GB2312"/>
      <w:sz w:val="28"/>
    </w:rPr>
  </w:style>
  <w:style w:type="character" w:customStyle="1" w:styleId="113">
    <w:name w:val="自定义正文 Char"/>
    <w:link w:val="112"/>
    <w:qFormat/>
    <w:uiPriority w:val="0"/>
    <w:rPr>
      <w:rFonts w:ascii="仿宋_GB2312" w:eastAsia="仿宋_GB2312"/>
      <w:kern w:val="2"/>
      <w:sz w:val="28"/>
      <w:szCs w:val="24"/>
      <w:lang w:val="en-US" w:eastAsia="zh-CN" w:bidi="ar-SA"/>
    </w:rPr>
  </w:style>
  <w:style w:type="paragraph" w:customStyle="1" w:styleId="11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5">
    <w:name w:val="自定义表格文字"/>
    <w:basedOn w:val="1"/>
    <w:qFormat/>
    <w:uiPriority w:val="0"/>
    <w:pPr>
      <w:spacing w:before="60" w:after="60" w:line="320" w:lineRule="exact"/>
      <w:jc w:val="left"/>
    </w:pPr>
    <w:rPr>
      <w:rFonts w:ascii="宋体" w:eastAsia="楷体_GB2312"/>
    </w:rPr>
  </w:style>
  <w:style w:type="paragraph" w:customStyle="1" w:styleId="11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文档结构图 Char"/>
    <w:link w:val="15"/>
    <w:semiHidden/>
    <w:qFormat/>
    <w:uiPriority w:val="0"/>
    <w:rPr>
      <w:rFonts w:eastAsia="宋体"/>
      <w:kern w:val="2"/>
      <w:sz w:val="21"/>
      <w:szCs w:val="24"/>
      <w:lang w:val="en-US" w:eastAsia="zh-CN" w:bidi="ar-SA"/>
    </w:rPr>
  </w:style>
  <w:style w:type="character" w:customStyle="1" w:styleId="119">
    <w:name w:val="Char Char12"/>
    <w:qFormat/>
    <w:uiPriority w:val="0"/>
    <w:rPr>
      <w:rFonts w:ascii="宋体" w:hAnsi="Courier New" w:eastAsia="宋体"/>
      <w:kern w:val="2"/>
      <w:sz w:val="21"/>
      <w:lang w:val="en-US" w:eastAsia="zh-CN" w:bidi="ar-SA"/>
    </w:rPr>
  </w:style>
  <w:style w:type="character" w:customStyle="1" w:styleId="120">
    <w:name w:val="H4 Char"/>
    <w:qFormat/>
    <w:uiPriority w:val="0"/>
    <w:rPr>
      <w:rFonts w:ascii="宋体" w:hAnsi="宋体" w:eastAsia="黑体"/>
      <w:b/>
      <w:bCs/>
      <w:color w:val="000000"/>
      <w:spacing w:val="-4"/>
      <w:kern w:val="2"/>
      <w:sz w:val="24"/>
      <w:szCs w:val="30"/>
      <w:lang w:val="en-US" w:eastAsia="zh-CN" w:bidi="ar-SA"/>
    </w:rPr>
  </w:style>
  <w:style w:type="character" w:customStyle="1" w:styleId="121">
    <w:name w:val="H5 Char"/>
    <w:qFormat/>
    <w:uiPriority w:val="0"/>
    <w:rPr>
      <w:rFonts w:ascii="Arial" w:hAnsi="Arial" w:eastAsia="宋体"/>
      <w:sz w:val="24"/>
      <w:lang w:val="en-US" w:eastAsia="zh-CN" w:bidi="ar-SA"/>
    </w:rPr>
  </w:style>
  <w:style w:type="character" w:customStyle="1" w:styleId="122">
    <w:name w:val="Char Char8"/>
    <w:qFormat/>
    <w:uiPriority w:val="0"/>
    <w:rPr>
      <w:rFonts w:ascii="宋体" w:eastAsia="宋体"/>
      <w:kern w:val="2"/>
      <w:sz w:val="28"/>
      <w:lang w:val="en-US" w:eastAsia="zh-CN" w:bidi="ar-SA"/>
    </w:rPr>
  </w:style>
  <w:style w:type="character" w:customStyle="1" w:styleId="123">
    <w:name w:val="Char Char7"/>
    <w:qFormat/>
    <w:uiPriority w:val="0"/>
    <w:rPr>
      <w:rFonts w:eastAsia="仿宋_GB2312"/>
      <w:kern w:val="2"/>
      <w:sz w:val="24"/>
      <w:szCs w:val="24"/>
      <w:lang w:val="en-US" w:eastAsia="zh-CN" w:bidi="ar-SA"/>
    </w:rPr>
  </w:style>
  <w:style w:type="paragraph" w:customStyle="1" w:styleId="124">
    <w:name w:val="表内文字"/>
    <w:basedOn w:val="1"/>
    <w:qFormat/>
    <w:uiPriority w:val="0"/>
    <w:pPr>
      <w:jc w:val="center"/>
    </w:pPr>
    <w:rPr>
      <w:color w:val="FF0000"/>
      <w:kern w:val="0"/>
      <w:sz w:val="24"/>
    </w:rPr>
  </w:style>
  <w:style w:type="character" w:customStyle="1" w:styleId="125">
    <w:name w:val="Char Char3"/>
    <w:qFormat/>
    <w:uiPriority w:val="0"/>
    <w:rPr>
      <w:rFonts w:eastAsia="仿宋_GB2312"/>
      <w:kern w:val="2"/>
      <w:sz w:val="28"/>
      <w:szCs w:val="24"/>
      <w:lang w:val="en-US" w:eastAsia="zh-CN" w:bidi="ar-SA"/>
    </w:rPr>
  </w:style>
  <w:style w:type="paragraph" w:customStyle="1" w:styleId="12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项目1"/>
    <w:basedOn w:val="1"/>
    <w:qFormat/>
    <w:uiPriority w:val="0"/>
    <w:pPr>
      <w:tabs>
        <w:tab w:val="left" w:pos="840"/>
      </w:tabs>
      <w:spacing w:after="60"/>
      <w:ind w:left="840" w:hanging="420"/>
    </w:pPr>
    <w:rPr>
      <w:rFonts w:ascii="宋体"/>
      <w:spacing w:val="4"/>
      <w:szCs w:val="20"/>
    </w:rPr>
  </w:style>
  <w:style w:type="paragraph" w:customStyle="1" w:styleId="131">
    <w:name w:val="编10号"/>
    <w:basedOn w:val="1"/>
    <w:qFormat/>
    <w:uiPriority w:val="0"/>
    <w:pPr>
      <w:tabs>
        <w:tab w:val="left" w:pos="1620"/>
      </w:tabs>
      <w:ind w:left="1620" w:hanging="360"/>
    </w:pPr>
  </w:style>
  <w:style w:type="paragraph" w:customStyle="1" w:styleId="132">
    <w:name w:val="段"/>
    <w:basedOn w:val="1"/>
    <w:qFormat/>
    <w:uiPriority w:val="0"/>
    <w:pPr>
      <w:ind w:firstLine="425"/>
    </w:pPr>
    <w:rPr>
      <w:rFonts w:ascii="宋体"/>
      <w:szCs w:val="20"/>
    </w:rPr>
  </w:style>
  <w:style w:type="paragraph" w:customStyle="1" w:styleId="133">
    <w:name w:val="Char Char Char Char"/>
    <w:basedOn w:val="1"/>
    <w:qFormat/>
    <w:uiPriority w:val="0"/>
    <w:pPr>
      <w:widowControl/>
      <w:spacing w:after="160" w:line="240" w:lineRule="exact"/>
      <w:jc w:val="left"/>
    </w:pPr>
    <w:rPr>
      <w:kern w:val="0"/>
      <w:sz w:val="24"/>
    </w:rPr>
  </w:style>
  <w:style w:type="paragraph" w:customStyle="1" w:styleId="134">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5">
    <w:name w:val="bulletintext1"/>
    <w:qFormat/>
    <w:uiPriority w:val="0"/>
    <w:rPr>
      <w:rFonts w:hint="eastAsia" w:ascii="宋体" w:hAnsi="宋体" w:eastAsia="宋体"/>
      <w:sz w:val="18"/>
      <w:szCs w:val="18"/>
    </w:rPr>
  </w:style>
  <w:style w:type="paragraph" w:customStyle="1" w:styleId="136">
    <w:name w:val="Char1 Char Char Char Char Char Char"/>
    <w:basedOn w:val="1"/>
    <w:qFormat/>
    <w:uiPriority w:val="0"/>
    <w:rPr>
      <w:rFonts w:ascii="Tahoma" w:hAnsi="Tahoma"/>
      <w:sz w:val="24"/>
      <w:szCs w:val="20"/>
    </w:rPr>
  </w:style>
  <w:style w:type="paragraph" w:customStyle="1" w:styleId="137">
    <w:name w:val="Char Char2 Char Char Char Char"/>
    <w:basedOn w:val="15"/>
    <w:qFormat/>
    <w:uiPriority w:val="0"/>
    <w:rPr>
      <w:rFonts w:ascii="Tahoma" w:hAnsi="Tahoma"/>
      <w:sz w:val="24"/>
    </w:rPr>
  </w:style>
  <w:style w:type="paragraph" w:customStyle="1" w:styleId="138">
    <w:name w:val="Char Char Char"/>
    <w:basedOn w:val="15"/>
    <w:qFormat/>
    <w:uiPriority w:val="0"/>
    <w:rPr>
      <w:rFonts w:ascii="Tahoma" w:hAnsi="Tahoma"/>
      <w:sz w:val="24"/>
    </w:rPr>
  </w:style>
  <w:style w:type="paragraph" w:customStyle="1" w:styleId="139">
    <w:name w:val="正文缩进 New"/>
    <w:basedOn w:val="1"/>
    <w:qFormat/>
    <w:uiPriority w:val="0"/>
    <w:pPr>
      <w:ind w:firstLine="420" w:firstLineChars="200"/>
    </w:pPr>
    <w:rPr>
      <w:szCs w:val="20"/>
    </w:rPr>
  </w:style>
  <w:style w:type="paragraph" w:customStyle="1" w:styleId="140">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1">
    <w:name w:val="tpc_content1"/>
    <w:qFormat/>
    <w:uiPriority w:val="0"/>
    <w:rPr>
      <w:sz w:val="20"/>
      <w:szCs w:val="20"/>
    </w:rPr>
  </w:style>
  <w:style w:type="character" w:customStyle="1" w:styleId="142">
    <w:name w:val="Char Char11"/>
    <w:qFormat/>
    <w:uiPriority w:val="0"/>
    <w:rPr>
      <w:b/>
      <w:kern w:val="44"/>
      <w:sz w:val="44"/>
    </w:rPr>
  </w:style>
  <w:style w:type="character" w:customStyle="1" w:styleId="143">
    <w:name w:val="Char Char10"/>
    <w:qFormat/>
    <w:uiPriority w:val="0"/>
    <w:rPr>
      <w:b/>
      <w:kern w:val="2"/>
      <w:sz w:val="28"/>
      <w:szCs w:val="28"/>
    </w:rPr>
  </w:style>
  <w:style w:type="character" w:customStyle="1" w:styleId="144">
    <w:name w:val="Char Char9"/>
    <w:qFormat/>
    <w:uiPriority w:val="0"/>
    <w:rPr>
      <w:b/>
      <w:kern w:val="2"/>
      <w:sz w:val="24"/>
      <w:szCs w:val="24"/>
    </w:rPr>
  </w:style>
  <w:style w:type="paragraph" w:customStyle="1" w:styleId="145">
    <w:name w:val="Char Char Char 字元 字元"/>
    <w:basedOn w:val="1"/>
    <w:qFormat/>
    <w:uiPriority w:val="0"/>
    <w:pPr>
      <w:spacing w:line="360" w:lineRule="auto"/>
      <w:ind w:firstLine="200" w:firstLineChars="200"/>
    </w:pPr>
    <w:rPr>
      <w:szCs w:val="20"/>
    </w:rPr>
  </w:style>
  <w:style w:type="paragraph" w:customStyle="1" w:styleId="14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8">
    <w:name w:val="style11"/>
    <w:qFormat/>
    <w:uiPriority w:val="0"/>
    <w:rPr>
      <w:b/>
      <w:bCs/>
      <w:color w:val="FF0000"/>
    </w:rPr>
  </w:style>
  <w:style w:type="character" w:customStyle="1" w:styleId="149">
    <w:name w:val="info"/>
    <w:basedOn w:val="43"/>
    <w:qFormat/>
    <w:uiPriority w:val="0"/>
  </w:style>
  <w:style w:type="paragraph" w:customStyle="1" w:styleId="150">
    <w:name w:val="样式 正文缩进 + 首行缩进:  2 字符"/>
    <w:basedOn w:val="4"/>
    <w:link w:val="151"/>
    <w:qFormat/>
    <w:uiPriority w:val="0"/>
    <w:pPr>
      <w:spacing w:line="360" w:lineRule="auto"/>
      <w:ind w:firstLine="480"/>
    </w:pPr>
    <w:rPr>
      <w:rFonts w:ascii="宋体" w:hAnsi="宋体"/>
      <w:color w:val="000000"/>
      <w:kern w:val="0"/>
      <w:sz w:val="24"/>
      <w:szCs w:val="20"/>
    </w:rPr>
  </w:style>
  <w:style w:type="character" w:customStyle="1" w:styleId="151">
    <w:name w:val="样式 正文缩进 + 首行缩进:  2 字符 Char"/>
    <w:link w:val="150"/>
    <w:qFormat/>
    <w:locked/>
    <w:uiPriority w:val="0"/>
    <w:rPr>
      <w:rFonts w:ascii="宋体" w:hAnsi="宋体" w:eastAsia="宋体"/>
      <w:color w:val="000000"/>
      <w:sz w:val="24"/>
      <w:lang w:bidi="ar-SA"/>
    </w:rPr>
  </w:style>
  <w:style w:type="paragraph" w:customStyle="1" w:styleId="152">
    <w:name w:val="正文2"/>
    <w:basedOn w:val="1"/>
    <w:link w:val="153"/>
    <w:qFormat/>
    <w:uiPriority w:val="0"/>
    <w:pPr>
      <w:spacing w:before="156" w:line="360" w:lineRule="auto"/>
      <w:ind w:firstLine="510" w:firstLineChars="200"/>
    </w:pPr>
    <w:rPr>
      <w:sz w:val="24"/>
      <w:szCs w:val="20"/>
    </w:rPr>
  </w:style>
  <w:style w:type="character" w:customStyle="1" w:styleId="153">
    <w:name w:val="正文2 Char"/>
    <w:link w:val="152"/>
    <w:qFormat/>
    <w:uiPriority w:val="0"/>
    <w:rPr>
      <w:rFonts w:eastAsia="宋体"/>
      <w:kern w:val="2"/>
      <w:sz w:val="24"/>
      <w:lang w:val="en-US" w:eastAsia="zh-CN" w:bidi="ar-SA"/>
    </w:rPr>
  </w:style>
  <w:style w:type="paragraph" w:customStyle="1" w:styleId="154">
    <w:name w:val="p0"/>
    <w:basedOn w:val="1"/>
    <w:qFormat/>
    <w:uiPriority w:val="0"/>
    <w:pPr>
      <w:widowControl/>
    </w:pPr>
    <w:rPr>
      <w:kern w:val="0"/>
      <w:szCs w:val="21"/>
    </w:rPr>
  </w:style>
  <w:style w:type="character" w:customStyle="1" w:styleId="155">
    <w:name w:val="param-name"/>
    <w:basedOn w:val="43"/>
    <w:qFormat/>
    <w:uiPriority w:val="0"/>
  </w:style>
  <w:style w:type="character" w:customStyle="1" w:styleId="156">
    <w:name w:val="日期 Char"/>
    <w:qFormat/>
    <w:uiPriority w:val="0"/>
    <w:rPr>
      <w:rFonts w:ascii="楷体_GB2312" w:eastAsia="楷体_GB2312"/>
      <w:b/>
      <w:kern w:val="2"/>
      <w:sz w:val="28"/>
      <w:lang w:val="en-US" w:eastAsia="zh-CN" w:bidi="ar-SA"/>
    </w:rPr>
  </w:style>
  <w:style w:type="character" w:customStyle="1" w:styleId="157">
    <w:name w:val="标题 4 Char"/>
    <w:qFormat/>
    <w:uiPriority w:val="0"/>
    <w:rPr>
      <w:rFonts w:ascii="Arial" w:hAnsi="Arial" w:eastAsia="黑体"/>
      <w:b/>
      <w:kern w:val="2"/>
      <w:sz w:val="28"/>
      <w:lang w:val="en-US" w:eastAsia="zh-CN" w:bidi="ar-SA"/>
    </w:rPr>
  </w:style>
  <w:style w:type="character" w:customStyle="1" w:styleId="158">
    <w:name w:val="标题 6 Char"/>
    <w:qFormat/>
    <w:uiPriority w:val="0"/>
    <w:rPr>
      <w:rFonts w:ascii="宋体" w:hAnsi="Arial" w:eastAsia="宋体"/>
      <w:sz w:val="24"/>
      <w:lang w:val="en-US" w:eastAsia="zh-CN" w:bidi="ar-SA"/>
    </w:rPr>
  </w:style>
  <w:style w:type="character" w:customStyle="1" w:styleId="159">
    <w:name w:val="标题 8 Char"/>
    <w:qFormat/>
    <w:uiPriority w:val="0"/>
    <w:rPr>
      <w:rFonts w:ascii="Arial" w:hAnsi="Arial" w:eastAsia="黑体"/>
      <w:sz w:val="24"/>
      <w:lang w:val="en-US" w:eastAsia="zh-CN" w:bidi="ar-SA"/>
    </w:rPr>
  </w:style>
  <w:style w:type="character" w:customStyle="1" w:styleId="160">
    <w:name w:val="标题 9 Char"/>
    <w:qFormat/>
    <w:uiPriority w:val="0"/>
    <w:rPr>
      <w:rFonts w:ascii="Arial" w:hAnsi="Arial" w:eastAsia="黑体"/>
      <w:sz w:val="24"/>
      <w:lang w:val="en-US" w:eastAsia="zh-CN" w:bidi="ar-SA"/>
    </w:rPr>
  </w:style>
  <w:style w:type="character" w:customStyle="1" w:styleId="161">
    <w:name w:val="标题 5 Char"/>
    <w:qFormat/>
    <w:uiPriority w:val="0"/>
    <w:rPr>
      <w:rFonts w:eastAsia="宋体"/>
      <w:sz w:val="24"/>
      <w:lang w:val="en-US" w:eastAsia="zh-CN" w:bidi="ar-SA"/>
    </w:rPr>
  </w:style>
  <w:style w:type="character" w:customStyle="1" w:styleId="162">
    <w:name w:val="正文文本 Char"/>
    <w:qFormat/>
    <w:locked/>
    <w:uiPriority w:val="0"/>
    <w:rPr>
      <w:rFonts w:eastAsia="仿宋_GB2312"/>
      <w:kern w:val="2"/>
      <w:sz w:val="28"/>
      <w:szCs w:val="24"/>
      <w:lang w:val="en-US" w:eastAsia="zh-CN" w:bidi="ar-SA"/>
    </w:rPr>
  </w:style>
  <w:style w:type="character" w:customStyle="1" w:styleId="163">
    <w:name w:val="正文文本缩进 2 Char"/>
    <w:qFormat/>
    <w:locked/>
    <w:uiPriority w:val="0"/>
    <w:rPr>
      <w:rFonts w:eastAsia="宋体"/>
      <w:kern w:val="2"/>
      <w:sz w:val="21"/>
      <w:szCs w:val="24"/>
      <w:lang w:val="en-US" w:eastAsia="zh-CN" w:bidi="ar-SA"/>
    </w:rPr>
  </w:style>
  <w:style w:type="character" w:customStyle="1" w:styleId="164">
    <w:name w:val="正文文本 2 Char"/>
    <w:qFormat/>
    <w:uiPriority w:val="0"/>
    <w:rPr>
      <w:rFonts w:ascii="隶书" w:eastAsia="隶书"/>
      <w:bCs/>
      <w:sz w:val="72"/>
      <w:szCs w:val="84"/>
      <w:lang w:val="en-US" w:eastAsia="zh-CN" w:bidi="ar-SA"/>
    </w:rPr>
  </w:style>
  <w:style w:type="character" w:customStyle="1" w:styleId="165">
    <w:name w:val="标题 7 Char"/>
    <w:qFormat/>
    <w:uiPriority w:val="0"/>
    <w:rPr>
      <w:rFonts w:ascii="宋体" w:hAnsi="Arial" w:eastAsia="宋体"/>
      <w:b/>
      <w:sz w:val="24"/>
      <w:lang w:val="en-US" w:eastAsia="zh-CN" w:bidi="ar-SA"/>
    </w:rPr>
  </w:style>
  <w:style w:type="character" w:customStyle="1" w:styleId="166">
    <w:name w:val="页眉 Char"/>
    <w:qFormat/>
    <w:uiPriority w:val="99"/>
    <w:rPr>
      <w:rFonts w:eastAsia="宋体"/>
      <w:kern w:val="2"/>
      <w:sz w:val="18"/>
      <w:szCs w:val="18"/>
      <w:lang w:val="en-US" w:eastAsia="zh-CN" w:bidi="ar-SA"/>
    </w:rPr>
  </w:style>
  <w:style w:type="character" w:customStyle="1" w:styleId="167">
    <w:name w:val="批注文字 Char"/>
    <w:qFormat/>
    <w:uiPriority w:val="99"/>
    <w:rPr>
      <w:rFonts w:eastAsia="宋体"/>
      <w:kern w:val="2"/>
      <w:sz w:val="21"/>
      <w:szCs w:val="24"/>
      <w:lang w:val="en-US" w:eastAsia="zh-CN" w:bidi="ar-SA"/>
    </w:rPr>
  </w:style>
  <w:style w:type="character" w:customStyle="1" w:styleId="168">
    <w:name w:val="汇视源正文 Char"/>
    <w:link w:val="169"/>
    <w:qFormat/>
    <w:uiPriority w:val="0"/>
    <w:rPr>
      <w:rFonts w:cs="宋体"/>
      <w:kern w:val="2"/>
      <w:sz w:val="24"/>
      <w:lang w:val="en-US" w:eastAsia="zh-CN" w:bidi="ar-SA"/>
    </w:rPr>
  </w:style>
  <w:style w:type="paragraph" w:customStyle="1" w:styleId="169">
    <w:name w:val="汇视源正文"/>
    <w:link w:val="168"/>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0">
    <w:name w:val="样式 列表编号 + 段后: 0.5 行"/>
    <w:basedOn w:val="13"/>
    <w:qFormat/>
    <w:uiPriority w:val="0"/>
    <w:pPr>
      <w:tabs>
        <w:tab w:val="left" w:pos="840"/>
      </w:tabs>
      <w:spacing w:afterLines="0"/>
      <w:ind w:left="425" w:hanging="425"/>
    </w:pPr>
    <w:rPr>
      <w:rFonts w:cs="宋体"/>
    </w:rPr>
  </w:style>
  <w:style w:type="paragraph" w:customStyle="1" w:styleId="171">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2">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3">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4">
    <w:name w:val="Date Char"/>
    <w:qFormat/>
    <w:locked/>
    <w:uiPriority w:val="0"/>
    <w:rPr>
      <w:rFonts w:ascii="宋体"/>
      <w:sz w:val="21"/>
      <w:lang w:val="zh-CN"/>
    </w:rPr>
  </w:style>
  <w:style w:type="character" w:customStyle="1" w:styleId="175">
    <w:name w:val="Normal Indent Char"/>
    <w:qFormat/>
    <w:locked/>
    <w:uiPriority w:val="0"/>
    <w:rPr>
      <w:rFonts w:ascii="宋体" w:eastAsia="宋体"/>
      <w:snapToGrid w:val="0"/>
      <w:color w:val="000000"/>
      <w:kern w:val="28"/>
      <w:sz w:val="28"/>
    </w:rPr>
  </w:style>
  <w:style w:type="character" w:customStyle="1" w:styleId="176">
    <w:name w:val="Plain Text Char"/>
    <w:qFormat/>
    <w:locked/>
    <w:uiPriority w:val="0"/>
    <w:rPr>
      <w:rFonts w:ascii="宋体" w:hAnsi="Courier New" w:eastAsia="宋体"/>
      <w:snapToGrid w:val="0"/>
      <w:sz w:val="21"/>
    </w:rPr>
  </w:style>
  <w:style w:type="character" w:customStyle="1" w:styleId="177">
    <w:name w:val="日期 Char1"/>
    <w:qFormat/>
    <w:uiPriority w:val="0"/>
    <w:rPr>
      <w:rFonts w:ascii="Times New Roman" w:hAnsi="Times New Roman" w:eastAsia="宋体" w:cs="Times New Roman"/>
      <w:sz w:val="24"/>
      <w:szCs w:val="24"/>
    </w:rPr>
  </w:style>
  <w:style w:type="character" w:customStyle="1" w:styleId="178">
    <w:name w:val="纯文本 Char1"/>
    <w:link w:val="179"/>
    <w:qFormat/>
    <w:uiPriority w:val="0"/>
    <w:rPr>
      <w:rFonts w:ascii="宋体" w:hAnsi="Courier New" w:eastAsia="宋体" w:cs="Courier New"/>
      <w:sz w:val="21"/>
      <w:szCs w:val="21"/>
    </w:rPr>
  </w:style>
  <w:style w:type="paragraph" w:customStyle="1" w:styleId="179">
    <w:name w:val="纯文本1"/>
    <w:basedOn w:val="1"/>
    <w:link w:val="178"/>
    <w:qFormat/>
    <w:uiPriority w:val="0"/>
    <w:rPr>
      <w:rFonts w:ascii="宋体" w:hAnsi="Courier New" w:cs="Courier New"/>
      <w:kern w:val="0"/>
      <w:szCs w:val="21"/>
    </w:rPr>
  </w:style>
  <w:style w:type="paragraph" w:customStyle="1" w:styleId="18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1">
    <w:name w:val="列出段落112"/>
    <w:basedOn w:val="1"/>
    <w:link w:val="206"/>
    <w:qFormat/>
    <w:uiPriority w:val="0"/>
    <w:pPr>
      <w:adjustRightInd w:val="0"/>
      <w:spacing w:line="360" w:lineRule="auto"/>
      <w:ind w:firstLine="200" w:firstLineChars="200"/>
    </w:pPr>
    <w:rPr>
      <w:rFonts w:eastAsia="楷体_GB2312" w:cs="Lucida Sans"/>
      <w:sz w:val="24"/>
    </w:rPr>
  </w:style>
  <w:style w:type="paragraph" w:customStyle="1" w:styleId="182">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3">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4">
    <w:name w:val="Header Char"/>
    <w:qFormat/>
    <w:locked/>
    <w:uiPriority w:val="0"/>
    <w:rPr>
      <w:rFonts w:ascii="Times New Roman" w:hAnsi="Times New Roman" w:eastAsia="宋体" w:cs="Times New Roman"/>
      <w:sz w:val="18"/>
      <w:szCs w:val="18"/>
    </w:rPr>
  </w:style>
  <w:style w:type="paragraph" w:customStyle="1" w:styleId="1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6">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7">
    <w:name w:val="Comment Text Char"/>
    <w:qFormat/>
    <w:locked/>
    <w:uiPriority w:val="0"/>
    <w:rPr>
      <w:rFonts w:ascii="Times New Roman" w:hAnsi="Times New Roman" w:eastAsia="宋体" w:cs="Times New Roman"/>
      <w:kern w:val="0"/>
      <w:sz w:val="24"/>
      <w:szCs w:val="24"/>
      <w:lang w:val="zh-CN" w:eastAsia="zh-CN"/>
    </w:rPr>
  </w:style>
  <w:style w:type="paragraph" w:customStyle="1" w:styleId="188">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0">
    <w:name w:val="Char Char Char Char1"/>
    <w:basedOn w:val="1"/>
    <w:qFormat/>
    <w:uiPriority w:val="0"/>
    <w:rPr>
      <w:rFonts w:ascii="Tahoma" w:hAnsi="Tahoma"/>
      <w:sz w:val="24"/>
      <w:szCs w:val="20"/>
    </w:rPr>
  </w:style>
  <w:style w:type="paragraph" w:customStyle="1" w:styleId="191">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2">
    <w:name w:val="样式5"/>
    <w:basedOn w:val="1"/>
    <w:next w:val="193"/>
    <w:qFormat/>
    <w:uiPriority w:val="0"/>
    <w:pPr>
      <w:adjustRightInd w:val="0"/>
      <w:spacing w:line="440" w:lineRule="exact"/>
      <w:ind w:left="2" w:firstLine="480" w:firstLineChars="200"/>
    </w:pPr>
    <w:rPr>
      <w:rFonts w:ascii="仿宋_GB2312" w:hAnsi="仿宋" w:eastAsia="仿宋_GB2312"/>
      <w:sz w:val="24"/>
    </w:rPr>
  </w:style>
  <w:style w:type="paragraph" w:customStyle="1" w:styleId="193">
    <w:name w:val="正文文字 8"/>
    <w:next w:val="1"/>
    <w:qFormat/>
    <w:uiPriority w:val="0"/>
    <w:pPr>
      <w:widowControl w:val="0"/>
      <w:numPr>
        <w:ilvl w:val="1"/>
        <w:numId w:val="5"/>
      </w:numPr>
      <w:ind w:left="805"/>
      <w:jc w:val="both"/>
    </w:pPr>
    <w:rPr>
      <w:rFonts w:ascii="Times New Roman" w:hAnsi="Times New Roman" w:eastAsia="宋体" w:cs="Times New Roman"/>
      <w:kern w:val="2"/>
      <w:sz w:val="16"/>
      <w:lang w:val="en-US" w:eastAsia="zh-CN" w:bidi="ar-SA"/>
    </w:rPr>
  </w:style>
  <w:style w:type="paragraph" w:customStyle="1" w:styleId="19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5">
    <w:name w:val="正文2 Char Char"/>
    <w:qFormat/>
    <w:uiPriority w:val="0"/>
    <w:rPr>
      <w:kern w:val="2"/>
      <w:sz w:val="24"/>
    </w:rPr>
  </w:style>
  <w:style w:type="character" w:customStyle="1" w:styleId="196">
    <w:name w:val="普通文字 Char Char3"/>
    <w:qFormat/>
    <w:uiPriority w:val="0"/>
    <w:rPr>
      <w:rFonts w:ascii="宋体" w:hAnsi="Courier New"/>
      <w:kern w:val="2"/>
      <w:sz w:val="24"/>
      <w:szCs w:val="24"/>
    </w:rPr>
  </w:style>
  <w:style w:type="character" w:customStyle="1" w:styleId="197">
    <w:name w:val="特点 Char2"/>
    <w:qFormat/>
    <w:uiPriority w:val="0"/>
    <w:rPr>
      <w:rFonts w:ascii="Times New Roman" w:hAnsi="Times New Roman" w:eastAsia="宋体" w:cs="Times New Roman"/>
      <w:szCs w:val="24"/>
    </w:rPr>
  </w:style>
  <w:style w:type="character" w:customStyle="1" w:styleId="198">
    <w:name w:val="批注框文本 Char"/>
    <w:basedOn w:val="43"/>
    <w:link w:val="26"/>
    <w:semiHidden/>
    <w:qFormat/>
    <w:uiPriority w:val="0"/>
    <w:rPr>
      <w:kern w:val="2"/>
      <w:sz w:val="18"/>
      <w:szCs w:val="18"/>
    </w:rPr>
  </w:style>
  <w:style w:type="character" w:customStyle="1" w:styleId="199">
    <w:name w:val="正文文本缩进 3 Char"/>
    <w:basedOn w:val="43"/>
    <w:link w:val="31"/>
    <w:qFormat/>
    <w:uiPriority w:val="0"/>
    <w:rPr>
      <w:kern w:val="2"/>
      <w:sz w:val="16"/>
      <w:szCs w:val="16"/>
    </w:rPr>
  </w:style>
  <w:style w:type="character" w:customStyle="1" w:styleId="200">
    <w:name w:val="HTML 预设格式 Char"/>
    <w:basedOn w:val="43"/>
    <w:link w:val="35"/>
    <w:qFormat/>
    <w:uiPriority w:val="0"/>
    <w:rPr>
      <w:rFonts w:ascii="黑体" w:hAnsi="Courier New" w:eastAsia="黑体" w:cs="Courier New"/>
    </w:rPr>
  </w:style>
  <w:style w:type="character" w:customStyle="1" w:styleId="201">
    <w:name w:val="批注主题 Char"/>
    <w:basedOn w:val="167"/>
    <w:link w:val="39"/>
    <w:semiHidden/>
    <w:qFormat/>
    <w:uiPriority w:val="0"/>
    <w:rPr>
      <w:rFonts w:eastAsia="宋体"/>
      <w:b/>
      <w:bCs/>
      <w:kern w:val="2"/>
      <w:sz w:val="24"/>
      <w:szCs w:val="24"/>
      <w:lang w:val="en-US" w:eastAsia="zh-CN" w:bidi="ar-SA"/>
    </w:rPr>
  </w:style>
  <w:style w:type="character" w:customStyle="1" w:styleId="202">
    <w:name w:val="正文首行缩进 Char"/>
    <w:basedOn w:val="162"/>
    <w:link w:val="18"/>
    <w:qFormat/>
    <w:uiPriority w:val="0"/>
    <w:rPr>
      <w:rFonts w:eastAsia="仿宋_GB2312"/>
      <w:kern w:val="2"/>
      <w:sz w:val="21"/>
      <w:szCs w:val="24"/>
      <w:lang w:val="en-US" w:eastAsia="zh-CN" w:bidi="ar-SA"/>
    </w:rPr>
  </w:style>
  <w:style w:type="character" w:customStyle="1" w:styleId="203">
    <w:name w:val="正文首行缩进 2 Char"/>
    <w:basedOn w:val="64"/>
    <w:link w:val="40"/>
    <w:qFormat/>
    <w:uiPriority w:val="0"/>
    <w:rPr>
      <w:rFonts w:eastAsia="宋体"/>
      <w:kern w:val="2"/>
      <w:sz w:val="21"/>
      <w:szCs w:val="24"/>
      <w:lang w:val="en-US" w:eastAsia="zh-CN" w:bidi="ar-SA"/>
    </w:rPr>
  </w:style>
  <w:style w:type="paragraph" w:customStyle="1" w:styleId="204">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5">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6">
    <w:name w:val="列出段落 Char"/>
    <w:link w:val="181"/>
    <w:qFormat/>
    <w:uiPriority w:val="0"/>
    <w:rPr>
      <w:rFonts w:eastAsia="楷体_GB2312" w:cs="Lucida Sans"/>
      <w:kern w:val="2"/>
      <w:sz w:val="24"/>
      <w:szCs w:val="24"/>
    </w:rPr>
  </w:style>
  <w:style w:type="paragraph" w:customStyle="1" w:styleId="207">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8">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9">
    <w:name w:val="TOC 标题1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0">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1">
    <w:name w:val="正文缩进2格"/>
    <w:basedOn w:val="1"/>
    <w:link w:val="212"/>
    <w:qFormat/>
    <w:uiPriority w:val="0"/>
    <w:pPr>
      <w:spacing w:line="600" w:lineRule="exact"/>
      <w:ind w:firstLine="639" w:firstLineChars="206"/>
    </w:pPr>
    <w:rPr>
      <w:rFonts w:ascii="仿宋_GB2312" w:hAnsi="宋体" w:eastAsia="仿宋_GB2312"/>
      <w:kern w:val="0"/>
      <w:sz w:val="31"/>
      <w:szCs w:val="20"/>
    </w:rPr>
  </w:style>
  <w:style w:type="character" w:customStyle="1" w:styleId="212">
    <w:name w:val="正文缩进2格 Char"/>
    <w:link w:val="211"/>
    <w:qFormat/>
    <w:uiPriority w:val="0"/>
    <w:rPr>
      <w:rFonts w:ascii="仿宋_GB2312" w:hAnsi="宋体" w:eastAsia="仿宋_GB2312"/>
      <w:sz w:val="31"/>
    </w:rPr>
  </w:style>
  <w:style w:type="paragraph" w:customStyle="1" w:styleId="21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4">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5">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6">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正文1级"/>
    <w:link w:val="252"/>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2">
    <w:name w:val="正文1级 Char Char"/>
    <w:link w:val="251"/>
    <w:qFormat/>
    <w:uiPriority w:val="0"/>
    <w:rPr>
      <w:bCs/>
      <w:kern w:val="44"/>
      <w:sz w:val="24"/>
      <w:szCs w:val="44"/>
    </w:rPr>
  </w:style>
  <w:style w:type="character" w:customStyle="1" w:styleId="253">
    <w:name w:val="Char Char1"/>
    <w:qFormat/>
    <w:uiPriority w:val="0"/>
    <w:rPr>
      <w:rFonts w:ascii="宋体" w:hAnsi="Courier New" w:eastAsia="宋体"/>
      <w:kern w:val="2"/>
      <w:sz w:val="21"/>
      <w:lang w:val="en-US" w:eastAsia="zh-CN" w:bidi="ar-SA"/>
    </w:rPr>
  </w:style>
  <w:style w:type="paragraph" w:customStyle="1" w:styleId="254">
    <w:name w:val="列出段落2"/>
    <w:basedOn w:val="1"/>
    <w:qFormat/>
    <w:uiPriority w:val="34"/>
    <w:pPr>
      <w:spacing w:line="440" w:lineRule="exact"/>
      <w:ind w:firstLine="420" w:firstLineChars="200"/>
    </w:pPr>
    <w:rPr>
      <w:rFonts w:eastAsia="仿宋_GB2312"/>
      <w:sz w:val="24"/>
    </w:rPr>
  </w:style>
  <w:style w:type="paragraph" w:customStyle="1" w:styleId="255">
    <w:name w:val="TOC 标题2"/>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6">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列出段落21"/>
    <w:basedOn w:val="1"/>
    <w:qFormat/>
    <w:uiPriority w:val="0"/>
    <w:pPr>
      <w:ind w:firstLine="420" w:firstLineChars="200"/>
    </w:pPr>
    <w:rPr>
      <w:rFonts w:ascii="Calibri" w:hAnsi="Calibri"/>
      <w:szCs w:val="22"/>
    </w:rPr>
  </w:style>
  <w:style w:type="paragraph" w:customStyle="1" w:styleId="258">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0">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151"/>
    <w:basedOn w:val="1"/>
    <w:qFormat/>
    <w:uiPriority w:val="0"/>
    <w:rPr>
      <w:rFonts w:ascii="Tahoma" w:hAnsi="Tahoma"/>
      <w:sz w:val="24"/>
      <w:szCs w:val="20"/>
    </w:rPr>
  </w:style>
  <w:style w:type="paragraph" w:customStyle="1" w:styleId="264">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5">
    <w:name w:val="font01"/>
    <w:basedOn w:val="43"/>
    <w:qFormat/>
    <w:uiPriority w:val="0"/>
    <w:rPr>
      <w:rFonts w:hint="eastAsia" w:ascii="宋体" w:hAnsi="宋体" w:eastAsia="宋体" w:cs="宋体"/>
      <w:color w:val="000000"/>
      <w:sz w:val="22"/>
      <w:szCs w:val="22"/>
      <w:u w:val="none"/>
    </w:rPr>
  </w:style>
  <w:style w:type="character" w:customStyle="1" w:styleId="266">
    <w:name w:val="font11"/>
    <w:basedOn w:val="43"/>
    <w:qFormat/>
    <w:uiPriority w:val="0"/>
    <w:rPr>
      <w:rFonts w:hint="eastAsia" w:ascii="宋体" w:hAnsi="宋体" w:eastAsia="宋体" w:cs="宋体"/>
      <w:color w:val="FF0000"/>
      <w:sz w:val="22"/>
      <w:szCs w:val="22"/>
      <w:u w:val="none"/>
    </w:rPr>
  </w:style>
  <w:style w:type="character" w:customStyle="1" w:styleId="267">
    <w:name w:val="font41"/>
    <w:basedOn w:val="43"/>
    <w:qFormat/>
    <w:uiPriority w:val="0"/>
    <w:rPr>
      <w:rFonts w:hint="default" w:ascii="等线" w:hAnsi="等线" w:eastAsia="等线" w:cs="等线"/>
      <w:color w:val="FF0000"/>
      <w:sz w:val="22"/>
      <w:szCs w:val="22"/>
      <w:u w:val="none"/>
    </w:rPr>
  </w:style>
  <w:style w:type="character" w:customStyle="1" w:styleId="268">
    <w:name w:val="font21"/>
    <w:basedOn w:val="43"/>
    <w:qFormat/>
    <w:uiPriority w:val="0"/>
    <w:rPr>
      <w:rFonts w:hint="default" w:ascii="等线" w:hAnsi="等线" w:eastAsia="等线" w:cs="等线"/>
      <w:color w:val="000000"/>
      <w:sz w:val="22"/>
      <w:szCs w:val="22"/>
      <w:u w:val="none"/>
    </w:rPr>
  </w:style>
  <w:style w:type="character" w:customStyle="1" w:styleId="269">
    <w:name w:val="font51"/>
    <w:basedOn w:val="43"/>
    <w:qFormat/>
    <w:uiPriority w:val="0"/>
    <w:rPr>
      <w:rFonts w:hint="default" w:ascii="等线" w:hAnsi="等线" w:eastAsia="等线" w:cs="等线"/>
      <w:color w:val="FF0000"/>
      <w:sz w:val="22"/>
      <w:szCs w:val="22"/>
      <w:u w:val="none"/>
    </w:rPr>
  </w:style>
  <w:style w:type="character" w:customStyle="1" w:styleId="270">
    <w:name w:val="font61"/>
    <w:basedOn w:val="43"/>
    <w:qFormat/>
    <w:uiPriority w:val="0"/>
    <w:rPr>
      <w:rFonts w:hint="default" w:ascii="等线" w:hAnsi="等线" w:eastAsia="等线" w:cs="等线"/>
      <w:color w:val="000000"/>
      <w:sz w:val="22"/>
      <w:szCs w:val="22"/>
      <w:u w:val="none"/>
    </w:rPr>
  </w:style>
  <w:style w:type="paragraph" w:customStyle="1" w:styleId="2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6">
    <w:name w:val="未处理的提及1"/>
    <w:basedOn w:val="43"/>
    <w:semiHidden/>
    <w:unhideWhenUsed/>
    <w:qFormat/>
    <w:uiPriority w:val="99"/>
    <w:rPr>
      <w:color w:val="605E5C"/>
      <w:shd w:val="clear" w:color="auto" w:fill="E1DFDD"/>
    </w:rPr>
  </w:style>
  <w:style w:type="paragraph" w:customStyle="1" w:styleId="277">
    <w:name w:val="p15"/>
    <w:basedOn w:val="1"/>
    <w:qFormat/>
    <w:uiPriority w:val="0"/>
    <w:pPr>
      <w:widowControl/>
      <w:adjustRightInd w:val="0"/>
    </w:pPr>
    <w:rPr>
      <w:rFonts w:ascii="宋体" w:hAnsi="宋体" w:cs="宋体"/>
      <w:kern w:val="0"/>
      <w:sz w:val="20"/>
      <w:szCs w:val="20"/>
    </w:rPr>
  </w:style>
  <w:style w:type="character" w:customStyle="1" w:styleId="278">
    <w:name w:val="bookmark-item"/>
    <w:basedOn w:val="43"/>
    <w:qFormat/>
    <w:uiPriority w:val="0"/>
  </w:style>
  <w:style w:type="paragraph" w:customStyle="1" w:styleId="279">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0">
    <w:name w:val="题注 Char"/>
    <w:link w:val="14"/>
    <w:qFormat/>
    <w:uiPriority w:val="0"/>
    <w:rPr>
      <w:rFonts w:ascii="Calibri" w:hAnsi="Calibri"/>
      <w:kern w:val="2"/>
    </w:rPr>
  </w:style>
  <w:style w:type="paragraph" w:customStyle="1" w:styleId="281">
    <w:name w:val="索引 11"/>
    <w:basedOn w:val="1"/>
    <w:next w:val="1"/>
    <w:qFormat/>
    <w:uiPriority w:val="99"/>
    <w:pPr>
      <w:spacing w:line="360" w:lineRule="auto"/>
    </w:pPr>
    <w:rPr>
      <w:rFonts w:ascii="仿宋_GB2312" w:eastAsia="仿宋_GB2312"/>
      <w:sz w:val="24"/>
      <w:szCs w:val="20"/>
    </w:rPr>
  </w:style>
  <w:style w:type="paragraph" w:customStyle="1" w:styleId="282">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3">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4">
    <w:name w:val="页脚 Char2"/>
    <w:qFormat/>
    <w:locked/>
    <w:uiPriority w:val="99"/>
    <w:rPr>
      <w:kern w:val="2"/>
      <w:sz w:val="18"/>
      <w:szCs w:val="18"/>
    </w:rPr>
  </w:style>
  <w:style w:type="character" w:customStyle="1" w:styleId="285">
    <w:name w:val="页眉 Char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FA05-8F8D-4AD3-BE54-CD80ED4929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38031</Words>
  <Characters>40749</Characters>
  <Lines>336</Lines>
  <Paragraphs>94</Paragraphs>
  <TotalTime>118</TotalTime>
  <ScaleCrop>false</ScaleCrop>
  <LinksUpToDate>false</LinksUpToDate>
  <CharactersWithSpaces>43749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2022-06-30T01:21:00Z</dcterms:created>
  <dc:creator>USER</dc:creator>
  <cp:lastModifiedBy>ASUS</cp:lastModifiedBy>
  <cp:lastPrinted>2023-01-12T08:34:00Z</cp:lastPrinted>
  <dcterms:modified xsi:type="dcterms:W3CDTF">2023-01-19T02:40:37Z</dcterms:modified>
  <dc:title>绍兴文理学院计算机机房设备及录播系统供货项目</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B7F5DE0BB68444A793E7089D1AFFA8AB</vt:lpwstr>
  </property>
</Properties>
</file>