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rPr>
      </w:pPr>
      <w:r>
        <w:rPr>
          <w:rFonts w:hint="eastAsia" w:ascii="仿宋" w:hAnsi="仿宋" w:eastAsia="仿宋" w:cs="仿宋"/>
          <w:b/>
          <w:kern w:val="2"/>
          <w:sz w:val="48"/>
          <w:szCs w:val="48"/>
          <w:lang w:val="en-US" w:eastAsia="zh-CN" w:bidi="ar-SA"/>
        </w:rPr>
        <w:t>绍兴市人民医院医用高分子夹板采购项目</w:t>
      </w:r>
    </w:p>
    <w:p>
      <w:pPr>
        <w:pStyle w:val="4"/>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9"/>
        <w:rPr>
          <w:rFonts w:hint="eastAsia"/>
        </w:rPr>
      </w:pPr>
    </w:p>
    <w:p>
      <w:pPr>
        <w:rPr>
          <w:rFonts w:hint="eastAsia" w:ascii="仿宋" w:hAnsi="仿宋" w:eastAsia="仿宋" w:cs="仿宋"/>
          <w:sz w:val="36"/>
          <w:szCs w:val="36"/>
        </w:rPr>
      </w:pPr>
    </w:p>
    <w:tbl>
      <w:tblPr>
        <w:tblStyle w:val="23"/>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w:t>
            </w:r>
            <w:r>
              <w:rPr>
                <w:rFonts w:hint="eastAsia" w:ascii="仿宋" w:hAnsi="仿宋" w:eastAsia="仿宋" w:cs="仿宋"/>
                <w:sz w:val="28"/>
                <w:u w:val="none"/>
                <w:lang w:val="en-US" w:eastAsia="zh-CN"/>
              </w:rPr>
              <w:t>C</w:t>
            </w:r>
            <w:r>
              <w:rPr>
                <w:rFonts w:hint="eastAsia" w:ascii="仿宋" w:hAnsi="仿宋" w:eastAsia="仿宋" w:cs="仿宋"/>
                <w:sz w:val="28"/>
                <w:u w:val="none"/>
              </w:rPr>
              <w:t>-202</w:t>
            </w:r>
            <w:r>
              <w:rPr>
                <w:rFonts w:hint="eastAsia" w:ascii="仿宋" w:hAnsi="仿宋" w:eastAsia="仿宋" w:cs="仿宋"/>
                <w:sz w:val="28"/>
                <w:u w:val="none"/>
                <w:lang w:val="en-US" w:eastAsia="zh-CN"/>
              </w:rPr>
              <w:t>2</w:t>
            </w:r>
            <w:r>
              <w:rPr>
                <w:rFonts w:hint="eastAsia" w:ascii="仿宋" w:hAnsi="仿宋" w:eastAsia="仿宋" w:cs="仿宋"/>
                <w:sz w:val="28"/>
                <w:u w:val="none"/>
              </w:rPr>
              <w:t>-</w:t>
            </w:r>
            <w:r>
              <w:rPr>
                <w:rFonts w:hint="eastAsia" w:ascii="仿宋" w:hAnsi="仿宋" w:eastAsia="仿宋" w:cs="仿宋"/>
                <w:sz w:val="28"/>
                <w:u w:val="none"/>
                <w:lang w:val="en-US" w:eastAsia="zh-CN"/>
              </w:rPr>
              <w:t>057</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2022</w:t>
      </w:r>
      <w:r>
        <w:rPr>
          <w:rFonts w:hint="eastAsia" w:ascii="仿宋" w:hAnsi="仿宋" w:eastAsia="仿宋" w:cs="仿宋"/>
          <w:sz w:val="28"/>
        </w:rPr>
        <w:t>年</w:t>
      </w:r>
      <w:r>
        <w:rPr>
          <w:rFonts w:hint="eastAsia" w:ascii="仿宋" w:hAnsi="仿宋" w:eastAsia="仿宋" w:cs="仿宋"/>
          <w:sz w:val="28"/>
          <w:u w:val="single"/>
          <w:lang w:val="en-US" w:eastAsia="zh-CN"/>
        </w:rPr>
        <w:t>3</w:t>
      </w:r>
      <w:r>
        <w:rPr>
          <w:rFonts w:hint="eastAsia" w:ascii="仿宋" w:hAnsi="仿宋" w:eastAsia="仿宋" w:cs="仿宋"/>
          <w:sz w:val="28"/>
        </w:rPr>
        <w:t>月</w:t>
      </w:r>
    </w:p>
    <w:p>
      <w:pPr>
        <w:rPr>
          <w:rFonts w:hint="eastAsia" w:ascii="仿宋" w:hAnsi="仿宋" w:eastAsia="仿宋" w:cs="仿宋"/>
          <w:sz w:val="28"/>
        </w:rPr>
      </w:pPr>
    </w:p>
    <w:p>
      <w:pPr>
        <w:pStyle w:val="4"/>
        <w:rPr>
          <w:rFonts w:hint="eastAsia"/>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bookmarkStart w:id="54" w:name="_GoBack"/>
      <w:bookmarkEnd w:id="54"/>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4"/>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4"/>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w:t>
      </w:r>
      <w:r>
        <w:rPr>
          <w:rFonts w:hint="eastAsia" w:ascii="仿宋" w:hAnsi="仿宋" w:eastAsia="仿宋" w:cs="仿宋"/>
          <w:bCs/>
          <w:color w:val="000000"/>
          <w:sz w:val="24"/>
          <w:u w:val="single"/>
          <w:lang w:val="en-US" w:eastAsia="zh-CN"/>
        </w:rPr>
        <w:t>C</w:t>
      </w:r>
      <w:r>
        <w:rPr>
          <w:rFonts w:hint="eastAsia" w:ascii="仿宋" w:hAnsi="仿宋" w:eastAsia="仿宋" w:cs="仿宋"/>
          <w:bCs/>
          <w:color w:val="000000"/>
          <w:sz w:val="24"/>
          <w:u w:val="single"/>
        </w:rPr>
        <w:t>-202</w:t>
      </w:r>
      <w:r>
        <w:rPr>
          <w:rFonts w:hint="eastAsia" w:ascii="仿宋" w:hAnsi="仿宋" w:eastAsia="仿宋" w:cs="仿宋"/>
          <w:bCs/>
          <w:color w:val="000000"/>
          <w:sz w:val="24"/>
          <w:u w:val="single"/>
          <w:lang w:val="en-US" w:eastAsia="zh-CN"/>
        </w:rPr>
        <w:t>2</w:t>
      </w:r>
      <w:r>
        <w:rPr>
          <w:rFonts w:hint="eastAsia" w:ascii="仿宋" w:hAnsi="仿宋" w:eastAsia="仿宋" w:cs="仿宋"/>
          <w:bCs/>
          <w:color w:val="000000"/>
          <w:sz w:val="24"/>
          <w:u w:val="single"/>
        </w:rPr>
        <w:t>-</w:t>
      </w:r>
      <w:r>
        <w:rPr>
          <w:rFonts w:hint="eastAsia" w:ascii="仿宋" w:hAnsi="仿宋" w:eastAsia="仿宋" w:cs="仿宋"/>
          <w:bCs/>
          <w:color w:val="000000"/>
          <w:sz w:val="24"/>
          <w:u w:val="single"/>
          <w:lang w:val="en-US" w:eastAsia="zh-CN"/>
        </w:rPr>
        <w:t>020</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hint="eastAsia" w:ascii="仿宋" w:hAnsi="仿宋" w:eastAsia="仿宋" w:cs="仿宋"/>
          <w:bCs/>
          <w:color w:val="000000"/>
          <w:sz w:val="24"/>
        </w:rPr>
      </w:pPr>
      <w:r>
        <w:rPr>
          <w:rFonts w:hint="eastAsia" w:ascii="仿宋" w:hAnsi="仿宋" w:eastAsia="仿宋"/>
          <w:b/>
          <w:color w:val="auto"/>
          <w:sz w:val="24"/>
          <w:lang w:val="en-US" w:eastAsia="zh-CN"/>
        </w:rPr>
        <w:t xml:space="preserve">    </w:t>
      </w:r>
      <w:r>
        <w:rPr>
          <w:rFonts w:hint="eastAsia" w:ascii="仿宋" w:hAnsi="仿宋" w:eastAsia="仿宋" w:cs="仿宋"/>
          <w:b/>
          <w:color w:val="auto"/>
          <w:sz w:val="24"/>
          <w:szCs w:val="24"/>
          <w:lang w:val="en-US" w:eastAsia="zh-CN"/>
        </w:rPr>
        <w:t xml:space="preserve"> 绍兴市人民医院医用高分子夹板采购项目</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eastAsia="zh-CN"/>
              </w:rPr>
              <w:t>医用高分子夹板</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￥151900</w:t>
            </w:r>
            <w:r>
              <w:rPr>
                <w:rFonts w:hint="eastAsia" w:ascii="仿宋" w:hAnsi="仿宋" w:eastAsia="仿宋" w:cs="仿宋"/>
                <w:color w:val="000000"/>
                <w:szCs w:val="21"/>
                <w:highlight w:val="none"/>
                <w:lang w:val="en-US" w:eastAsia="zh-CN"/>
              </w:rPr>
              <w:t>.00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自公告之日起至2022年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3.报名时需提供：营业执照副本复印件、授权委托书（需体现项目名称及标段）、法定代表人（授权委托人）及被授权人身份证复印件、联系方式、邮箱等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2022</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09:00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4"/>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4" w:firstLineChars="200"/>
        <w:rPr>
          <w:rFonts w:hint="eastAsia" w:ascii="仿宋" w:hAnsi="仿宋" w:eastAsia="仿宋" w:cs="仿宋"/>
          <w:b w:val="0"/>
          <w:bCs/>
          <w:color w:val="000000"/>
          <w:spacing w:val="-4"/>
          <w:sz w:val="24"/>
        </w:rPr>
      </w:pPr>
      <w:r>
        <w:rPr>
          <w:rFonts w:hint="eastAsia" w:ascii="仿宋" w:hAnsi="仿宋" w:eastAsia="仿宋" w:cs="仿宋"/>
          <w:b w:val="0"/>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0575-88558890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0575-88558847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lang w:val="en-US" w:eastAsia="zh-CN"/>
        </w:rPr>
        <w:t xml:space="preserve">   </w:t>
      </w:r>
      <w:r>
        <w:rPr>
          <w:rFonts w:hint="eastAsia" w:ascii="仿宋" w:hAnsi="仿宋" w:eastAsia="仿宋" w:cs="仿宋"/>
          <w:color w:val="000000"/>
          <w:spacing w:val="0"/>
          <w:kern w:val="0"/>
          <w:sz w:val="24"/>
        </w:rPr>
        <w:t>日</w:t>
      </w:r>
    </w:p>
    <w:p>
      <w:pPr>
        <w:pStyle w:val="4"/>
        <w:rPr>
          <w:rFonts w:hint="eastAsia" w:ascii="仿宋" w:hAnsi="仿宋" w:eastAsia="仿宋" w:cs="仿宋"/>
        </w:rPr>
      </w:pPr>
      <w:bookmarkStart w:id="3" w:name="_Toc643610526"/>
      <w:r>
        <w:rPr>
          <w:rFonts w:hint="eastAsia" w:ascii="仿宋" w:hAnsi="仿宋" w:eastAsia="仿宋" w:cs="仿宋"/>
        </w:rPr>
        <w:t>第二章  供应商须知</w:t>
      </w:r>
      <w:bookmarkEnd w:id="3"/>
    </w:p>
    <w:p>
      <w:pPr>
        <w:pStyle w:val="5"/>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绍兴市人民医院医用高分子夹板采购项目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w:t>
            </w:r>
            <w:r>
              <w:rPr>
                <w:rFonts w:hint="eastAsia" w:ascii="仿宋" w:hAnsi="仿宋" w:eastAsia="仿宋" w:cs="仿宋"/>
                <w:color w:val="000000" w:themeColor="text1"/>
                <w:sz w:val="24"/>
                <w:highlight w:val="none"/>
                <w14:textFill>
                  <w14:solidFill>
                    <w14:schemeClr w14:val="tx1"/>
                  </w14:solidFill>
                </w14:textFill>
              </w:rPr>
              <w:t>目</w:t>
            </w:r>
            <w:r>
              <w:rPr>
                <w:rFonts w:hint="eastAsia" w:ascii="仿宋" w:hAnsi="仿宋" w:eastAsia="仿宋" w:cs="仿宋"/>
                <w:color w:val="auto"/>
                <w:sz w:val="24"/>
                <w:highlight w:val="none"/>
                <w:lang w:val="en-US" w:eastAsia="zh-CN"/>
              </w:rPr>
              <w:t>允许</w:t>
            </w:r>
            <w:r>
              <w:rPr>
                <w:rFonts w:hint="eastAsia" w:ascii="仿宋" w:hAnsi="仿宋" w:eastAsia="仿宋" w:cs="仿宋"/>
                <w:color w:val="000000" w:themeColor="text1"/>
                <w:sz w:val="24"/>
                <w:highlight w:val="none"/>
                <w14:textFill>
                  <w14:solidFill>
                    <w14:schemeClr w14:val="tx1"/>
                  </w14:solidFill>
                </w14:textFill>
              </w:rPr>
              <w:t>采购进口</w:t>
            </w:r>
            <w:r>
              <w:rPr>
                <w:rFonts w:hint="eastAsia" w:ascii="仿宋" w:hAnsi="仿宋" w:eastAsia="仿宋" w:cs="仿宋"/>
                <w:color w:val="000000" w:themeColor="text1"/>
                <w:sz w:val="24"/>
                <w14:textFill>
                  <w14:solidFill>
                    <w14:schemeClr w14:val="tx1"/>
                  </w14:solidFill>
                </w14:textFill>
              </w:rPr>
              <w:t>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5"/>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w:t>
      </w:r>
      <w:r>
        <w:rPr>
          <w:rFonts w:hint="eastAsia" w:ascii="仿宋" w:eastAsia="仿宋"/>
          <w:color w:val="000000"/>
          <w:sz w:val="24"/>
          <w:highlight w:val="none"/>
          <w:lang w:val="en-US" w:eastAsia="zh-CN"/>
        </w:rPr>
        <w:t>10</w:t>
      </w:r>
      <w:r>
        <w:rPr>
          <w:rFonts w:ascii="仿宋" w:eastAsia="仿宋"/>
          <w:color w:val="000000"/>
          <w:sz w:val="24"/>
          <w:highlight w:val="none"/>
        </w:rPr>
        <w:t xml:space="preserve">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 xml:space="preserve">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w:t>
      </w:r>
      <w:r>
        <w:rPr>
          <w:rFonts w:hint="eastAsia" w:ascii="仿宋" w:eastAsia="仿宋"/>
          <w:color w:val="000000"/>
          <w:sz w:val="24"/>
          <w:highlight w:val="none"/>
          <w:lang w:val="en-US" w:eastAsia="zh-CN"/>
        </w:rPr>
        <w:t>3</w:t>
      </w:r>
      <w:r>
        <w:rPr>
          <w:rFonts w:ascii="仿宋" w:eastAsia="仿宋"/>
          <w:color w:val="000000"/>
          <w:sz w:val="24"/>
          <w:highlight w:val="none"/>
        </w:rPr>
        <w:t>%的扣除，用扣除后的价格参加评审。联合体各方均为小型、微型企业的，联合体视同为小型、微型企业。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9"/>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5"/>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格式自拟）；</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9"/>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5"/>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6"/>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5"/>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w:t>
      </w:r>
      <w:r>
        <w:rPr>
          <w:rFonts w:hint="eastAsia" w:ascii="仿宋" w:hAnsi="仿宋" w:eastAsia="仿宋" w:cs="仿宋"/>
          <w:color w:val="auto"/>
          <w:sz w:val="24"/>
          <w:lang w:val="en-US" w:eastAsia="zh-CN"/>
        </w:rPr>
        <w:t>2.5</w:t>
      </w:r>
      <w:r>
        <w:rPr>
          <w:rFonts w:hint="eastAsia" w:ascii="仿宋" w:hAnsi="仿宋" w:eastAsia="仿宋" w:cs="仿宋"/>
          <w:color w:val="auto"/>
          <w:sz w:val="24"/>
        </w:rPr>
        <w:t>%。</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4"/>
        <w:rPr>
          <w:rFonts w:hint="eastAsia"/>
        </w:rPr>
      </w:pPr>
    </w:p>
    <w:p>
      <w:pPr>
        <w:spacing w:line="440" w:lineRule="exact"/>
        <w:ind w:firstLine="480" w:firstLineChars="200"/>
        <w:jc w:val="left"/>
        <w:rPr>
          <w:rFonts w:hint="eastAsia" w:ascii="仿宋" w:hAnsi="仿宋" w:eastAsia="仿宋" w:cs="仿宋"/>
          <w:sz w:val="24"/>
        </w:rPr>
      </w:pPr>
    </w:p>
    <w:p>
      <w:pPr>
        <w:pStyle w:val="4"/>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30"/>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10"/>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绍兴市人民医院医用高分子夹板采购项目</w:t>
      </w:r>
    </w:p>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一、标段名称</w:t>
      </w: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预算金额</w:t>
      </w:r>
    </w:p>
    <w:tbl>
      <w:tblPr>
        <w:tblStyle w:val="23"/>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12"/>
        <w:gridCol w:w="2425"/>
        <w:gridCol w:w="813"/>
        <w:gridCol w:w="1075"/>
        <w:gridCol w:w="1062"/>
        <w:gridCol w:w="1113"/>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1"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序号</w:t>
            </w:r>
          </w:p>
        </w:tc>
        <w:tc>
          <w:tcPr>
            <w:tcW w:w="1112"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项目名称</w:t>
            </w:r>
          </w:p>
        </w:tc>
        <w:tc>
          <w:tcPr>
            <w:tcW w:w="2425"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规格</w:t>
            </w:r>
          </w:p>
        </w:tc>
        <w:tc>
          <w:tcPr>
            <w:tcW w:w="813"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单位</w:t>
            </w:r>
          </w:p>
        </w:tc>
        <w:tc>
          <w:tcPr>
            <w:tcW w:w="1075" w:type="dxa"/>
            <w:vAlign w:val="center"/>
          </w:tcPr>
          <w:p>
            <w:pPr>
              <w:jc w:val="center"/>
              <w:rPr>
                <w:rFonts w:hint="eastAsia" w:ascii="仿宋" w:hAnsi="仿宋" w:eastAsia="仿宋" w:cs="仿宋"/>
                <w:b/>
                <w:bCs/>
                <w:color w:val="auto"/>
                <w:lang w:val="en-US" w:eastAsia="zh-CN"/>
              </w:rPr>
            </w:pPr>
            <w:r>
              <w:rPr>
                <w:rFonts w:hint="eastAsia" w:ascii="仿宋" w:hAnsi="仿宋" w:eastAsia="仿宋" w:cs="仿宋"/>
                <w:b/>
                <w:bCs/>
                <w:color w:val="auto"/>
              </w:rPr>
              <w:t>上限单价</w:t>
            </w:r>
            <w:r>
              <w:rPr>
                <w:rFonts w:hint="eastAsia" w:ascii="仿宋" w:hAnsi="仿宋" w:eastAsia="仿宋" w:cs="仿宋"/>
                <w:b/>
                <w:bCs/>
                <w:color w:val="auto"/>
                <w:lang w:val="en-US" w:eastAsia="zh-CN"/>
              </w:rPr>
              <w:t>(</w:t>
            </w:r>
            <w:r>
              <w:rPr>
                <w:rFonts w:hint="eastAsia" w:ascii="仿宋" w:hAnsi="仿宋" w:eastAsia="仿宋" w:cs="仿宋"/>
                <w:b/>
                <w:bCs/>
                <w:color w:val="auto"/>
              </w:rPr>
              <w:t>元</w:t>
            </w:r>
            <w:r>
              <w:rPr>
                <w:rFonts w:hint="eastAsia" w:ascii="仿宋" w:hAnsi="仿宋" w:eastAsia="仿宋" w:cs="仿宋"/>
                <w:b/>
                <w:bCs/>
                <w:color w:val="auto"/>
                <w:lang w:val="en-US" w:eastAsia="zh-CN"/>
              </w:rPr>
              <w:t>)</w:t>
            </w:r>
          </w:p>
        </w:tc>
        <w:tc>
          <w:tcPr>
            <w:tcW w:w="1062" w:type="dxa"/>
            <w:vAlign w:val="center"/>
          </w:tcPr>
          <w:p>
            <w:pPr>
              <w:jc w:val="center"/>
              <w:rPr>
                <w:rFonts w:hint="eastAsia" w:ascii="仿宋" w:hAnsi="仿宋" w:eastAsia="仿宋" w:cs="仿宋"/>
                <w:b/>
                <w:bCs/>
                <w:color w:val="auto"/>
              </w:rPr>
            </w:pPr>
            <w:r>
              <w:rPr>
                <w:rFonts w:hint="eastAsia" w:ascii="仿宋" w:hAnsi="仿宋" w:eastAsia="仿宋" w:cs="仿宋"/>
                <w:b/>
                <w:bCs/>
                <w:color w:val="auto"/>
                <w:lang w:val="en-US" w:eastAsia="zh-CN"/>
              </w:rPr>
              <w:t>预估</w:t>
            </w:r>
            <w:r>
              <w:rPr>
                <w:rFonts w:hint="eastAsia" w:ascii="仿宋" w:hAnsi="仿宋" w:eastAsia="仿宋" w:cs="仿宋"/>
                <w:b/>
                <w:bCs/>
                <w:color w:val="auto"/>
              </w:rPr>
              <w:t>数量</w:t>
            </w:r>
          </w:p>
          <w:p>
            <w:pPr>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w:t>
            </w:r>
            <w:r>
              <w:rPr>
                <w:rFonts w:hint="eastAsia" w:ascii="仿宋" w:hAnsi="仿宋" w:eastAsia="仿宋" w:cs="仿宋"/>
                <w:b/>
                <w:bCs/>
                <w:color w:val="auto"/>
              </w:rPr>
              <w:t>2年</w:t>
            </w:r>
            <w:r>
              <w:rPr>
                <w:rFonts w:hint="eastAsia" w:ascii="仿宋" w:hAnsi="仿宋" w:eastAsia="仿宋" w:cs="仿宋"/>
                <w:b/>
                <w:bCs/>
                <w:color w:val="auto"/>
                <w:lang w:val="en-US" w:eastAsia="zh-CN"/>
              </w:rPr>
              <w:t>)</w:t>
            </w:r>
          </w:p>
        </w:tc>
        <w:tc>
          <w:tcPr>
            <w:tcW w:w="1113"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预算金额</w:t>
            </w:r>
          </w:p>
          <w:p>
            <w:pPr>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w:t>
            </w:r>
            <w:r>
              <w:rPr>
                <w:rFonts w:hint="eastAsia" w:ascii="仿宋" w:hAnsi="仿宋" w:eastAsia="仿宋" w:cs="仿宋"/>
                <w:b/>
                <w:bCs/>
                <w:color w:val="auto"/>
              </w:rPr>
              <w:t>元</w:t>
            </w:r>
            <w:r>
              <w:rPr>
                <w:rFonts w:hint="eastAsia" w:ascii="仿宋" w:hAnsi="仿宋" w:eastAsia="仿宋" w:cs="仿宋"/>
                <w:b/>
                <w:bCs/>
                <w:color w:val="auto"/>
                <w:lang w:val="en-US" w:eastAsia="zh-CN"/>
              </w:rPr>
              <w:t>)</w:t>
            </w:r>
          </w:p>
        </w:tc>
        <w:tc>
          <w:tcPr>
            <w:tcW w:w="961" w:type="dxa"/>
            <w:vAlign w:val="center"/>
          </w:tcPr>
          <w:p>
            <w:pPr>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采购</w:t>
            </w:r>
          </w:p>
          <w:p>
            <w:pPr>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1" w:type="dxa"/>
            <w:vMerge w:val="restart"/>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1112" w:type="dxa"/>
            <w:vMerge w:val="restart"/>
            <w:vAlign w:val="center"/>
          </w:tcPr>
          <w:p>
            <w:pPr>
              <w:jc w:val="center"/>
              <w:rPr>
                <w:rFonts w:hint="eastAsia" w:ascii="仿宋" w:hAnsi="仿宋" w:eastAsia="仿宋" w:cs="仿宋"/>
                <w:color w:val="auto"/>
              </w:rPr>
            </w:pPr>
            <w:r>
              <w:rPr>
                <w:rFonts w:hint="eastAsia" w:ascii="仿宋" w:hAnsi="仿宋" w:eastAsia="仿宋" w:cs="仿宋"/>
                <w:color w:val="auto"/>
              </w:rPr>
              <w:t>医用高分子夹板</w:t>
            </w:r>
          </w:p>
        </w:tc>
        <w:tc>
          <w:tcPr>
            <w:tcW w:w="2425" w:type="dxa"/>
            <w:vAlign w:val="center"/>
          </w:tcPr>
          <w:p>
            <w:pPr>
              <w:jc w:val="center"/>
              <w:rPr>
                <w:rFonts w:hint="eastAsia" w:ascii="仿宋" w:hAnsi="仿宋" w:eastAsia="仿宋" w:cs="仿宋"/>
                <w:color w:val="auto"/>
              </w:rPr>
            </w:pPr>
            <w:r>
              <w:rPr>
                <w:rFonts w:hint="eastAsia" w:ascii="仿宋" w:hAnsi="仿宋" w:eastAsia="仿宋" w:cs="仿宋"/>
                <w:color w:val="auto"/>
              </w:rPr>
              <w:t>上肢10CM*40CM左右</w:t>
            </w:r>
          </w:p>
        </w:tc>
        <w:tc>
          <w:tcPr>
            <w:tcW w:w="813" w:type="dxa"/>
            <w:vAlign w:val="center"/>
          </w:tcPr>
          <w:p>
            <w:pPr>
              <w:jc w:val="center"/>
              <w:rPr>
                <w:rFonts w:hint="eastAsia" w:ascii="仿宋" w:hAnsi="仿宋" w:eastAsia="仿宋" w:cs="仿宋"/>
                <w:color w:val="auto"/>
              </w:rPr>
            </w:pPr>
            <w:r>
              <w:rPr>
                <w:rFonts w:hint="eastAsia" w:ascii="仿宋" w:hAnsi="仿宋" w:eastAsia="仿宋" w:cs="仿宋"/>
                <w:color w:val="auto"/>
              </w:rPr>
              <w:t>块</w:t>
            </w:r>
          </w:p>
        </w:tc>
        <w:tc>
          <w:tcPr>
            <w:tcW w:w="1075" w:type="dxa"/>
            <w:vAlign w:val="center"/>
          </w:tcPr>
          <w:p>
            <w:pPr>
              <w:jc w:val="center"/>
              <w:rPr>
                <w:rFonts w:hint="eastAsia" w:ascii="仿宋" w:hAnsi="仿宋" w:eastAsia="仿宋" w:cs="仿宋"/>
                <w:color w:val="auto"/>
              </w:rPr>
            </w:pPr>
            <w:r>
              <w:rPr>
                <w:rFonts w:hint="eastAsia" w:ascii="仿宋" w:hAnsi="仿宋" w:eastAsia="仿宋" w:cs="仿宋"/>
                <w:color w:val="auto"/>
              </w:rPr>
              <w:t>85</w:t>
            </w:r>
          </w:p>
        </w:tc>
        <w:tc>
          <w:tcPr>
            <w:tcW w:w="1062" w:type="dxa"/>
            <w:vAlign w:val="center"/>
          </w:tcPr>
          <w:p>
            <w:pPr>
              <w:jc w:val="center"/>
              <w:rPr>
                <w:rFonts w:hint="eastAsia" w:ascii="仿宋" w:hAnsi="仿宋" w:eastAsia="仿宋" w:cs="仿宋"/>
                <w:color w:val="auto"/>
              </w:rPr>
            </w:pPr>
            <w:r>
              <w:rPr>
                <w:rFonts w:hint="eastAsia" w:ascii="仿宋" w:hAnsi="仿宋" w:eastAsia="仿宋" w:cs="仿宋"/>
                <w:color w:val="auto"/>
              </w:rPr>
              <w:t>1240</w:t>
            </w:r>
          </w:p>
        </w:tc>
        <w:tc>
          <w:tcPr>
            <w:tcW w:w="1113" w:type="dxa"/>
            <w:vAlign w:val="center"/>
          </w:tcPr>
          <w:p>
            <w:pPr>
              <w:jc w:val="center"/>
              <w:rPr>
                <w:rFonts w:hint="eastAsia" w:ascii="仿宋" w:hAnsi="仿宋" w:eastAsia="仿宋" w:cs="仿宋"/>
                <w:color w:val="auto"/>
              </w:rPr>
            </w:pPr>
            <w:r>
              <w:rPr>
                <w:rFonts w:hint="eastAsia" w:ascii="仿宋" w:hAnsi="仿宋" w:eastAsia="仿宋" w:cs="仿宋"/>
                <w:color w:val="auto"/>
              </w:rPr>
              <w:t>105400</w:t>
            </w:r>
          </w:p>
        </w:tc>
        <w:tc>
          <w:tcPr>
            <w:tcW w:w="961" w:type="dxa"/>
            <w:vAlign w:val="center"/>
          </w:tcPr>
          <w:p>
            <w:pPr>
              <w:jc w:val="center"/>
              <w:rPr>
                <w:rFonts w:hint="eastAsia" w:ascii="仿宋" w:hAnsi="仿宋" w:eastAsia="仿宋" w:cs="仿宋"/>
                <w:color w:val="auto"/>
              </w:rPr>
            </w:pPr>
            <w:r>
              <w:rPr>
                <w:rFonts w:hint="eastAsia" w:ascii="仿宋" w:hAnsi="仿宋" w:eastAsia="仿宋" w:cs="仿宋"/>
                <w:color w:val="auto"/>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1" w:type="dxa"/>
            <w:vMerge w:val="continue"/>
            <w:vAlign w:val="center"/>
          </w:tcPr>
          <w:p>
            <w:pPr>
              <w:jc w:val="center"/>
              <w:rPr>
                <w:rFonts w:hint="eastAsia" w:ascii="仿宋" w:hAnsi="仿宋" w:eastAsia="仿宋" w:cs="仿宋"/>
                <w:color w:val="auto"/>
              </w:rPr>
            </w:pPr>
          </w:p>
        </w:tc>
        <w:tc>
          <w:tcPr>
            <w:tcW w:w="1112" w:type="dxa"/>
            <w:vMerge w:val="continue"/>
            <w:vAlign w:val="center"/>
          </w:tcPr>
          <w:p>
            <w:pPr>
              <w:jc w:val="center"/>
              <w:rPr>
                <w:rFonts w:hint="eastAsia" w:ascii="仿宋" w:hAnsi="仿宋" w:eastAsia="仿宋" w:cs="仿宋"/>
                <w:color w:val="auto"/>
              </w:rPr>
            </w:pPr>
          </w:p>
        </w:tc>
        <w:tc>
          <w:tcPr>
            <w:tcW w:w="2425" w:type="dxa"/>
            <w:vAlign w:val="center"/>
          </w:tcPr>
          <w:p>
            <w:pPr>
              <w:jc w:val="center"/>
              <w:rPr>
                <w:rFonts w:hint="eastAsia" w:ascii="仿宋" w:hAnsi="仿宋" w:eastAsia="仿宋" w:cs="仿宋"/>
                <w:color w:val="auto"/>
              </w:rPr>
            </w:pPr>
            <w:r>
              <w:rPr>
                <w:rFonts w:hint="eastAsia" w:ascii="仿宋" w:hAnsi="仿宋" w:eastAsia="仿宋" w:cs="仿宋"/>
                <w:color w:val="auto"/>
              </w:rPr>
              <w:t>下肢12.5CM*75CM左右</w:t>
            </w:r>
          </w:p>
        </w:tc>
        <w:tc>
          <w:tcPr>
            <w:tcW w:w="813" w:type="dxa"/>
            <w:vAlign w:val="center"/>
          </w:tcPr>
          <w:p>
            <w:pPr>
              <w:jc w:val="center"/>
              <w:rPr>
                <w:rFonts w:hint="eastAsia" w:ascii="仿宋" w:hAnsi="仿宋" w:eastAsia="仿宋" w:cs="仿宋"/>
                <w:color w:val="auto"/>
              </w:rPr>
            </w:pPr>
            <w:r>
              <w:rPr>
                <w:rFonts w:hint="eastAsia" w:ascii="仿宋" w:hAnsi="仿宋" w:eastAsia="仿宋" w:cs="仿宋"/>
                <w:color w:val="auto"/>
              </w:rPr>
              <w:t>块</w:t>
            </w:r>
          </w:p>
        </w:tc>
        <w:tc>
          <w:tcPr>
            <w:tcW w:w="1075" w:type="dxa"/>
            <w:vAlign w:val="center"/>
          </w:tcPr>
          <w:p>
            <w:pPr>
              <w:jc w:val="center"/>
              <w:rPr>
                <w:rFonts w:hint="eastAsia" w:ascii="仿宋" w:hAnsi="仿宋" w:eastAsia="仿宋" w:cs="仿宋"/>
                <w:color w:val="auto"/>
              </w:rPr>
            </w:pPr>
            <w:r>
              <w:rPr>
                <w:rFonts w:hint="eastAsia" w:ascii="仿宋" w:hAnsi="仿宋" w:eastAsia="仿宋" w:cs="仿宋"/>
                <w:color w:val="auto"/>
              </w:rPr>
              <w:t>150</w:t>
            </w:r>
          </w:p>
        </w:tc>
        <w:tc>
          <w:tcPr>
            <w:tcW w:w="1062" w:type="dxa"/>
            <w:vAlign w:val="center"/>
          </w:tcPr>
          <w:p>
            <w:pPr>
              <w:jc w:val="center"/>
              <w:rPr>
                <w:rFonts w:hint="eastAsia" w:ascii="仿宋" w:hAnsi="仿宋" w:eastAsia="仿宋" w:cs="仿宋"/>
                <w:color w:val="auto"/>
              </w:rPr>
            </w:pPr>
            <w:r>
              <w:rPr>
                <w:rFonts w:hint="eastAsia" w:ascii="仿宋" w:hAnsi="仿宋" w:eastAsia="仿宋" w:cs="仿宋"/>
                <w:color w:val="auto"/>
              </w:rPr>
              <w:t>310</w:t>
            </w:r>
          </w:p>
        </w:tc>
        <w:tc>
          <w:tcPr>
            <w:tcW w:w="1113" w:type="dxa"/>
            <w:vAlign w:val="center"/>
          </w:tcPr>
          <w:p>
            <w:pPr>
              <w:jc w:val="center"/>
              <w:rPr>
                <w:rFonts w:hint="eastAsia" w:ascii="仿宋" w:hAnsi="仿宋" w:eastAsia="仿宋" w:cs="仿宋"/>
                <w:color w:val="auto"/>
              </w:rPr>
            </w:pPr>
            <w:r>
              <w:rPr>
                <w:rFonts w:hint="eastAsia" w:ascii="仿宋" w:hAnsi="仿宋" w:eastAsia="仿宋" w:cs="仿宋"/>
                <w:color w:val="auto"/>
              </w:rPr>
              <w:t>46500</w:t>
            </w:r>
          </w:p>
        </w:tc>
        <w:tc>
          <w:tcPr>
            <w:tcW w:w="961" w:type="dxa"/>
            <w:vAlign w:val="center"/>
          </w:tcPr>
          <w:p>
            <w:pPr>
              <w:jc w:val="center"/>
              <w:rPr>
                <w:rFonts w:hint="eastAsia" w:ascii="仿宋" w:hAnsi="仿宋" w:eastAsia="仿宋" w:cs="仿宋"/>
                <w:color w:val="auto"/>
              </w:rPr>
            </w:pPr>
            <w:r>
              <w:rPr>
                <w:rFonts w:hint="eastAsia" w:ascii="仿宋" w:hAnsi="仿宋" w:eastAsia="仿宋" w:cs="仿宋"/>
                <w:color w:val="auto"/>
              </w:rPr>
              <w:t>2年</w:t>
            </w:r>
          </w:p>
        </w:tc>
      </w:tr>
    </w:tbl>
    <w:p>
      <w:pPr>
        <w:snapToGrid w:val="0"/>
        <w:spacing w:line="360" w:lineRule="auto"/>
        <w:jc w:val="left"/>
        <w:rPr>
          <w:rFonts w:hint="eastAsia" w:ascii="FangSong_GB2312" w:hAnsi="宋体" w:eastAsia="FangSong_GB2312" w:cs="Arial"/>
          <w:b/>
          <w:bCs/>
          <w:color w:val="auto"/>
          <w:sz w:val="24"/>
        </w:rPr>
      </w:pPr>
    </w:p>
    <w:p>
      <w:pPr>
        <w:snapToGrid w:val="0"/>
        <w:spacing w:line="360" w:lineRule="auto"/>
        <w:jc w:val="left"/>
        <w:rPr>
          <w:rFonts w:hint="eastAsia" w:ascii="仿宋" w:hAnsi="仿宋" w:eastAsia="仿宋" w:cs="FangSong_GB2312"/>
          <w:color w:val="auto"/>
          <w:kern w:val="0"/>
          <w:sz w:val="24"/>
        </w:rPr>
      </w:pPr>
      <w:r>
        <w:rPr>
          <w:rFonts w:hint="eastAsia" w:ascii="FangSong_GB2312" w:hAnsi="宋体" w:eastAsia="FangSong_GB2312" w:cs="Arial"/>
          <w:b/>
          <w:bCs/>
          <w:color w:val="auto"/>
          <w:sz w:val="24"/>
        </w:rPr>
        <w:t>二、其他要求</w:t>
      </w:r>
    </w:p>
    <w:p>
      <w:pPr>
        <w:spacing w:line="420" w:lineRule="exact"/>
        <w:rPr>
          <w:rFonts w:ascii="仿宋" w:hAnsi="仿宋" w:eastAsia="仿宋" w:cs="FangSong_GB2312"/>
          <w:color w:val="auto"/>
          <w:kern w:val="0"/>
          <w:sz w:val="24"/>
          <w:lang w:val="zh-CN"/>
        </w:rPr>
      </w:pPr>
      <w:r>
        <w:rPr>
          <w:rFonts w:hint="eastAsia" w:ascii="仿宋" w:hAnsi="仿宋" w:eastAsia="仿宋" w:cs="FangSong_GB2312"/>
          <w:color w:val="auto"/>
          <w:kern w:val="0"/>
          <w:sz w:val="24"/>
        </w:rPr>
        <w:t>1</w:t>
      </w:r>
      <w:r>
        <w:rPr>
          <w:rFonts w:hint="eastAsia" w:ascii="仿宋" w:hAnsi="仿宋" w:eastAsia="仿宋" w:cs="FangSong_GB2312"/>
          <w:color w:val="auto"/>
          <w:kern w:val="0"/>
          <w:sz w:val="24"/>
          <w:lang w:val="zh-CN"/>
        </w:rPr>
        <w:t>.产品投标单</w:t>
      </w:r>
      <w:r>
        <w:rPr>
          <w:rFonts w:ascii="仿宋" w:hAnsi="仿宋" w:eastAsia="仿宋" w:cs="FangSong_GB2312"/>
          <w:color w:val="auto"/>
          <w:kern w:val="0"/>
          <w:sz w:val="24"/>
          <w:lang w:val="zh-CN"/>
        </w:rPr>
        <w:t>价</w:t>
      </w:r>
      <w:r>
        <w:rPr>
          <w:rFonts w:hint="eastAsia" w:ascii="仿宋" w:hAnsi="仿宋" w:eastAsia="仿宋" w:cs="FangSong_GB2312"/>
          <w:color w:val="auto"/>
          <w:kern w:val="0"/>
          <w:sz w:val="24"/>
          <w:lang w:val="zh-CN"/>
        </w:rPr>
        <w:t>高于</w:t>
      </w:r>
      <w:r>
        <w:rPr>
          <w:rFonts w:ascii="仿宋" w:hAnsi="仿宋" w:eastAsia="仿宋" w:cs="FangSong_GB2312"/>
          <w:color w:val="auto"/>
          <w:kern w:val="0"/>
          <w:sz w:val="24"/>
          <w:lang w:val="zh-CN"/>
        </w:rPr>
        <w:t>医院</w:t>
      </w:r>
      <w:r>
        <w:rPr>
          <w:rFonts w:hint="eastAsia" w:ascii="仿宋" w:hAnsi="仿宋" w:eastAsia="仿宋" w:cs="FangSong_GB2312"/>
          <w:color w:val="auto"/>
          <w:kern w:val="0"/>
          <w:sz w:val="24"/>
          <w:lang w:val="zh-CN"/>
        </w:rPr>
        <w:t>上限单</w:t>
      </w:r>
      <w:r>
        <w:rPr>
          <w:rFonts w:ascii="仿宋" w:hAnsi="仿宋" w:eastAsia="仿宋" w:cs="FangSong_GB2312"/>
          <w:color w:val="auto"/>
          <w:kern w:val="0"/>
          <w:sz w:val="24"/>
          <w:lang w:val="zh-CN"/>
        </w:rPr>
        <w:t>价的</w:t>
      </w:r>
      <w:r>
        <w:rPr>
          <w:rFonts w:hint="eastAsia" w:ascii="仿宋" w:hAnsi="仿宋" w:eastAsia="仿宋" w:cs="FangSong_GB2312"/>
          <w:color w:val="auto"/>
          <w:kern w:val="0"/>
          <w:sz w:val="24"/>
          <w:lang w:val="zh-CN"/>
        </w:rPr>
        <w:t>作</w:t>
      </w:r>
      <w:r>
        <w:rPr>
          <w:rFonts w:hint="eastAsia" w:ascii="仿宋" w:hAnsi="仿宋" w:eastAsia="仿宋"/>
          <w:color w:val="auto"/>
          <w:sz w:val="24"/>
        </w:rPr>
        <w:t>作无效投标处理</w:t>
      </w:r>
    </w:p>
    <w:p>
      <w:pPr>
        <w:snapToGrid w:val="0"/>
        <w:spacing w:line="440" w:lineRule="exact"/>
        <w:jc w:val="left"/>
        <w:rPr>
          <w:rFonts w:ascii="仿宋" w:hAnsi="仿宋" w:eastAsia="仿宋"/>
          <w:color w:val="auto"/>
          <w:kern w:val="0"/>
          <w:sz w:val="24"/>
        </w:rPr>
      </w:pPr>
      <w:r>
        <w:rPr>
          <w:rFonts w:hint="eastAsia" w:ascii="仿宋" w:hAnsi="仿宋" w:eastAsia="仿宋" w:cs="FangSong_GB2312"/>
          <w:color w:val="auto"/>
          <w:kern w:val="0"/>
          <w:sz w:val="24"/>
        </w:rPr>
        <w:t>2</w:t>
      </w:r>
      <w:r>
        <w:rPr>
          <w:rFonts w:hint="eastAsia" w:ascii="仿宋" w:hAnsi="仿宋" w:eastAsia="仿宋" w:cs="FangSong_GB2312"/>
          <w:color w:val="auto"/>
          <w:kern w:val="0"/>
          <w:sz w:val="24"/>
          <w:lang w:val="zh-CN"/>
        </w:rPr>
        <w:t>.产品投标单价不高于医院之前采购价，不高于浙江省药械采购平台的</w:t>
      </w:r>
      <w:r>
        <w:rPr>
          <w:rFonts w:hint="eastAsia" w:ascii="仿宋" w:hAnsi="仿宋" w:eastAsia="仿宋"/>
          <w:color w:val="auto"/>
          <w:kern w:val="0"/>
          <w:sz w:val="24"/>
        </w:rPr>
        <w:t>最低价（投标时）。</w:t>
      </w:r>
    </w:p>
    <w:p>
      <w:pPr>
        <w:snapToGrid w:val="0"/>
        <w:spacing w:line="440" w:lineRule="exact"/>
        <w:jc w:val="left"/>
        <w:rPr>
          <w:rFonts w:ascii="仿宋" w:hAnsi="仿宋" w:eastAsia="仿宋"/>
          <w:kern w:val="0"/>
          <w:sz w:val="24"/>
        </w:rPr>
      </w:pPr>
      <w:r>
        <w:rPr>
          <w:rFonts w:hint="eastAsia" w:ascii="仿宋" w:hAnsi="仿宋" w:eastAsia="仿宋" w:cs="FangSong_GB2312"/>
          <w:color w:val="auto"/>
          <w:kern w:val="0"/>
          <w:sz w:val="24"/>
          <w:lang w:val="zh-CN"/>
        </w:rPr>
        <w:t>3.</w:t>
      </w:r>
      <w:r>
        <w:rPr>
          <w:rFonts w:hint="eastAsia" w:ascii="仿宋" w:hAnsi="仿宋" w:eastAsia="仿宋"/>
          <w:color w:val="auto"/>
          <w:kern w:val="0"/>
          <w:sz w:val="24"/>
        </w:rPr>
        <w:t>付款方式：合同生效且具备实施条件后</w:t>
      </w:r>
      <w:r>
        <w:rPr>
          <w:rFonts w:hint="eastAsia" w:ascii="仿宋" w:hAnsi="仿宋" w:eastAsia="仿宋"/>
          <w:color w:val="auto"/>
          <w:kern w:val="0"/>
          <w:sz w:val="24"/>
          <w:lang w:val="en-US" w:eastAsia="zh-CN"/>
        </w:rPr>
        <w:t>7个工作日内</w:t>
      </w:r>
      <w:r>
        <w:rPr>
          <w:rFonts w:hint="eastAsia" w:ascii="仿宋" w:hAnsi="仿宋" w:eastAsia="仿宋"/>
          <w:color w:val="auto"/>
          <w:kern w:val="0"/>
          <w:sz w:val="24"/>
        </w:rPr>
        <w:t>支付合</w:t>
      </w:r>
      <w:r>
        <w:rPr>
          <w:rFonts w:ascii="仿宋" w:hAnsi="仿宋" w:eastAsia="仿宋"/>
          <w:color w:val="auto"/>
          <w:kern w:val="0"/>
          <w:sz w:val="24"/>
        </w:rPr>
        <w:t>同金额的</w:t>
      </w:r>
      <w:r>
        <w:rPr>
          <w:rFonts w:hint="eastAsia" w:ascii="仿宋" w:hAnsi="仿宋" w:eastAsia="仿宋"/>
          <w:color w:val="auto"/>
          <w:kern w:val="0"/>
          <w:sz w:val="24"/>
        </w:rPr>
        <w:t>40</w:t>
      </w:r>
      <w:r>
        <w:rPr>
          <w:rFonts w:ascii="仿宋" w:hAnsi="仿宋" w:eastAsia="仿宋"/>
          <w:color w:val="auto"/>
          <w:kern w:val="0"/>
          <w:sz w:val="24"/>
        </w:rPr>
        <w:t>%作为预付款</w:t>
      </w:r>
      <w:r>
        <w:rPr>
          <w:rFonts w:hint="eastAsia" w:ascii="仿宋" w:hAnsi="仿宋" w:eastAsia="仿宋"/>
          <w:color w:val="auto"/>
          <w:kern w:val="0"/>
          <w:sz w:val="24"/>
        </w:rPr>
        <w:t>，同时中标单位应提交银行、保险公司等金融机构出具的预付款保函，具</w:t>
      </w:r>
      <w:r>
        <w:rPr>
          <w:rFonts w:hint="eastAsia" w:ascii="仿宋" w:hAnsi="仿宋" w:eastAsia="仿宋"/>
          <w:kern w:val="0"/>
          <w:sz w:val="24"/>
        </w:rPr>
        <w:t>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lang w:val="zh-CN"/>
        </w:rPr>
        <w:t>4.</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snapToGrid w:val="0"/>
        <w:spacing w:line="440" w:lineRule="exact"/>
        <w:jc w:val="left"/>
        <w:rPr>
          <w:rFonts w:hint="eastAsia" w:ascii="仿宋" w:hAnsi="仿宋" w:eastAsia="仿宋"/>
          <w:kern w:val="0"/>
          <w:sz w:val="24"/>
        </w:rPr>
      </w:pPr>
      <w:r>
        <w:rPr>
          <w:rFonts w:hint="eastAsia" w:ascii="仿宋" w:hAnsi="仿宋" w:eastAsia="仿宋"/>
          <w:kern w:val="0"/>
          <w:sz w:val="24"/>
        </w:rPr>
        <w:t>6. 中标产品能够提供浙江省药械采购平台代码，并能在浙江省药械采购平台上线采购。</w:t>
      </w:r>
    </w:p>
    <w:p>
      <w:pPr>
        <w:snapToGrid w:val="0"/>
        <w:spacing w:line="440" w:lineRule="exact"/>
        <w:jc w:val="left"/>
        <w:rPr>
          <w:rFonts w:hint="eastAsia" w:ascii="仿宋" w:hAnsi="仿宋" w:eastAsia="仿宋"/>
          <w:kern w:val="0"/>
          <w:sz w:val="24"/>
        </w:rPr>
      </w:pPr>
      <w:r>
        <w:rPr>
          <w:rFonts w:hint="eastAsia" w:ascii="仿宋" w:hAnsi="仿宋" w:eastAsia="仿宋"/>
          <w:kern w:val="0"/>
          <w:sz w:val="24"/>
        </w:rPr>
        <w:t>7.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hint="eastAsia" w:ascii="仿宋" w:hAnsi="仿宋" w:eastAsia="仿宋"/>
          <w:kern w:val="0"/>
          <w:sz w:val="24"/>
        </w:rPr>
      </w:pPr>
      <w:r>
        <w:rPr>
          <w:rFonts w:hint="eastAsia" w:ascii="仿宋" w:hAnsi="仿宋" w:eastAsia="仿宋"/>
          <w:kern w:val="0"/>
          <w:sz w:val="24"/>
        </w:rPr>
        <w:t>8.合同期内若遇中标产品价格统一下调，中标单位需主动向医院申报并下调交易价格，医院不定期进行抽查，发现未主动申报下调价格，将在履约保证金中加倍扣除相应的金额。</w:t>
      </w:r>
    </w:p>
    <w:p>
      <w:pPr>
        <w:snapToGrid w:val="0"/>
        <w:spacing w:line="440" w:lineRule="exact"/>
        <w:jc w:val="left"/>
        <w:rPr>
          <w:rFonts w:hint="eastAsia" w:ascii="仿宋" w:hAnsi="仿宋" w:eastAsia="仿宋"/>
          <w:kern w:val="0"/>
          <w:sz w:val="24"/>
        </w:rPr>
      </w:pPr>
      <w:r>
        <w:rPr>
          <w:rFonts w:hint="eastAsia" w:ascii="仿宋" w:hAnsi="仿宋" w:eastAsia="仿宋"/>
          <w:kern w:val="0"/>
          <w:sz w:val="24"/>
        </w:rPr>
        <w:t>9、配套服务需求（根据实际情况）</w:t>
      </w:r>
    </w:p>
    <w:p>
      <w:pPr>
        <w:snapToGrid w:val="0"/>
        <w:spacing w:line="440" w:lineRule="exact"/>
        <w:jc w:val="left"/>
        <w:rPr>
          <w:rFonts w:hint="eastAsia" w:ascii="仿宋" w:hAnsi="仿宋" w:eastAsia="仿宋"/>
          <w:kern w:val="0"/>
          <w:sz w:val="24"/>
        </w:rPr>
      </w:pPr>
      <w:r>
        <w:rPr>
          <w:rFonts w:hint="eastAsia" w:ascii="仿宋" w:hAnsi="仿宋" w:eastAsia="仿宋"/>
          <w:kern w:val="0"/>
          <w:sz w:val="24"/>
        </w:rPr>
        <w:t>10.样品提供：提供上肢、下肢样品各一套。</w:t>
      </w:r>
    </w:p>
    <w:p>
      <w:pPr>
        <w:snapToGrid w:val="0"/>
        <w:spacing w:line="440" w:lineRule="exact"/>
        <w:jc w:val="left"/>
        <w:rPr>
          <w:rFonts w:hint="eastAsia" w:ascii="仿宋" w:hAnsi="仿宋" w:eastAsia="仿宋"/>
          <w:kern w:val="0"/>
          <w:sz w:val="24"/>
        </w:rPr>
      </w:pPr>
      <w:r>
        <w:rPr>
          <w:rFonts w:hint="eastAsia" w:ascii="仿宋" w:hAnsi="仿宋" w:eastAsia="仿宋"/>
          <w:kern w:val="0"/>
          <w:sz w:val="24"/>
        </w:rPr>
        <w:t>11.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sz w:val="24"/>
        </w:rPr>
      </w:pP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w:t>
      </w:r>
      <w:r>
        <w:rPr>
          <w:rFonts w:hint="eastAsia" w:ascii="仿宋_GB2312" w:hAnsi="宋体" w:eastAsia="仿宋_GB2312" w:cs="Arial"/>
          <w:b/>
          <w:sz w:val="24"/>
        </w:rPr>
        <w:t>需提供样品</w:t>
      </w:r>
      <w:r>
        <w:rPr>
          <w:rFonts w:hint="eastAsia" w:ascii="仿宋_GB2312" w:hAnsi="宋体" w:eastAsia="仿宋_GB2312" w:cs="Arial"/>
          <w:b/>
          <w:sz w:val="24"/>
          <w:lang w:eastAsia="zh-CN"/>
        </w:rPr>
        <w:t>（</w:t>
      </w:r>
      <w:r>
        <w:rPr>
          <w:rFonts w:hint="eastAsia" w:ascii="仿宋_GB2312" w:hAnsi="宋体" w:eastAsia="仿宋_GB2312" w:cs="Arial"/>
          <w:b/>
          <w:sz w:val="24"/>
        </w:rPr>
        <w:t>上肢、下肢样品各一套</w:t>
      </w:r>
      <w:r>
        <w:rPr>
          <w:rFonts w:hint="eastAsia" w:ascii="仿宋_GB2312" w:hAnsi="宋体" w:eastAsia="仿宋_GB2312" w:cs="Arial"/>
          <w:b/>
          <w:sz w:val="24"/>
          <w:lang w:eastAsia="zh-CN"/>
        </w:rPr>
        <w:t>）</w:t>
      </w:r>
      <w:r>
        <w:rPr>
          <w:rFonts w:hint="eastAsia" w:ascii="仿宋_GB2312" w:hAnsi="宋体" w:eastAsia="仿宋_GB2312" w:cs="Arial"/>
          <w:b/>
          <w:sz w:val="24"/>
        </w:rPr>
        <w:t>。</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4"/>
        <w:rPr>
          <w:rFonts w:hint="eastAsia"/>
        </w:rPr>
      </w:pPr>
    </w:p>
    <w:p>
      <w:pPr>
        <w:rPr>
          <w:rFonts w:hint="eastAsia"/>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pStyle w:val="2"/>
      </w:pPr>
    </w:p>
    <w:p>
      <w:pPr>
        <w:pStyle w:val="2"/>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8"/>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rPr>
          <w:rFonts w:hint="eastAsia" w:ascii="仿宋" w:hAnsi="仿宋" w:eastAsia="仿宋"/>
          <w:color w:val="000000" w:themeColor="text1"/>
          <w:sz w:val="24"/>
          <w14:textFill>
            <w14:solidFill>
              <w14:schemeClr w14:val="tx1"/>
            </w14:solidFill>
          </w14:textFill>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3"/>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600"/>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20" w:type="dxa"/>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序号</w:t>
            </w:r>
          </w:p>
        </w:tc>
        <w:tc>
          <w:tcPr>
            <w:tcW w:w="16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评审指标</w:t>
            </w:r>
          </w:p>
        </w:tc>
        <w:tc>
          <w:tcPr>
            <w:tcW w:w="71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kern w:val="0"/>
                <w:sz w:val="21"/>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82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16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投标人资信 （14分）</w:t>
            </w:r>
          </w:p>
        </w:tc>
        <w:tc>
          <w:tcPr>
            <w:tcW w:w="71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公司制度健全，管理流程完整；优得7-5分，良得4-2分，一般1-0分。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p>
        </w:tc>
        <w:tc>
          <w:tcPr>
            <w:tcW w:w="16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p>
        </w:tc>
        <w:tc>
          <w:tcPr>
            <w:tcW w:w="71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具备一级代理资格或者厂家直销得7分，二级代理得3分，三级及以下的得1分。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16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市场占有率</w:t>
            </w:r>
          </w:p>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（4分）</w:t>
            </w:r>
          </w:p>
        </w:tc>
        <w:tc>
          <w:tcPr>
            <w:tcW w:w="71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业绩证明材料（需提供合同及供货发票复印件），要求同产品为近两年内三甲医院使用案例，案例每个1分（相同医疗单位不重复加分），最高分值为4分。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3</w:t>
            </w:r>
          </w:p>
        </w:tc>
        <w:tc>
          <w:tcPr>
            <w:tcW w:w="16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产品质量</w:t>
            </w:r>
          </w:p>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color w:val="auto"/>
                <w:kern w:val="0"/>
                <w:sz w:val="21"/>
                <w:szCs w:val="21"/>
              </w:rPr>
            </w:pPr>
            <w:r>
              <w:rPr>
                <w:rFonts w:hint="eastAsia" w:ascii="仿宋" w:hAnsi="仿宋" w:eastAsia="仿宋" w:cs="Times New Roman"/>
                <w:color w:val="auto"/>
                <w:kern w:val="0"/>
                <w:sz w:val="21"/>
                <w:szCs w:val="21"/>
              </w:rPr>
              <w:t>（26分）</w:t>
            </w:r>
          </w:p>
        </w:tc>
        <w:tc>
          <w:tcPr>
            <w:tcW w:w="71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color w:val="auto"/>
                <w:kern w:val="0"/>
                <w:sz w:val="21"/>
                <w:szCs w:val="21"/>
              </w:rPr>
            </w:pPr>
            <w:r>
              <w:rPr>
                <w:rFonts w:hint="eastAsia" w:ascii="仿宋" w:hAnsi="仿宋" w:eastAsia="仿宋" w:cs="Times New Roman"/>
                <w:color w:val="auto"/>
                <w:kern w:val="0"/>
                <w:sz w:val="21"/>
                <w:szCs w:val="21"/>
              </w:rPr>
              <w:t>开标时需提供样品，并对所投产品品牌的规格型号、使用材质、适用范围等进行书面描述，需提供说明书等证明材料，</w:t>
            </w:r>
          </w:p>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color w:val="auto"/>
                <w:kern w:val="0"/>
                <w:sz w:val="21"/>
                <w:szCs w:val="21"/>
              </w:rPr>
            </w:pPr>
            <w:r>
              <w:rPr>
                <w:rFonts w:hint="eastAsia" w:ascii="仿宋" w:hAnsi="仿宋" w:eastAsia="仿宋" w:cs="Times New Roman"/>
                <w:color w:val="auto"/>
                <w:kern w:val="0"/>
                <w:sz w:val="21"/>
                <w:szCs w:val="21"/>
              </w:rPr>
              <w:t>1、操作方便 2-0分；</w:t>
            </w:r>
          </w:p>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color w:val="auto"/>
                <w:kern w:val="0"/>
                <w:sz w:val="21"/>
                <w:szCs w:val="21"/>
              </w:rPr>
            </w:pPr>
            <w:r>
              <w:rPr>
                <w:rFonts w:hint="eastAsia" w:ascii="仿宋" w:hAnsi="仿宋" w:eastAsia="仿宋" w:cs="Times New Roman"/>
                <w:color w:val="auto"/>
                <w:kern w:val="0"/>
                <w:sz w:val="21"/>
                <w:szCs w:val="21"/>
              </w:rPr>
              <w:t>2、透气性好，质量轻 :优得4-2分，一般1-0分。</w:t>
            </w:r>
          </w:p>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color w:val="auto"/>
                <w:kern w:val="0"/>
                <w:sz w:val="21"/>
                <w:szCs w:val="21"/>
              </w:rPr>
            </w:pPr>
            <w:r>
              <w:rPr>
                <w:rFonts w:hint="eastAsia" w:ascii="仿宋" w:hAnsi="仿宋" w:eastAsia="仿宋" w:cs="Times New Roman"/>
                <w:color w:val="auto"/>
                <w:kern w:val="0"/>
                <w:sz w:val="21"/>
                <w:szCs w:val="21"/>
              </w:rPr>
              <w:t>3、固化速度的快慢，根据产品经常温水浸泡后固化时间长短情况打分：固化时间10～15分钟优，得15-11分；固化时间15.1～20分钟良，得10-</w:t>
            </w:r>
            <w:r>
              <w:rPr>
                <w:rFonts w:ascii="仿宋" w:hAnsi="仿宋" w:eastAsia="仿宋" w:cs="Times New Roman"/>
                <w:color w:val="auto"/>
                <w:kern w:val="0"/>
                <w:sz w:val="21"/>
                <w:szCs w:val="21"/>
              </w:rPr>
              <w:t>6</w:t>
            </w:r>
            <w:r>
              <w:rPr>
                <w:rFonts w:hint="eastAsia" w:ascii="仿宋" w:hAnsi="仿宋" w:eastAsia="仿宋" w:cs="Times New Roman"/>
                <w:color w:val="auto"/>
                <w:kern w:val="0"/>
                <w:sz w:val="21"/>
                <w:szCs w:val="21"/>
              </w:rPr>
              <w:t>分；固化时间20.1分钟以上及9.9分钟以下得5-0分；</w:t>
            </w:r>
          </w:p>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color w:val="auto"/>
                <w:kern w:val="0"/>
                <w:sz w:val="21"/>
                <w:szCs w:val="21"/>
              </w:rPr>
            </w:pPr>
            <w:r>
              <w:rPr>
                <w:rFonts w:hint="eastAsia" w:ascii="仿宋" w:hAnsi="仿宋" w:eastAsia="仿宋" w:cs="Times New Roman"/>
                <w:color w:val="auto"/>
                <w:kern w:val="0"/>
                <w:sz w:val="21"/>
                <w:szCs w:val="21"/>
              </w:rPr>
              <w:t>4、硬度高，优得</w:t>
            </w:r>
            <w:r>
              <w:rPr>
                <w:rFonts w:ascii="仿宋" w:hAnsi="仿宋" w:eastAsia="仿宋" w:cs="Times New Roman"/>
                <w:color w:val="auto"/>
                <w:kern w:val="0"/>
                <w:sz w:val="21"/>
                <w:szCs w:val="21"/>
              </w:rPr>
              <w:t>4</w:t>
            </w:r>
            <w:r>
              <w:rPr>
                <w:rFonts w:hint="eastAsia" w:ascii="仿宋" w:hAnsi="仿宋" w:eastAsia="仿宋" w:cs="Times New Roman"/>
                <w:color w:val="auto"/>
                <w:kern w:val="0"/>
                <w:sz w:val="21"/>
                <w:szCs w:val="21"/>
              </w:rPr>
              <w:t>-3分，一般得2-0分。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4</w:t>
            </w:r>
          </w:p>
        </w:tc>
        <w:tc>
          <w:tcPr>
            <w:tcW w:w="16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售后服务</w:t>
            </w:r>
          </w:p>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（14分）</w:t>
            </w:r>
          </w:p>
        </w:tc>
        <w:tc>
          <w:tcPr>
            <w:tcW w:w="71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1、信息化程度高,与其他医院进行电子订单接收并配送，提供相关发票或合同等佐证材料的得5分，没有提供相关材料的不得分；</w:t>
            </w:r>
          </w:p>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2、有必备的设施和组织架构、人员管理得2分；</w:t>
            </w:r>
          </w:p>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3、能满足医院退换货的得3分；</w:t>
            </w:r>
          </w:p>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4、能满足应急或突发事件，响应时间在2小时内的得4分，4小时内的得2分，4小时以上不得分。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5</w:t>
            </w:r>
          </w:p>
        </w:tc>
        <w:tc>
          <w:tcPr>
            <w:tcW w:w="16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标书质量（2分）</w:t>
            </w:r>
          </w:p>
        </w:tc>
        <w:tc>
          <w:tcPr>
            <w:tcW w:w="710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根据投标文件资料完整性、真实性及编制质量等（应字迹清晰，内容齐全、真实有据，不得有涂改、漏页、错页、夹页、漏章等情况）给分，好得2分，其他1-0分。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rPr>
          <w:rFonts w:hint="eastAsia"/>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30"/>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30"/>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0"/>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30"/>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default" w:ascii="仿宋" w:hAnsi="仿宋" w:eastAsia="仿宋" w:cs="仿宋"/>
          <w:szCs w:val="24"/>
          <w:lang w:val="en-US" w:eastAsia="zh-CN"/>
        </w:rPr>
      </w:pPr>
      <w:r>
        <w:rPr>
          <w:rFonts w:hint="eastAsia" w:ascii="仿宋" w:hAnsi="仿宋" w:eastAsia="仿宋" w:cs="仿宋"/>
          <w:szCs w:val="24"/>
        </w:rPr>
        <w:t>供应商(盖章)：　　　　　　　　　　　　　　　　　　　　日期：</w:t>
      </w:r>
      <w:r>
        <w:rPr>
          <w:rFonts w:hint="eastAsia" w:ascii="仿宋" w:hAnsi="仿宋" w:eastAsia="仿宋" w:cs="仿宋"/>
          <w:szCs w:val="24"/>
          <w:lang w:val="en-US" w:eastAsia="zh-CN"/>
        </w:rPr>
        <w:t xml:space="preserve">   年  月  日</w:t>
      </w:r>
    </w:p>
    <w:p>
      <w:pPr>
        <w:pStyle w:val="30"/>
        <w:spacing w:after="50" w:afterLines="0" w:line="440" w:lineRule="exact"/>
        <w:rPr>
          <w:rFonts w:hint="eastAsia" w:ascii="仿宋" w:hAnsi="仿宋" w:eastAsia="仿宋" w:cs="仿宋"/>
          <w:szCs w:val="24"/>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5"/>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5"/>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5"/>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5"/>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5"/>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5"/>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5"/>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5"/>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5"/>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3"/>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0"/>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11"/>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11"/>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6"/>
      <w:bookmarkEnd w:id="25"/>
      <w:bookmarkStart w:id="26" w:name="_Toc64369805"/>
      <w:bookmarkEnd w:id="26"/>
      <w:bookmarkStart w:id="27" w:name="_Toc64369814"/>
      <w:bookmarkEnd w:id="27"/>
      <w:bookmarkStart w:id="28" w:name="_Toc64369809"/>
      <w:bookmarkEnd w:id="28"/>
      <w:bookmarkStart w:id="29" w:name="_Toc64369804"/>
      <w:bookmarkEnd w:id="29"/>
      <w:bookmarkStart w:id="30" w:name="_Toc64369808"/>
      <w:bookmarkEnd w:id="30"/>
      <w:bookmarkStart w:id="31" w:name="_Toc64369813"/>
      <w:bookmarkEnd w:id="31"/>
      <w:bookmarkStart w:id="32" w:name="_Toc64369811"/>
      <w:bookmarkEnd w:id="32"/>
      <w:bookmarkStart w:id="33" w:name="_Toc64369812"/>
      <w:bookmarkEnd w:id="33"/>
      <w:bookmarkStart w:id="34" w:name="_Toc64369807"/>
      <w:bookmarkEnd w:id="34"/>
      <w:bookmarkStart w:id="35" w:name="_Toc64369810"/>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11"/>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11"/>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3"/>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3"/>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bl>
    <w:p>
      <w:pPr>
        <w:pStyle w:val="13"/>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11"/>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11"/>
        <w:snapToGrid w:val="0"/>
        <w:rPr>
          <w:rFonts w:hint="eastAsia" w:ascii="仿宋" w:hAnsi="仿宋" w:eastAsia="仿宋" w:cs="仿宋"/>
          <w:sz w:val="28"/>
          <w:szCs w:val="28"/>
        </w:rPr>
      </w:pPr>
    </w:p>
    <w:p>
      <w:pPr>
        <w:pStyle w:val="11"/>
        <w:snapToGrid w:val="0"/>
        <w:rPr>
          <w:rFonts w:hint="eastAsia" w:ascii="仿宋" w:hAnsi="仿宋" w:eastAsia="仿宋" w:cs="仿宋"/>
          <w:sz w:val="28"/>
          <w:szCs w:val="28"/>
        </w:rPr>
      </w:pPr>
    </w:p>
    <w:p>
      <w:pPr>
        <w:pStyle w:val="11"/>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w:t>
      </w:r>
      <w:r>
        <w:rPr>
          <w:rFonts w:hint="eastAsia" w:ascii="仿宋" w:hAnsi="仿宋" w:eastAsia="仿宋" w:cs="FangSong_GB2312"/>
          <w:b/>
          <w:color w:val="000000" w:themeColor="text1"/>
          <w:sz w:val="24"/>
          <w:lang w:val="en-US" w:eastAsia="zh-CN"/>
          <w14:textFill>
            <w14:solidFill>
              <w14:schemeClr w14:val="tx1"/>
            </w14:solidFill>
          </w14:textFill>
        </w:rPr>
        <w:t>采购文件要求</w:t>
      </w:r>
      <w:r>
        <w:rPr>
          <w:rFonts w:hint="eastAsia" w:ascii="仿宋" w:hAnsi="仿宋" w:eastAsia="仿宋" w:cs="FangSong_GB2312"/>
          <w:b/>
          <w:color w:val="000000" w:themeColor="text1"/>
          <w:sz w:val="24"/>
          <w14:textFill>
            <w14:solidFill>
              <w14:schemeClr w14:val="tx1"/>
            </w14:solidFill>
          </w14:textFill>
        </w:rPr>
        <w:t>证明</w:t>
      </w:r>
      <w:r>
        <w:rPr>
          <w:rFonts w:hint="eastAsia" w:ascii="仿宋" w:hAnsi="仿宋" w:eastAsia="仿宋" w:cs="FangSong_GB2312"/>
          <w:b/>
          <w:color w:val="000000" w:themeColor="text1"/>
          <w:sz w:val="24"/>
          <w:lang w:val="en-US" w:eastAsia="zh-CN"/>
          <w14:textFill>
            <w14:solidFill>
              <w14:schemeClr w14:val="tx1"/>
            </w14:solidFill>
          </w14:textFill>
        </w:rPr>
        <w:t>材料</w:t>
      </w:r>
      <w:r>
        <w:rPr>
          <w:rFonts w:hint="eastAsia" w:ascii="仿宋" w:hAnsi="仿宋" w:eastAsia="仿宋" w:cs="FangSong_GB2312"/>
          <w:b/>
          <w:color w:val="000000" w:themeColor="text1"/>
          <w:sz w:val="24"/>
          <w14:textFill>
            <w14:solidFill>
              <w14:schemeClr w14:val="tx1"/>
            </w14:solidFill>
          </w14:textFill>
        </w:rPr>
        <w:t>并注明页码。</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5"/>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5"/>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562" w:type="pct"/>
        <w:jc w:val="center"/>
        <w:tblLayout w:type="fixed"/>
        <w:tblCellMar>
          <w:top w:w="0" w:type="dxa"/>
          <w:left w:w="108" w:type="dxa"/>
          <w:bottom w:w="0" w:type="dxa"/>
          <w:right w:w="108" w:type="dxa"/>
        </w:tblCellMar>
      </w:tblPr>
      <w:tblGrid>
        <w:gridCol w:w="800"/>
        <w:gridCol w:w="1326"/>
        <w:gridCol w:w="1326"/>
        <w:gridCol w:w="1260"/>
        <w:gridCol w:w="1137"/>
        <w:gridCol w:w="1113"/>
        <w:gridCol w:w="1150"/>
        <w:gridCol w:w="1018"/>
        <w:gridCol w:w="1000"/>
        <w:gridCol w:w="783"/>
        <w:gridCol w:w="974"/>
        <w:gridCol w:w="1102"/>
        <w:gridCol w:w="1158"/>
        <w:gridCol w:w="950"/>
        <w:gridCol w:w="849"/>
      </w:tblGrid>
      <w:tr>
        <w:tblPrEx>
          <w:tblCellMar>
            <w:top w:w="0" w:type="dxa"/>
            <w:left w:w="108" w:type="dxa"/>
            <w:bottom w:w="0" w:type="dxa"/>
            <w:right w:w="108" w:type="dxa"/>
          </w:tblCellMar>
        </w:tblPrEx>
        <w:trPr>
          <w:trHeight w:val="876"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标段名称</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9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5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4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6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4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0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45"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297"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6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45" w:hRule="atLeast"/>
          <w:jc w:val="center"/>
        </w:trPr>
        <w:tc>
          <w:tcPr>
            <w:tcW w:w="250" w:type="pct"/>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15" w:type="pct"/>
            <w:vMerge w:val="restart"/>
            <w:tcBorders>
              <w:top w:val="single" w:color="auto" w:sz="4" w:space="0"/>
              <w:left w:val="single" w:color="auto" w:sz="4" w:space="0"/>
              <w:right w:val="single" w:color="auto" w:sz="4" w:space="0"/>
            </w:tcBorders>
            <w:noWrap/>
            <w:vAlign w:val="center"/>
          </w:tcPr>
          <w:p>
            <w:pPr>
              <w:spacing w:line="288" w:lineRule="auto"/>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医用高分子夹板</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rPr>
                <w:rFonts w:hint="eastAsia" w:ascii="仿宋" w:hAnsi="仿宋" w:eastAsia="仿宋" w:cs="仿宋"/>
                <w:b w:val="0"/>
                <w:bCs w:val="0"/>
                <w:kern w:val="0"/>
                <w:sz w:val="21"/>
                <w:szCs w:val="21"/>
                <w:lang w:eastAsia="zh-CN"/>
              </w:rPr>
            </w:pPr>
            <w:r>
              <w:rPr>
                <w:rFonts w:hint="eastAsia" w:ascii="仿宋" w:hAnsi="仿宋" w:eastAsia="仿宋" w:cs="仿宋"/>
                <w:color w:val="000000"/>
              </w:rPr>
              <w:t>上肢10CM*40CM左右</w:t>
            </w:r>
          </w:p>
        </w:tc>
        <w:tc>
          <w:tcPr>
            <w:tcW w:w="783"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rPr>
              <w:t>块</w:t>
            </w:r>
          </w:p>
        </w:tc>
        <w:tc>
          <w:tcPr>
            <w:tcW w:w="305" w:type="pct"/>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color w:val="auto"/>
                <w:kern w:val="0"/>
                <w:sz w:val="21"/>
                <w:szCs w:val="21"/>
                <w:lang w:val="en-US" w:eastAsia="zh-CN"/>
              </w:rPr>
              <w:t>85</w:t>
            </w:r>
          </w:p>
        </w:tc>
        <w:tc>
          <w:tcPr>
            <w:tcW w:w="345" w:type="pct"/>
            <w:tcBorders>
              <w:top w:val="nil"/>
              <w:left w:val="nil"/>
              <w:bottom w:val="single" w:color="auto" w:sz="4" w:space="0"/>
              <w:right w:val="nil"/>
            </w:tcBorders>
            <w:noWrap/>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1240</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45" w:hRule="atLeast"/>
          <w:jc w:val="center"/>
        </w:trPr>
        <w:tc>
          <w:tcPr>
            <w:tcW w:w="250" w:type="pct"/>
            <w:vMerge w:val="continue"/>
            <w:tcBorders>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p>
        </w:tc>
        <w:tc>
          <w:tcPr>
            <w:tcW w:w="415" w:type="pct"/>
            <w:vMerge w:val="continue"/>
            <w:tcBorders>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olor w:val="000000" w:themeColor="text1"/>
                <w:sz w:val="21"/>
                <w:szCs w:val="21"/>
                <w14:textFill>
                  <w14:solidFill>
                    <w14:schemeClr w14:val="tx1"/>
                  </w14:solidFill>
                </w14:textFill>
              </w:rPr>
            </w:pP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000000"/>
              </w:rPr>
              <w:t>下肢12.5CM*75CM左右</w:t>
            </w:r>
          </w:p>
        </w:tc>
        <w:tc>
          <w:tcPr>
            <w:tcW w:w="783"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rPr>
              <w:t>块</w:t>
            </w:r>
          </w:p>
        </w:tc>
        <w:tc>
          <w:tcPr>
            <w:tcW w:w="305" w:type="pct"/>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150</w:t>
            </w:r>
          </w:p>
        </w:tc>
        <w:tc>
          <w:tcPr>
            <w:tcW w:w="345" w:type="pct"/>
            <w:tcBorders>
              <w:top w:val="nil"/>
              <w:left w:val="nil"/>
              <w:bottom w:val="single" w:color="auto" w:sz="4" w:space="0"/>
              <w:right w:val="nil"/>
            </w:tcBorders>
            <w:noWrap/>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310</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1082" w:type="pct"/>
            <w:gridSpan w:val="3"/>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3917" w:type="pct"/>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1082" w:type="pct"/>
            <w:gridSpan w:val="3"/>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3917" w:type="pct"/>
            <w:gridSpan w:val="12"/>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hint="eastAsia"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both"/>
        <w:rPr>
          <w:rFonts w:hint="default"/>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绍兴市人民医院医用高分子夹板采购项目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eastAsia="zh-CN"/>
        </w:rPr>
        <w:t>绍兴市人民医院医用高分子夹板采购项目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rPr>
          <w:rFonts w:hint="eastAsia" w:ascii="仿宋" w:hAnsi="仿宋" w:eastAsia="仿宋" w:cs="仿宋"/>
          <w:b/>
          <w:kern w:val="0"/>
          <w:sz w:val="24"/>
          <w:u w:val="single"/>
          <w:lang w:val="zh-CN"/>
        </w:rPr>
      </w:pPr>
    </w:p>
    <w:p>
      <w:pPr>
        <w:pStyle w:val="2"/>
        <w:rPr>
          <w:rFonts w:hint="eastAsia" w:ascii="仿宋" w:hAnsi="仿宋" w:eastAsia="仿宋" w:cs="仿宋"/>
          <w:b/>
          <w:kern w:val="0"/>
          <w:sz w:val="24"/>
          <w:u w:val="single"/>
          <w:lang w:val="zh-CN"/>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5"/>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6"/>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5"/>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5"/>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lang w:val="en-US" w:eastAsia="zh-CN"/>
      </w:rPr>
      <w:t xml:space="preserve">绍兴市人民医院医用高分子夹板采购项目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rPr>
    </w:pPr>
    <w:r>
      <w:rPr>
        <w:rFonts w:hint="eastAsia"/>
        <w:lang w:val="en-US" w:eastAsia="zh-CN"/>
      </w:rPr>
      <w:t xml:space="preserve">绍兴市人民医院医用高分子夹板采购项目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057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rPr>
    </w:pPr>
    <w:r>
      <w:rPr>
        <w:rFonts w:hint="eastAsia"/>
        <w:lang w:val="en-US" w:eastAsia="zh-CN"/>
      </w:rPr>
      <w:t xml:space="preserve">绍兴市人民医院医用高分子夹板采购项目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682279"/>
    <w:rsid w:val="00F510DD"/>
    <w:rsid w:val="016676A3"/>
    <w:rsid w:val="01AA4412"/>
    <w:rsid w:val="025662AB"/>
    <w:rsid w:val="029B352B"/>
    <w:rsid w:val="03DA597A"/>
    <w:rsid w:val="03FB08B3"/>
    <w:rsid w:val="045A4101"/>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42A7047"/>
    <w:rsid w:val="35626231"/>
    <w:rsid w:val="357F469A"/>
    <w:rsid w:val="360D6D47"/>
    <w:rsid w:val="36BE1319"/>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5278B5"/>
    <w:rsid w:val="55BD38B0"/>
    <w:rsid w:val="57462FE6"/>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6835092"/>
    <w:rsid w:val="77651D23"/>
    <w:rsid w:val="79647116"/>
    <w:rsid w:val="7A4D5B16"/>
    <w:rsid w:val="7A631723"/>
    <w:rsid w:val="7A8227E7"/>
    <w:rsid w:val="7CFD1A9F"/>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5">
    <w:name w:val="Default Paragraph Font"/>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2"/>
    <w:next w:val="12"/>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首行缩进"/>
    <w:basedOn w:val="1"/>
    <w:qFormat/>
    <w:uiPriority w:val="99"/>
    <w:pPr>
      <w:spacing w:line="360" w:lineRule="auto"/>
      <w:ind w:firstLine="480" w:firstLineChars="200"/>
    </w:pPr>
    <w:rPr>
      <w:sz w:val="24"/>
      <w:szCs w:val="22"/>
      <w:lang w:val="zh-CN"/>
    </w:rPr>
  </w:style>
  <w:style w:type="paragraph" w:customStyle="1" w:styleId="30">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1">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2">
    <w:name w:val="正文文字 7"/>
    <w:basedOn w:val="1"/>
    <w:next w:val="1"/>
    <w:qFormat/>
    <w:uiPriority w:val="0"/>
    <w:pPr>
      <w:ind w:left="240"/>
    </w:pPr>
    <w:rPr>
      <w:sz w:val="20"/>
    </w:rPr>
  </w:style>
  <w:style w:type="paragraph" w:customStyle="1" w:styleId="33">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4">
    <w:name w:val="列出段落1"/>
    <w:next w:val="3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5">
    <w:name w:val="样式5"/>
    <w:next w:val="3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表正文"/>
    <w:basedOn w:val="1"/>
    <w:next w:val="16"/>
    <w:qFormat/>
    <w:uiPriority w:val="0"/>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0"/>
      <w:szCs w:val="20"/>
      <w:u w:val="none"/>
    </w:rPr>
  </w:style>
  <w:style w:type="character" w:customStyle="1" w:styleId="39">
    <w:name w:val="font7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59</Pages>
  <Words>25815</Words>
  <Characters>28251</Characters>
  <Lines>1629</Lines>
  <Paragraphs>825</Paragraphs>
  <TotalTime>14</TotalTime>
  <ScaleCrop>false</ScaleCrop>
  <LinksUpToDate>false</LinksUpToDate>
  <CharactersWithSpaces>32567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2021-08-12T01:38:00Z</cp:lastPrinted>
  <dcterms:modified xsi:type="dcterms:W3CDTF">2022-03-25T06:49:48Z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