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仿宋" w:hAnsi="仿宋" w:eastAsia="仿宋" w:cs="仿宋"/>
          <w:b/>
          <w:bCs/>
          <w:sz w:val="52"/>
          <w:szCs w:val="48"/>
          <w:lang w:val="en-US"/>
        </w:rPr>
      </w:pPr>
      <w:r>
        <w:rPr>
          <w:rFonts w:hint="eastAsia" w:ascii="仿宋" w:hAnsi="仿宋" w:eastAsia="仿宋" w:cs="仿宋"/>
          <w:b/>
          <w:bCs/>
          <w:sz w:val="52"/>
          <w:szCs w:val="48"/>
          <w:lang w:val="en-US"/>
        </w:rPr>
        <w:t>绍兴市人民医院医用透明敷料采购项目</w:t>
      </w:r>
    </w:p>
    <w:p>
      <w:pPr>
        <w:rPr>
          <w:rFonts w:hint="eastAsia" w:ascii="仿宋" w:hAnsi="仿宋" w:eastAsia="仿宋" w:cs="仿宋"/>
          <w:sz w:val="36"/>
          <w:szCs w:val="36"/>
        </w:rPr>
      </w:pPr>
    </w:p>
    <w:p>
      <w:pPr>
        <w:rPr>
          <w:rFonts w:hint="eastAsia" w:ascii="仿宋" w:hAnsi="仿宋" w:eastAsia="仿宋" w:cs="仿宋"/>
          <w:sz w:val="56"/>
          <w:szCs w:val="56"/>
        </w:rPr>
      </w:pPr>
    </w:p>
    <w:p>
      <w:pPr>
        <w:pStyle w:val="2"/>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
        <w:rPr>
          <w:rFonts w:hint="eastAsia"/>
        </w:rPr>
      </w:pPr>
    </w:p>
    <w:p>
      <w:pPr>
        <w:rPr>
          <w:rFonts w:hint="eastAsia" w:ascii="仿宋" w:hAnsi="仿宋" w:eastAsia="仿宋" w:cs="仿宋"/>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ZJXS-2021-00</w:t>
            </w:r>
            <w:r>
              <w:rPr>
                <w:rFonts w:hint="eastAsia" w:ascii="仿宋" w:hAnsi="仿宋" w:eastAsia="仿宋" w:cs="仿宋"/>
                <w:sz w:val="28"/>
                <w:u w:val="none"/>
                <w:lang w:val="en-US" w:eastAsia="zh-CN"/>
              </w:rPr>
              <w:t>82</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5</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2"/>
          <w:szCs w:val="21"/>
        </w:rPr>
      </w:pPr>
      <w:r>
        <w:rPr>
          <w:rFonts w:hint="eastAsia" w:ascii="仿宋" w:hAnsi="仿宋" w:eastAsia="仿宋" w:cs="仿宋"/>
          <w:b/>
          <w:color w:val="000000"/>
          <w:sz w:val="48"/>
          <w:szCs w:val="48"/>
        </w:rPr>
        <w:t>目</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rPr>
        <w:t>录</w:t>
      </w:r>
    </w:p>
    <w:p>
      <w:pPr>
        <w:jc w:val="center"/>
        <w:rPr>
          <w:rFonts w:hint="eastAsia" w:ascii="仿宋" w:hAnsi="仿宋" w:eastAsia="仿宋" w:cs="仿宋"/>
          <w:b/>
          <w:color w:val="000000"/>
          <w:sz w:val="44"/>
          <w:szCs w:val="44"/>
        </w:rPr>
      </w:pP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3"/>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3"/>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bookmarkStart w:id="58" w:name="_GoBack"/>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82</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医用透明敷料</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5332</w:t>
            </w:r>
            <w:r>
              <w:rPr>
                <w:rFonts w:hint="eastAsia" w:ascii="仿宋" w:hAnsi="仿宋" w:eastAsia="仿宋" w:cs="仿宋"/>
                <w:color w:val="000000" w:themeColor="text1"/>
                <w:szCs w:val="24"/>
                <w14:textFill>
                  <w14:solidFill>
                    <w14:schemeClr w14:val="tx1"/>
                  </w14:solidFill>
                </w14:textFill>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6</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2</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14：30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3"/>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0575-88229655</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5</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12</w:t>
      </w:r>
      <w:r>
        <w:rPr>
          <w:rFonts w:hint="eastAsia" w:ascii="仿宋" w:hAnsi="仿宋" w:eastAsia="仿宋" w:cs="仿宋"/>
          <w:color w:val="000000"/>
          <w:spacing w:val="0"/>
          <w:kern w:val="0"/>
          <w:sz w:val="24"/>
        </w:rPr>
        <w:t>日</w:t>
      </w:r>
      <w:bookmarkEnd w:id="58"/>
    </w:p>
    <w:p>
      <w:pPr>
        <w:pStyle w:val="3"/>
        <w:rPr>
          <w:rFonts w:hint="eastAsia" w:ascii="仿宋" w:hAnsi="仿宋" w:eastAsia="仿宋" w:cs="仿宋"/>
        </w:rPr>
      </w:pPr>
      <w:bookmarkStart w:id="3" w:name="_Toc643610526"/>
    </w:p>
    <w:p>
      <w:pPr>
        <w:pStyle w:val="3"/>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rPr>
          <w:rFonts w:hint="eastAsia"/>
        </w:rPr>
      </w:pPr>
    </w:p>
    <w:p>
      <w:pPr>
        <w:pStyle w:val="3"/>
        <w:rPr>
          <w:rFonts w:hint="eastAsia" w:ascii="仿宋" w:hAnsi="仿宋" w:eastAsia="仿宋" w:cs="仿宋"/>
        </w:rPr>
      </w:pPr>
      <w:r>
        <w:rPr>
          <w:rFonts w:hint="eastAsia" w:ascii="仿宋" w:hAnsi="仿宋" w:eastAsia="仿宋" w:cs="仿宋"/>
        </w:rPr>
        <w:t>第二章  供应商须知</w:t>
      </w:r>
      <w:bookmarkEnd w:id="3"/>
    </w:p>
    <w:p>
      <w:pPr>
        <w:pStyle w:val="4"/>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绍兴市人民医院医用透明敷料采购项目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4"/>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8"/>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4"/>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8"/>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8"/>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4"/>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6"/>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4"/>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3"/>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8"/>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9"/>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rPr>
      </w:pPr>
      <w:r>
        <w:rPr>
          <w:rFonts w:hint="eastAsia" w:ascii="仿宋" w:hAnsi="仿宋" w:eastAsia="仿宋"/>
          <w:b/>
          <w:color w:val="auto"/>
          <w:sz w:val="24"/>
          <w:lang w:val="en-US"/>
        </w:rPr>
        <w:t>绍兴市人民医院医用透明敷料采购项目</w:t>
      </w:r>
    </w:p>
    <w:p>
      <w:pPr>
        <w:tabs>
          <w:tab w:val="left" w:pos="3870"/>
          <w:tab w:val="left" w:pos="4085"/>
        </w:tabs>
        <w:snapToGrid w:val="0"/>
        <w:spacing w:line="440" w:lineRule="exact"/>
        <w:jc w:val="left"/>
        <w:rPr>
          <w:rFonts w:ascii="仿宋" w:hAnsi="仿宋" w:eastAsia="仿宋"/>
          <w:b/>
          <w:color w:val="auto"/>
          <w:sz w:val="24"/>
        </w:rPr>
      </w:pPr>
      <w:r>
        <w:rPr>
          <w:rFonts w:hint="eastAsia" w:ascii="仿宋" w:hAnsi="仿宋" w:eastAsia="仿宋"/>
          <w:b/>
          <w:color w:val="auto"/>
          <w:sz w:val="24"/>
        </w:rPr>
        <w:t>一、标段名称、预算金额：</w:t>
      </w:r>
    </w:p>
    <w:tbl>
      <w:tblPr>
        <w:tblStyle w:val="2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00"/>
        <w:gridCol w:w="3136"/>
        <w:gridCol w:w="837"/>
        <w:gridCol w:w="1163"/>
        <w:gridCol w:w="117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4" w:type="dxa"/>
            <w:noWrap/>
            <w:vAlign w:val="center"/>
          </w:tcPr>
          <w:p>
            <w:pPr>
              <w:jc w:val="center"/>
              <w:rPr>
                <w:rFonts w:ascii="仿宋" w:hAnsi="仿宋" w:eastAsia="仿宋" w:cs="仿宋"/>
                <w:b/>
                <w:sz w:val="21"/>
                <w:szCs w:val="21"/>
              </w:rPr>
            </w:pPr>
            <w:r>
              <w:rPr>
                <w:rFonts w:hint="eastAsia" w:ascii="仿宋" w:hAnsi="仿宋" w:eastAsia="仿宋" w:cs="仿宋"/>
                <w:b/>
                <w:sz w:val="21"/>
                <w:szCs w:val="21"/>
              </w:rPr>
              <w:t>标段</w:t>
            </w:r>
          </w:p>
        </w:tc>
        <w:tc>
          <w:tcPr>
            <w:tcW w:w="1200" w:type="dxa"/>
            <w:noWrap/>
            <w:vAlign w:val="center"/>
          </w:tcPr>
          <w:p>
            <w:pPr>
              <w:jc w:val="center"/>
              <w:rPr>
                <w:rFonts w:ascii="仿宋" w:hAnsi="仿宋" w:eastAsia="仿宋" w:cs="仿宋"/>
                <w:b/>
                <w:sz w:val="21"/>
                <w:szCs w:val="21"/>
              </w:rPr>
            </w:pPr>
            <w:r>
              <w:rPr>
                <w:rFonts w:hint="eastAsia" w:ascii="仿宋" w:hAnsi="仿宋" w:eastAsia="仿宋" w:cs="仿宋"/>
                <w:b/>
                <w:sz w:val="21"/>
                <w:szCs w:val="21"/>
              </w:rPr>
              <w:t>产品名称</w:t>
            </w:r>
          </w:p>
        </w:tc>
        <w:tc>
          <w:tcPr>
            <w:tcW w:w="3136" w:type="dxa"/>
            <w:noWrap/>
            <w:vAlign w:val="center"/>
          </w:tcPr>
          <w:p>
            <w:pPr>
              <w:jc w:val="center"/>
              <w:rPr>
                <w:rFonts w:ascii="仿宋" w:hAnsi="仿宋" w:eastAsia="仿宋" w:cs="仿宋"/>
                <w:b/>
                <w:bCs/>
                <w:sz w:val="21"/>
                <w:szCs w:val="21"/>
              </w:rPr>
            </w:pPr>
            <w:r>
              <w:rPr>
                <w:rFonts w:hint="eastAsia" w:ascii="仿宋" w:hAnsi="仿宋" w:eastAsia="仿宋" w:cs="仿宋"/>
                <w:b/>
                <w:bCs/>
                <w:color w:val="auto"/>
                <w:sz w:val="21"/>
                <w:szCs w:val="21"/>
              </w:rPr>
              <w:t>规格</w:t>
            </w:r>
          </w:p>
        </w:tc>
        <w:tc>
          <w:tcPr>
            <w:tcW w:w="837" w:type="dxa"/>
            <w:noWrap/>
            <w:vAlign w:val="center"/>
          </w:tcPr>
          <w:p>
            <w:pPr>
              <w:jc w:val="center"/>
              <w:rPr>
                <w:rFonts w:ascii="仿宋" w:hAnsi="仿宋" w:eastAsia="仿宋" w:cs="仿宋"/>
                <w:b/>
                <w:bCs/>
                <w:sz w:val="21"/>
                <w:szCs w:val="21"/>
              </w:rPr>
            </w:pPr>
            <w:r>
              <w:rPr>
                <w:rFonts w:hint="eastAsia" w:ascii="仿宋" w:hAnsi="仿宋" w:eastAsia="仿宋" w:cs="仿宋"/>
                <w:b/>
                <w:bCs/>
                <w:sz w:val="21"/>
                <w:szCs w:val="21"/>
              </w:rPr>
              <w:t>单位</w:t>
            </w:r>
          </w:p>
        </w:tc>
        <w:tc>
          <w:tcPr>
            <w:tcW w:w="1163" w:type="dxa"/>
            <w:noWrap/>
            <w:vAlign w:val="center"/>
          </w:tcPr>
          <w:p>
            <w:pPr>
              <w:jc w:val="center"/>
              <w:rPr>
                <w:rFonts w:ascii="仿宋" w:hAnsi="仿宋" w:eastAsia="仿宋" w:cs="仿宋"/>
                <w:b/>
                <w:bCs/>
                <w:sz w:val="21"/>
                <w:szCs w:val="21"/>
              </w:rPr>
            </w:pPr>
            <w:r>
              <w:rPr>
                <w:rFonts w:hint="eastAsia" w:ascii="仿宋" w:hAnsi="仿宋" w:eastAsia="仿宋" w:cs="仿宋"/>
                <w:b/>
                <w:bCs/>
                <w:sz w:val="21"/>
                <w:szCs w:val="21"/>
              </w:rPr>
              <w:t>上限单价（元）</w:t>
            </w:r>
          </w:p>
        </w:tc>
        <w:tc>
          <w:tcPr>
            <w:tcW w:w="1175" w:type="dxa"/>
            <w:noWrap/>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预估数量</w:t>
            </w:r>
          </w:p>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2年</w:t>
            </w:r>
            <w:r>
              <w:rPr>
                <w:rFonts w:hint="eastAsia" w:ascii="仿宋" w:hAnsi="仿宋" w:eastAsia="仿宋" w:cs="仿宋"/>
                <w:b/>
                <w:bCs/>
                <w:sz w:val="21"/>
                <w:szCs w:val="21"/>
                <w:lang w:eastAsia="zh-CN"/>
              </w:rPr>
              <w:t>）</w:t>
            </w:r>
          </w:p>
        </w:tc>
        <w:tc>
          <w:tcPr>
            <w:tcW w:w="837" w:type="dxa"/>
            <w:noWrap/>
            <w:vAlign w:val="center"/>
          </w:tcPr>
          <w:p>
            <w:pPr>
              <w:tabs>
                <w:tab w:val="left" w:pos="375"/>
              </w:tabs>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采购</w:t>
            </w:r>
          </w:p>
          <w:p>
            <w:pPr>
              <w:tabs>
                <w:tab w:val="left" w:pos="375"/>
              </w:tabs>
              <w:jc w:val="center"/>
              <w:rPr>
                <w:rFonts w:ascii="仿宋" w:hAnsi="仿宋" w:eastAsia="仿宋" w:cs="仿宋"/>
                <w:b/>
                <w:bCs/>
                <w:kern w:val="0"/>
                <w:sz w:val="21"/>
                <w:szCs w:val="21"/>
                <w:highlight w:val="yellow"/>
              </w:rPr>
            </w:pPr>
            <w:r>
              <w:rPr>
                <w:rFonts w:hint="eastAsia" w:ascii="仿宋" w:hAnsi="仿宋" w:eastAsia="仿宋" w:cs="仿宋"/>
                <w:b/>
                <w:bCs/>
                <w:kern w:val="0"/>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4" w:type="dxa"/>
            <w:vMerge w:val="restart"/>
            <w:noWrap/>
            <w:vAlign w:val="center"/>
          </w:tcPr>
          <w:p>
            <w:pPr>
              <w:jc w:val="center"/>
              <w:rPr>
                <w:rFonts w:hint="default" w:ascii="仿宋" w:hAnsi="仿宋" w:eastAsia="仿宋" w:cs="仿宋"/>
                <w:b/>
                <w:sz w:val="21"/>
                <w:szCs w:val="21"/>
                <w:lang w:val="en-US" w:eastAsia="zh-CN"/>
              </w:rPr>
            </w:pPr>
            <w:r>
              <w:rPr>
                <w:rFonts w:hint="eastAsia" w:ascii="仿宋" w:hAnsi="仿宋" w:eastAsia="仿宋" w:cs="仿宋"/>
                <w:b w:val="0"/>
                <w:bCs/>
                <w:sz w:val="21"/>
                <w:szCs w:val="21"/>
                <w:lang w:val="en-US" w:eastAsia="zh-CN"/>
              </w:rPr>
              <w:t>01</w:t>
            </w:r>
          </w:p>
        </w:tc>
        <w:tc>
          <w:tcPr>
            <w:tcW w:w="1200" w:type="dxa"/>
            <w:vMerge w:val="restart"/>
            <w:noWrap/>
            <w:vAlign w:val="center"/>
          </w:tcPr>
          <w:p>
            <w:pPr>
              <w:jc w:val="center"/>
              <w:rPr>
                <w:rFonts w:hint="eastAsia" w:ascii="仿宋" w:hAnsi="仿宋" w:eastAsia="仿宋" w:cs="仿宋"/>
                <w:b/>
                <w:sz w:val="21"/>
                <w:szCs w:val="21"/>
              </w:rPr>
            </w:pPr>
            <w:r>
              <w:rPr>
                <w:rFonts w:hint="eastAsia" w:ascii="仿宋" w:hAnsi="仿宋" w:eastAsia="仿宋" w:cs="仿宋"/>
                <w:sz w:val="21"/>
                <w:szCs w:val="21"/>
              </w:rPr>
              <w:t>医用透明敷料</w:t>
            </w:r>
          </w:p>
        </w:tc>
        <w:tc>
          <w:tcPr>
            <w:tcW w:w="3136"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sz w:val="21"/>
                <w:szCs w:val="21"/>
              </w:rPr>
              <w:t>10cm×11.5cm 左右，低致敏高通透型</w:t>
            </w:r>
          </w:p>
        </w:tc>
        <w:tc>
          <w:tcPr>
            <w:tcW w:w="837" w:type="dxa"/>
            <w:noWrap/>
            <w:vAlign w:val="center"/>
          </w:tcPr>
          <w:p>
            <w:p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张</w:t>
            </w:r>
          </w:p>
        </w:tc>
        <w:tc>
          <w:tcPr>
            <w:tcW w:w="1163" w:type="dxa"/>
            <w:noWrap/>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sz w:val="21"/>
                <w:szCs w:val="21"/>
              </w:rPr>
              <w:t>11</w:t>
            </w:r>
          </w:p>
        </w:tc>
        <w:tc>
          <w:tcPr>
            <w:tcW w:w="1175" w:type="dxa"/>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rPr>
              <w:t>21500</w:t>
            </w:r>
          </w:p>
        </w:tc>
        <w:tc>
          <w:tcPr>
            <w:tcW w:w="837" w:type="dxa"/>
            <w:vMerge w:val="restart"/>
            <w:noWrap/>
            <w:vAlign w:val="center"/>
          </w:tcPr>
          <w:p>
            <w:p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4" w:type="dxa"/>
            <w:vMerge w:val="continue"/>
            <w:noWrap/>
            <w:vAlign w:val="center"/>
          </w:tcPr>
          <w:p>
            <w:pPr>
              <w:jc w:val="center"/>
              <w:rPr>
                <w:sz w:val="21"/>
                <w:szCs w:val="21"/>
              </w:rPr>
            </w:pPr>
          </w:p>
        </w:tc>
        <w:tc>
          <w:tcPr>
            <w:tcW w:w="1200" w:type="dxa"/>
            <w:vMerge w:val="continue"/>
            <w:noWrap/>
            <w:vAlign w:val="center"/>
          </w:tcPr>
          <w:p>
            <w:pPr>
              <w:jc w:val="center"/>
              <w:rPr>
                <w:sz w:val="21"/>
                <w:szCs w:val="21"/>
              </w:rPr>
            </w:pPr>
          </w:p>
        </w:tc>
        <w:tc>
          <w:tcPr>
            <w:tcW w:w="3136"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sz w:val="21"/>
                <w:szCs w:val="21"/>
              </w:rPr>
              <w:t>8.5cm*11.5cm左右，头部开叉、无纺布边框、带宽带固定胶带</w:t>
            </w:r>
          </w:p>
        </w:tc>
        <w:tc>
          <w:tcPr>
            <w:tcW w:w="837"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val="0"/>
                <w:bCs w:val="0"/>
                <w:sz w:val="21"/>
                <w:szCs w:val="21"/>
                <w:lang w:val="en-US" w:eastAsia="zh-CN"/>
              </w:rPr>
              <w:t>张</w:t>
            </w:r>
          </w:p>
        </w:tc>
        <w:tc>
          <w:tcPr>
            <w:tcW w:w="1163" w:type="dxa"/>
            <w:noWrap/>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sz w:val="21"/>
                <w:szCs w:val="21"/>
              </w:rPr>
              <w:t>13.8</w:t>
            </w:r>
          </w:p>
        </w:tc>
        <w:tc>
          <w:tcPr>
            <w:tcW w:w="1175" w:type="dxa"/>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21500</w:t>
            </w:r>
          </w:p>
        </w:tc>
        <w:tc>
          <w:tcPr>
            <w:tcW w:w="837" w:type="dxa"/>
            <w:vMerge w:val="continue"/>
            <w:noWrap/>
            <w:vAlign w:val="center"/>
          </w:tcPr>
          <w:p>
            <w:pPr>
              <w:jc w:val="center"/>
              <w:rPr>
                <w:rFonts w:hint="eastAsia" w:ascii="仿宋" w:hAnsi="仿宋" w:eastAsia="仿宋" w:cs="仿宋"/>
                <w:b/>
                <w:bCs/>
                <w:sz w:val="21"/>
                <w:szCs w:val="21"/>
                <w:lang w:val="en-US" w:eastAsia="zh-CN"/>
              </w:rPr>
            </w:pPr>
          </w:p>
        </w:tc>
      </w:tr>
    </w:tbl>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w:t>
      </w:r>
      <w:r>
        <w:rPr>
          <w:rFonts w:hint="eastAsia" w:ascii="仿宋" w:hAnsi="仿宋" w:eastAsia="仿宋"/>
          <w:color w:val="000000" w:themeColor="text1"/>
          <w:sz w:val="24"/>
          <w14:textFill>
            <w14:solidFill>
              <w14:schemeClr w14:val="tx1"/>
            </w14:solidFill>
          </w14:textFill>
        </w:rPr>
        <w:t>产品投标单</w:t>
      </w:r>
      <w:r>
        <w:rPr>
          <w:rFonts w:ascii="仿宋" w:hAnsi="仿宋" w:eastAsia="仿宋"/>
          <w:sz w:val="24"/>
        </w:rPr>
        <w:t>价</w:t>
      </w:r>
      <w:r>
        <w:rPr>
          <w:rFonts w:hint="eastAsia" w:ascii="仿宋" w:hAnsi="仿宋" w:eastAsia="仿宋"/>
          <w:sz w:val="24"/>
        </w:rPr>
        <w:t>不得高于</w:t>
      </w:r>
      <w:r>
        <w:rPr>
          <w:rFonts w:ascii="仿宋" w:hAnsi="仿宋" w:eastAsia="仿宋"/>
          <w:sz w:val="24"/>
        </w:rPr>
        <w:t>医院</w:t>
      </w:r>
      <w:r>
        <w:rPr>
          <w:rFonts w:hint="eastAsia" w:ascii="仿宋" w:hAnsi="仿宋" w:eastAsia="仿宋"/>
          <w:sz w:val="24"/>
        </w:rPr>
        <w:t>上限单</w:t>
      </w:r>
      <w:r>
        <w:rPr>
          <w:rFonts w:ascii="仿宋" w:hAnsi="仿宋" w:eastAsia="仿宋"/>
          <w:sz w:val="24"/>
        </w:rPr>
        <w:t>价</w:t>
      </w:r>
      <w:r>
        <w:rPr>
          <w:rFonts w:hint="eastAsia" w:ascii="仿宋" w:hAnsi="仿宋" w:eastAsia="仿宋"/>
          <w:sz w:val="24"/>
        </w:rPr>
        <w:t>否则作无效标处理</w:t>
      </w:r>
      <w:r>
        <w:rPr>
          <w:rFonts w:hint="eastAsia" w:ascii="仿宋" w:hAnsi="仿宋" w:eastAsia="仿宋" w:cs="FangSong_GB2312"/>
          <w:kern w:val="0"/>
          <w:sz w:val="24"/>
          <w:lang w:val="zh-CN"/>
        </w:rPr>
        <w:t>。</w:t>
      </w:r>
    </w:p>
    <w:p>
      <w:pPr>
        <w:snapToGrid w:val="0"/>
        <w:spacing w:line="440" w:lineRule="exact"/>
        <w:jc w:val="left"/>
        <w:rPr>
          <w:rFonts w:ascii="仿宋" w:hAnsi="仿宋" w:eastAsia="仿宋"/>
          <w:kern w:val="0"/>
          <w:sz w:val="24"/>
        </w:rPr>
      </w:pPr>
      <w:r>
        <w:rPr>
          <w:rFonts w:hint="eastAsia" w:ascii="仿宋" w:hAnsi="仿宋" w:eastAsia="仿宋" w:cs="FangSong_GB2312"/>
          <w:kern w:val="0"/>
          <w:sz w:val="24"/>
        </w:rPr>
        <w:t>2</w:t>
      </w:r>
      <w:r>
        <w:rPr>
          <w:rFonts w:hint="eastAsia" w:ascii="仿宋" w:hAnsi="仿宋" w:eastAsia="仿宋" w:cs="FangSong_GB2312"/>
          <w:kern w:val="0"/>
          <w:sz w:val="24"/>
          <w:lang w:val="zh-CN"/>
        </w:rPr>
        <w:t>.产品投标单价不</w:t>
      </w:r>
      <w:r>
        <w:rPr>
          <w:rFonts w:hint="eastAsia" w:ascii="仿宋" w:hAnsi="仿宋" w:eastAsia="仿宋" w:cs="FangSong_GB2312"/>
          <w:kern w:val="0"/>
          <w:sz w:val="24"/>
        </w:rPr>
        <w:t>高于</w:t>
      </w:r>
      <w:r>
        <w:rPr>
          <w:rFonts w:hint="eastAsia" w:ascii="仿宋" w:hAnsi="仿宋" w:eastAsia="仿宋" w:cs="FangSong_GB2312"/>
          <w:kern w:val="0"/>
          <w:sz w:val="24"/>
          <w:lang w:val="zh-CN"/>
        </w:rPr>
        <w:t>浙江省药械采购平台的</w:t>
      </w:r>
      <w:r>
        <w:rPr>
          <w:rFonts w:hint="eastAsia" w:ascii="仿宋" w:hAnsi="仿宋" w:eastAsia="仿宋"/>
          <w:kern w:val="0"/>
          <w:sz w:val="24"/>
        </w:rPr>
        <w:t>最低价</w:t>
      </w:r>
      <w:r>
        <w:rPr>
          <w:rFonts w:hint="eastAsia" w:ascii="仿宋" w:hAnsi="仿宋" w:eastAsia="仿宋"/>
          <w:kern w:val="0"/>
          <w:sz w:val="24"/>
          <w:lang w:eastAsia="zh-CN"/>
        </w:rPr>
        <w:t>（</w:t>
      </w:r>
      <w:r>
        <w:rPr>
          <w:rFonts w:hint="eastAsia" w:ascii="仿宋" w:hAnsi="仿宋" w:eastAsia="仿宋"/>
          <w:kern w:val="0"/>
          <w:sz w:val="24"/>
          <w:lang w:val="en-US" w:eastAsia="zh-CN"/>
        </w:rPr>
        <w:t>投标时</w:t>
      </w:r>
      <w:r>
        <w:rPr>
          <w:rFonts w:hint="eastAsia" w:ascii="仿宋" w:hAnsi="仿宋" w:eastAsia="仿宋"/>
          <w:kern w:val="0"/>
          <w:sz w:val="24"/>
          <w:lang w:eastAsia="zh-CN"/>
        </w:rPr>
        <w:t>）</w:t>
      </w:r>
      <w:r>
        <w:rPr>
          <w:rFonts w:hint="eastAsia" w:ascii="仿宋" w:hAnsi="仿宋" w:eastAsia="仿宋"/>
          <w:kern w:val="0"/>
          <w:sz w:val="24"/>
        </w:rPr>
        <w:t>。</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rPr>
        <w:t>3</w:t>
      </w:r>
      <w:r>
        <w:rPr>
          <w:rFonts w:hint="eastAsia" w:ascii="仿宋" w:hAnsi="仿宋" w:eastAsia="仿宋" w:cs="FangSong_GB2312"/>
          <w:color w:val="000000"/>
          <w:kern w:val="0"/>
          <w:sz w:val="24"/>
          <w:lang w:val="zh-CN"/>
        </w:rPr>
        <w:t>.</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4.</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autoSpaceDE w:val="0"/>
        <w:autoSpaceDN w:val="0"/>
        <w:adjustRightInd w:val="0"/>
        <w:spacing w:line="460" w:lineRule="atLeast"/>
        <w:rPr>
          <w:rFonts w:hint="eastAsia" w:ascii="仿宋" w:hAnsi="仿宋" w:eastAsia="仿宋"/>
          <w:color w:val="auto"/>
          <w:kern w:val="0"/>
          <w:sz w:val="24"/>
        </w:rPr>
      </w:pPr>
      <w:r>
        <w:rPr>
          <w:rFonts w:hint="eastAsia" w:ascii="仿宋" w:hAnsi="仿宋" w:eastAsia="仿宋"/>
          <w:kern w:val="0"/>
          <w:sz w:val="24"/>
        </w:rPr>
        <w:t>7.</w:t>
      </w:r>
      <w:r>
        <w:rPr>
          <w:rFonts w:hint="eastAsia" w:ascii="仿宋" w:hAnsi="仿宋" w:eastAsia="仿宋"/>
          <w:color w:val="auto"/>
          <w:kern w:val="0"/>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color w:val="auto"/>
          <w:kern w:val="0"/>
          <w:sz w:val="24"/>
        </w:rPr>
        <w:t>8.</w:t>
      </w:r>
      <w:r>
        <w:rPr>
          <w:rFonts w:hint="eastAsia" w:ascii="仿宋" w:hAnsi="仿宋" w:eastAsia="仿宋"/>
          <w:kern w:val="0"/>
          <w:sz w:val="24"/>
        </w:rPr>
        <w:t>合同期内若遇中标产品价格统一下调</w:t>
      </w:r>
      <w:r>
        <w:rPr>
          <w:rFonts w:hint="eastAsia" w:ascii="仿宋" w:hAnsi="仿宋" w:eastAsia="仿宋"/>
          <w:kern w:val="0"/>
          <w:sz w:val="24"/>
          <w:lang w:eastAsia="zh-CN"/>
        </w:rPr>
        <w:t>，</w:t>
      </w:r>
      <w:r>
        <w:rPr>
          <w:rFonts w:hint="eastAsia" w:ascii="仿宋" w:hAnsi="仿宋" w:eastAsia="仿宋"/>
          <w:kern w:val="0"/>
          <w:sz w:val="24"/>
        </w:rPr>
        <w:t>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kern w:val="0"/>
          <w:sz w:val="24"/>
        </w:rPr>
        <w:t>9.售后服务：</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须提供符合国家相关标准和要求的质量合格产品，满足本项目的售后服务承诺，在此期间，因质量发生的故障，由</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全权承担，耗材配套工具及设备提供免费更换或维修保养等服务（如有）。</w:t>
      </w:r>
    </w:p>
    <w:p>
      <w:pPr>
        <w:autoSpaceDE w:val="0"/>
        <w:autoSpaceDN w:val="0"/>
        <w:adjustRightInd w:val="0"/>
        <w:spacing w:line="460" w:lineRule="atLeast"/>
        <w:ind w:firstLine="482" w:firstLineChars="200"/>
        <w:rPr>
          <w:rFonts w:ascii="仿宋" w:hAnsi="仿宋" w:eastAsia="仿宋" w:cs="仿宋"/>
          <w:b/>
          <w:color w:val="auto"/>
        </w:rPr>
      </w:pPr>
      <w:r>
        <w:rPr>
          <w:rFonts w:hint="eastAsia" w:ascii="仿宋" w:hAnsi="仿宋" w:eastAsia="仿宋"/>
          <w:b/>
          <w:color w:val="auto"/>
          <w:sz w:val="24"/>
        </w:rPr>
        <w:t>注：需提供样品：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r>
        <w:rPr>
          <w:rFonts w:hint="eastAsia" w:ascii="仿宋" w:hAnsi="仿宋" w:eastAsia="仿宋"/>
          <w:b/>
          <w:color w:val="auto"/>
          <w:sz w:val="24"/>
          <w:lang w:val="en-US" w:eastAsia="zh-CN"/>
        </w:rPr>
        <w:t>制作、运输、安装和保管样品所发生的一切费用由投标人自理。</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7"/>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7"/>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7"/>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7"/>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896"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658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w:t>
            </w:r>
            <w:r>
              <w:rPr>
                <w:rFonts w:hint="eastAsia" w:ascii="仿宋" w:hAnsi="仿宋" w:eastAsia="仿宋"/>
                <w:color w:val="auto"/>
                <w:szCs w:val="21"/>
              </w:rPr>
              <w:t>运营情况</w:t>
            </w:r>
            <w:r>
              <w:rPr>
                <w:rFonts w:hint="eastAsia" w:ascii="仿宋" w:hAnsi="仿宋" w:eastAsia="仿宋"/>
                <w:szCs w:val="21"/>
              </w:rPr>
              <w:t>及效率及配套服务能力等，优得10.0-7.1分，良</w:t>
            </w:r>
            <w:r>
              <w:rPr>
                <w:rFonts w:hint="eastAsia" w:ascii="仿宋" w:hAnsi="仿宋" w:eastAsia="仿宋"/>
                <w:szCs w:val="21"/>
                <w:lang w:val="en-US" w:eastAsia="zh-CN"/>
              </w:rPr>
              <w:t>得</w:t>
            </w:r>
            <w:r>
              <w:rPr>
                <w:rFonts w:hint="eastAsia" w:ascii="仿宋" w:hAnsi="仿宋" w:eastAsia="仿宋"/>
                <w:szCs w:val="21"/>
              </w:rPr>
              <w:t>7.0－4.1分，一般</w:t>
            </w:r>
            <w:r>
              <w:rPr>
                <w:rFonts w:hint="eastAsia" w:ascii="仿宋" w:hAnsi="仿宋" w:eastAsia="仿宋"/>
                <w:szCs w:val="21"/>
                <w:lang w:val="en-US" w:eastAsia="zh-CN"/>
              </w:rPr>
              <w:t>得</w:t>
            </w:r>
            <w:r>
              <w:rPr>
                <w:rFonts w:hint="eastAsia" w:ascii="仿宋" w:hAnsi="仿宋" w:eastAsia="仿宋"/>
                <w:szCs w:val="21"/>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投标人资信(3分)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市场占有率</w:t>
            </w:r>
          </w:p>
          <w:p>
            <w:pPr>
              <w:spacing w:line="4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ascii="仿宋" w:hAnsi="仿宋" w:eastAsia="仿宋"/>
                <w:szCs w:val="21"/>
              </w:rPr>
              <w:t>201</w:t>
            </w:r>
            <w:r>
              <w:rPr>
                <w:rFonts w:hint="eastAsia" w:ascii="仿宋" w:hAnsi="仿宋" w:eastAsia="仿宋"/>
                <w:szCs w:val="21"/>
              </w:rPr>
              <w:t>8年1月1日以来与</w:t>
            </w:r>
            <w:r>
              <w:rPr>
                <w:rFonts w:hint="eastAsia" w:ascii="仿宋" w:hAnsi="仿宋" w:eastAsia="仿宋"/>
                <w:color w:val="auto"/>
                <w:szCs w:val="21"/>
              </w:rPr>
              <w:t>三</w:t>
            </w:r>
            <w:r>
              <w:rPr>
                <w:rFonts w:hint="eastAsia" w:ascii="仿宋" w:hAnsi="仿宋" w:eastAsia="仿宋"/>
                <w:color w:val="auto"/>
                <w:szCs w:val="21"/>
                <w:lang w:val="en-US" w:eastAsia="zh-CN"/>
              </w:rPr>
              <w:t>甲</w:t>
            </w:r>
            <w:r>
              <w:rPr>
                <w:rFonts w:hint="eastAsia" w:ascii="仿宋" w:hAnsi="仿宋" w:eastAsia="仿宋"/>
                <w:color w:val="auto"/>
                <w:szCs w:val="21"/>
              </w:rPr>
              <w:t>医院</w:t>
            </w:r>
            <w:r>
              <w:rPr>
                <w:rFonts w:hint="eastAsia" w:ascii="仿宋" w:hAnsi="仿宋" w:eastAsia="仿宋"/>
                <w:szCs w:val="21"/>
              </w:rPr>
              <w:t>使用证明材料，每提供一份进货发票及供货合同书复印件（相互印证）</w:t>
            </w:r>
            <w:r>
              <w:rPr>
                <w:rFonts w:hint="eastAsia" w:ascii="仿宋" w:hAnsi="仿宋" w:eastAsia="仿宋"/>
                <w:b w:val="0"/>
                <w:bCs w:val="0"/>
                <w:color w:val="auto"/>
                <w:szCs w:val="21"/>
              </w:rPr>
              <w:t>得2.0分</w:t>
            </w:r>
            <w:r>
              <w:rPr>
                <w:rFonts w:hint="eastAsia" w:ascii="仿宋" w:hAnsi="仿宋" w:eastAsia="仿宋"/>
                <w:szCs w:val="21"/>
              </w:rPr>
              <w:t>，最高分值为</w:t>
            </w:r>
            <w:r>
              <w:rPr>
                <w:rFonts w:ascii="仿宋" w:hAnsi="仿宋" w:eastAsia="仿宋"/>
                <w:szCs w:val="21"/>
              </w:rPr>
              <w:t>12</w:t>
            </w:r>
            <w:r>
              <w:rPr>
                <w:rFonts w:hint="eastAsia" w:ascii="仿宋" w:hAnsi="仿宋" w:eastAsia="仿宋"/>
                <w:szCs w:val="21"/>
              </w:rPr>
              <w:t>.0分；未提交材料或提交材料不符合要求的，不得分。（</w:t>
            </w:r>
            <w:r>
              <w:rPr>
                <w:rFonts w:ascii="仿宋" w:hAnsi="仿宋" w:eastAsia="仿宋"/>
                <w:szCs w:val="21"/>
              </w:rPr>
              <w:t>同一家医院只计一份，以合同签订日期为准</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w:t>
            </w:r>
            <w:r>
              <w:rPr>
                <w:rFonts w:hint="eastAsia" w:ascii="仿宋" w:hAnsi="仿宋" w:eastAsia="仿宋"/>
                <w:szCs w:val="21"/>
                <w:lang w:val="en-US" w:eastAsia="zh-CN"/>
              </w:rPr>
              <w:t>得</w:t>
            </w:r>
            <w:r>
              <w:rPr>
                <w:rFonts w:ascii="仿宋" w:hAnsi="仿宋" w:eastAsia="仿宋"/>
                <w:szCs w:val="21"/>
              </w:rPr>
              <w:t>5</w:t>
            </w:r>
            <w:r>
              <w:rPr>
                <w:rFonts w:hint="eastAsia" w:ascii="仿宋" w:hAnsi="仿宋" w:eastAsia="仿宋"/>
                <w:szCs w:val="21"/>
              </w:rPr>
              <w:t>.0</w:t>
            </w:r>
            <w:r>
              <w:rPr>
                <w:rFonts w:ascii="仿宋" w:hAnsi="仿宋" w:eastAsia="仿宋"/>
                <w:szCs w:val="21"/>
              </w:rPr>
              <w:t>-4</w:t>
            </w:r>
            <w:r>
              <w:rPr>
                <w:rFonts w:hint="eastAsia" w:ascii="仿宋" w:hAnsi="仿宋" w:eastAsia="仿宋"/>
                <w:szCs w:val="21"/>
              </w:rPr>
              <w:t>.0分，一般品牌</w:t>
            </w:r>
            <w:r>
              <w:rPr>
                <w:rFonts w:hint="eastAsia" w:ascii="仿宋" w:hAnsi="仿宋" w:eastAsia="仿宋"/>
                <w:szCs w:val="21"/>
                <w:lang w:val="en-US" w:eastAsia="zh-CN"/>
              </w:rPr>
              <w:t>得</w:t>
            </w:r>
            <w:r>
              <w:rPr>
                <w:rFonts w:ascii="仿宋" w:hAnsi="仿宋" w:eastAsia="仿宋"/>
                <w:szCs w:val="21"/>
              </w:rPr>
              <w:t>3</w:t>
            </w:r>
            <w:r>
              <w:rPr>
                <w:rFonts w:hint="eastAsia" w:ascii="仿宋" w:hAnsi="仿宋" w:eastAsia="仿宋"/>
                <w:szCs w:val="21"/>
              </w:rPr>
              <w:t>.9</w:t>
            </w:r>
            <w:r>
              <w:rPr>
                <w:rFonts w:ascii="仿宋" w:hAnsi="仿宋" w:eastAsia="仿宋"/>
                <w:szCs w:val="21"/>
              </w:rPr>
              <w:t>-2</w:t>
            </w:r>
            <w:r>
              <w:rPr>
                <w:rFonts w:hint="eastAsia" w:ascii="仿宋" w:hAnsi="仿宋" w:eastAsia="仿宋"/>
                <w:szCs w:val="21"/>
              </w:rPr>
              <w:t>.0分，其他</w:t>
            </w:r>
            <w:r>
              <w:rPr>
                <w:rFonts w:hint="eastAsia" w:ascii="仿宋" w:hAnsi="仿宋" w:eastAsia="仿宋"/>
                <w:szCs w:val="21"/>
                <w:lang w:val="en-US" w:eastAsia="zh-CN"/>
              </w:rPr>
              <w:t>得</w:t>
            </w:r>
            <w:r>
              <w:rPr>
                <w:rFonts w:ascii="仿宋" w:hAnsi="仿宋" w:eastAsia="仿宋"/>
                <w:szCs w:val="21"/>
              </w:rPr>
              <w:t>1</w:t>
            </w:r>
            <w:r>
              <w:rPr>
                <w:rFonts w:hint="eastAsia" w:ascii="仿宋" w:hAnsi="仿宋" w:eastAsia="仿宋"/>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产品质量、性能、先进性、品规完整性等(20分)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对所投产品的主要有效成分及其含量、适用范围等进行书面描述，需提供说明书等证明材料，可根据投标产品质量、性能、</w:t>
            </w:r>
            <w:r>
              <w:rPr>
                <w:rFonts w:hint="eastAsia" w:ascii="仿宋" w:hAnsi="仿宋" w:eastAsia="仿宋"/>
                <w:szCs w:val="21"/>
                <w:lang w:val="en-US" w:eastAsia="zh-CN"/>
              </w:rPr>
              <w:t>先进性、易用性、稳定性</w:t>
            </w:r>
            <w:r>
              <w:rPr>
                <w:rFonts w:hint="eastAsia" w:ascii="仿宋" w:hAnsi="仿宋" w:eastAsia="仿宋"/>
                <w:szCs w:val="21"/>
              </w:rPr>
              <w:t>等进行评价打分</w:t>
            </w:r>
            <w:r>
              <w:rPr>
                <w:rFonts w:hint="eastAsia" w:ascii="仿宋" w:hAnsi="仿宋" w:eastAsia="仿宋"/>
                <w:szCs w:val="21"/>
                <w:lang w:eastAsia="zh-CN"/>
              </w:rPr>
              <w:t>。</w:t>
            </w:r>
            <w:r>
              <w:rPr>
                <w:rFonts w:hint="eastAsia" w:ascii="仿宋" w:hAnsi="仿宋" w:eastAsia="仿宋"/>
                <w:szCs w:val="21"/>
              </w:rPr>
              <w:t>优</w:t>
            </w:r>
            <w:r>
              <w:rPr>
                <w:rFonts w:hint="eastAsia" w:ascii="仿宋" w:hAnsi="仿宋" w:eastAsia="仿宋"/>
                <w:szCs w:val="21"/>
                <w:lang w:val="en-US" w:eastAsia="zh-CN"/>
              </w:rPr>
              <w:t>得</w:t>
            </w:r>
            <w:r>
              <w:rPr>
                <w:rFonts w:hint="eastAsia" w:ascii="仿宋" w:hAnsi="仿宋" w:eastAsia="仿宋"/>
                <w:szCs w:val="21"/>
              </w:rPr>
              <w:t>5.0-3.0分，良</w:t>
            </w:r>
            <w:r>
              <w:rPr>
                <w:rFonts w:hint="eastAsia" w:ascii="仿宋" w:hAnsi="仿宋" w:eastAsia="仿宋"/>
                <w:szCs w:val="21"/>
                <w:lang w:val="en-US" w:eastAsia="zh-CN"/>
              </w:rPr>
              <w:t>得</w:t>
            </w:r>
            <w:r>
              <w:rPr>
                <w:rFonts w:hint="eastAsia" w:ascii="仿宋" w:hAnsi="仿宋" w:eastAsia="仿宋"/>
                <w:szCs w:val="21"/>
              </w:rPr>
              <w:t>2.9-1.0分，其他</w:t>
            </w:r>
            <w:r>
              <w:rPr>
                <w:rFonts w:hint="eastAsia" w:ascii="仿宋" w:hAnsi="仿宋" w:eastAsia="仿宋"/>
                <w:szCs w:val="21"/>
                <w:lang w:val="en-US" w:eastAsia="zh-CN"/>
              </w:rPr>
              <w:t>得</w:t>
            </w:r>
            <w:r>
              <w:rPr>
                <w:rFonts w:hint="eastAsia" w:ascii="仿宋" w:hAnsi="仿宋" w:eastAsia="仿宋"/>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提供样品，根据样品品质比较打分</w:t>
            </w:r>
            <w:r>
              <w:rPr>
                <w:rFonts w:hint="eastAsia" w:ascii="仿宋" w:hAnsi="仿宋" w:eastAsia="仿宋"/>
                <w:szCs w:val="21"/>
                <w:lang w:eastAsia="zh-CN"/>
              </w:rPr>
              <w:t>。</w:t>
            </w:r>
            <w:r>
              <w:rPr>
                <w:rFonts w:hint="eastAsia" w:ascii="仿宋" w:hAnsi="仿宋" w:eastAsia="仿宋"/>
                <w:szCs w:val="21"/>
              </w:rPr>
              <w:t>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cs="宋体"/>
                <w:szCs w:val="21"/>
              </w:rPr>
              <w:t>质</w:t>
            </w:r>
            <w:r>
              <w:rPr>
                <w:rFonts w:hint="eastAsia" w:ascii="仿宋" w:hAnsi="仿宋" w:eastAsia="仿宋" w:cs="MS Gothic"/>
                <w:szCs w:val="21"/>
              </w:rPr>
              <w:t>量不符能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w:t>
            </w:r>
            <w:r>
              <w:rPr>
                <w:rFonts w:hint="eastAsia" w:ascii="仿宋" w:hAnsi="仿宋" w:eastAsia="仿宋" w:cs="MS Gothic"/>
                <w:szCs w:val="21"/>
              </w:rPr>
              <w:t>的得</w:t>
            </w:r>
            <w:r>
              <w:rPr>
                <w:rFonts w:ascii="仿宋" w:hAnsi="仿宋" w:eastAsia="仿宋"/>
                <w:szCs w:val="21"/>
              </w:rPr>
              <w:t>3</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w:t>
            </w:r>
            <w:r>
              <w:rPr>
                <w:rFonts w:ascii="仿宋" w:hAnsi="仿宋" w:eastAsia="仿宋"/>
                <w:szCs w:val="21"/>
              </w:rPr>
              <w:t>1</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标书制作(</w:t>
            </w:r>
            <w:r>
              <w:rPr>
                <w:rFonts w:ascii="仿宋" w:hAnsi="仿宋" w:eastAsia="仿宋"/>
                <w:szCs w:val="21"/>
              </w:rPr>
              <w:t>2</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根据投标文件资料完整性、真实性及编制质量等（应字迹清晰，内容齐全、真实有据等情况）给分，</w:t>
            </w:r>
            <w:r>
              <w:rPr>
                <w:rFonts w:hint="eastAsia" w:ascii="仿宋" w:hAnsi="仿宋" w:eastAsia="仿宋"/>
                <w:color w:val="auto"/>
                <w:szCs w:val="21"/>
              </w:rPr>
              <w:t>优</w:t>
            </w:r>
            <w:r>
              <w:rPr>
                <w:rFonts w:hint="eastAsia" w:ascii="仿宋" w:hAnsi="仿宋" w:eastAsia="仿宋"/>
                <w:color w:val="auto"/>
                <w:szCs w:val="21"/>
                <w:lang w:val="en-US" w:eastAsia="zh-CN"/>
              </w:rPr>
              <w:t>得</w:t>
            </w:r>
            <w:r>
              <w:rPr>
                <w:rFonts w:ascii="仿宋" w:hAnsi="仿宋" w:eastAsia="仿宋"/>
                <w:color w:val="auto"/>
                <w:szCs w:val="21"/>
              </w:rPr>
              <w:t>2</w:t>
            </w:r>
            <w:r>
              <w:rPr>
                <w:rFonts w:hint="eastAsia" w:ascii="仿宋" w:hAnsi="仿宋" w:eastAsia="仿宋"/>
                <w:color w:val="auto"/>
                <w:szCs w:val="21"/>
              </w:rPr>
              <w:t>.0-1.0分，一般</w:t>
            </w:r>
            <w:r>
              <w:rPr>
                <w:rFonts w:hint="eastAsia" w:ascii="仿宋" w:hAnsi="仿宋" w:eastAsia="仿宋"/>
                <w:color w:val="auto"/>
                <w:szCs w:val="21"/>
                <w:lang w:val="en-US" w:eastAsia="zh-CN"/>
              </w:rPr>
              <w:t>得</w:t>
            </w:r>
            <w:r>
              <w:rPr>
                <w:rFonts w:hint="eastAsia" w:ascii="仿宋" w:hAnsi="仿宋" w:eastAsia="仿宋"/>
                <w:color w:val="auto"/>
                <w:szCs w:val="21"/>
              </w:rPr>
              <w:t>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3"/>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8"/>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8"/>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8"/>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8"/>
        <w:spacing w:after="50" w:afterLines="0" w:line="440" w:lineRule="exact"/>
        <w:rPr>
          <w:rFonts w:hint="eastAsia" w:ascii="仿宋" w:hAnsi="仿宋" w:eastAsia="仿宋" w:cs="仿宋"/>
          <w:szCs w:val="24"/>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8"/>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3"/>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3"/>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3"/>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3"/>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3"/>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3"/>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3"/>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3"/>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3"/>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3"/>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1"/>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8"/>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10"/>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10"/>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0"/>
      <w:bookmarkEnd w:id="25"/>
      <w:bookmarkStart w:id="26" w:name="_Toc64369807"/>
      <w:bookmarkEnd w:id="26"/>
      <w:bookmarkStart w:id="27" w:name="_Toc64369811"/>
      <w:bookmarkEnd w:id="27"/>
      <w:bookmarkStart w:id="28" w:name="_Toc64369804"/>
      <w:bookmarkEnd w:id="28"/>
      <w:bookmarkStart w:id="29" w:name="_Toc64369814"/>
      <w:bookmarkEnd w:id="29"/>
      <w:bookmarkStart w:id="30" w:name="_Toc64369809"/>
      <w:bookmarkEnd w:id="30"/>
      <w:bookmarkStart w:id="31" w:name="_Toc64369806"/>
      <w:bookmarkEnd w:id="31"/>
      <w:bookmarkStart w:id="32" w:name="_Toc64369805"/>
      <w:bookmarkEnd w:id="32"/>
      <w:bookmarkStart w:id="33" w:name="_Toc64369812"/>
      <w:bookmarkEnd w:id="33"/>
      <w:bookmarkStart w:id="34" w:name="_Toc64369813"/>
      <w:bookmarkEnd w:id="34"/>
      <w:bookmarkStart w:id="35" w:name="_Toc64369808"/>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10"/>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10"/>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3"/>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2"/>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2"/>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bl>
    <w:p>
      <w:pPr>
        <w:pStyle w:val="12"/>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10"/>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10"/>
        <w:snapToGrid w:val="0"/>
        <w:rPr>
          <w:rFonts w:hint="eastAsia" w:ascii="仿宋" w:hAnsi="仿宋" w:eastAsia="仿宋" w:cs="仿宋"/>
          <w:sz w:val="28"/>
          <w:szCs w:val="28"/>
        </w:rPr>
      </w:pPr>
    </w:p>
    <w:p>
      <w:pPr>
        <w:pStyle w:val="10"/>
        <w:snapToGrid w:val="0"/>
        <w:rPr>
          <w:rFonts w:hint="eastAsia" w:ascii="仿宋" w:hAnsi="仿宋" w:eastAsia="仿宋" w:cs="仿宋"/>
          <w:sz w:val="28"/>
          <w:szCs w:val="28"/>
        </w:rPr>
      </w:pPr>
    </w:p>
    <w:p>
      <w:pPr>
        <w:pStyle w:val="10"/>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0"/>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0"/>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3"/>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3"/>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3"/>
        <w:tblW w:w="5206" w:type="pct"/>
        <w:jc w:val="center"/>
        <w:tblLayout w:type="fixed"/>
        <w:tblCellMar>
          <w:top w:w="0" w:type="dxa"/>
          <w:left w:w="108" w:type="dxa"/>
          <w:bottom w:w="0" w:type="dxa"/>
          <w:right w:w="108" w:type="dxa"/>
        </w:tblCellMar>
      </w:tblPr>
      <w:tblGrid>
        <w:gridCol w:w="588"/>
        <w:gridCol w:w="984"/>
        <w:gridCol w:w="1163"/>
        <w:gridCol w:w="950"/>
        <w:gridCol w:w="800"/>
        <w:gridCol w:w="1037"/>
        <w:gridCol w:w="888"/>
        <w:gridCol w:w="900"/>
        <w:gridCol w:w="2546"/>
        <w:gridCol w:w="595"/>
        <w:gridCol w:w="745"/>
        <w:gridCol w:w="1134"/>
        <w:gridCol w:w="962"/>
        <w:gridCol w:w="889"/>
        <w:gridCol w:w="745"/>
      </w:tblGrid>
      <w:tr>
        <w:tblPrEx>
          <w:tblCellMar>
            <w:top w:w="0" w:type="dxa"/>
            <w:left w:w="108" w:type="dxa"/>
            <w:bottom w:w="0" w:type="dxa"/>
            <w:right w:w="108" w:type="dxa"/>
          </w:tblCellMar>
        </w:tblPrEx>
        <w:trPr>
          <w:trHeight w:val="878" w:hRule="atLeast"/>
          <w:jc w:val="center"/>
        </w:trPr>
        <w:tc>
          <w:tcPr>
            <w:tcW w:w="1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序号</w:t>
            </w:r>
          </w:p>
        </w:tc>
        <w:tc>
          <w:tcPr>
            <w:tcW w:w="32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产品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名称</w:t>
            </w:r>
          </w:p>
        </w:tc>
        <w:tc>
          <w:tcPr>
            <w:tcW w:w="38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投标名称</w:t>
            </w:r>
          </w:p>
        </w:tc>
        <w:tc>
          <w:tcPr>
            <w:tcW w:w="31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生产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企业</w:t>
            </w:r>
          </w:p>
        </w:tc>
        <w:tc>
          <w:tcPr>
            <w:tcW w:w="26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品牌</w:t>
            </w:r>
          </w:p>
        </w:tc>
        <w:tc>
          <w:tcPr>
            <w:tcW w:w="34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医疗器械注册证号</w:t>
            </w:r>
          </w:p>
        </w:tc>
        <w:tc>
          <w:tcPr>
            <w:tcW w:w="29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医疗器械注册证名称</w:t>
            </w:r>
          </w:p>
        </w:tc>
        <w:tc>
          <w:tcPr>
            <w:tcW w:w="30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省平台代码</w:t>
            </w:r>
          </w:p>
        </w:tc>
        <w:tc>
          <w:tcPr>
            <w:tcW w:w="85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规格</w:t>
            </w:r>
          </w:p>
        </w:tc>
        <w:tc>
          <w:tcPr>
            <w:tcW w:w="19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单位</w:t>
            </w:r>
          </w:p>
        </w:tc>
        <w:tc>
          <w:tcPr>
            <w:tcW w:w="249"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上限</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单价</w:t>
            </w:r>
          </w:p>
        </w:tc>
        <w:tc>
          <w:tcPr>
            <w:tcW w:w="379" w:type="pct"/>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参考用量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（2年）</w:t>
            </w:r>
          </w:p>
        </w:tc>
        <w:tc>
          <w:tcPr>
            <w:tcW w:w="32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投标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单价</w:t>
            </w:r>
          </w:p>
        </w:tc>
        <w:tc>
          <w:tcPr>
            <w:tcW w:w="29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金额</w:t>
            </w:r>
          </w:p>
        </w:tc>
        <w:tc>
          <w:tcPr>
            <w:tcW w:w="24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备注</w:t>
            </w:r>
          </w:p>
        </w:tc>
      </w:tr>
      <w:tr>
        <w:tblPrEx>
          <w:tblCellMar>
            <w:top w:w="0" w:type="dxa"/>
            <w:left w:w="108" w:type="dxa"/>
            <w:bottom w:w="0" w:type="dxa"/>
            <w:right w:w="108" w:type="dxa"/>
          </w:tblCellMar>
        </w:tblPrEx>
        <w:trPr>
          <w:trHeight w:val="639" w:hRule="atLeast"/>
          <w:jc w:val="center"/>
        </w:trPr>
        <w:tc>
          <w:tcPr>
            <w:tcW w:w="196" w:type="pct"/>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1</w:t>
            </w:r>
          </w:p>
        </w:tc>
        <w:tc>
          <w:tcPr>
            <w:tcW w:w="329" w:type="pct"/>
            <w:vMerge w:val="restart"/>
            <w:tcBorders>
              <w:top w:val="nil"/>
              <w:left w:val="nil"/>
              <w:right w:val="single" w:color="auto" w:sz="4" w:space="0"/>
            </w:tcBorders>
            <w:noWrap/>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医用透明敷料</w:t>
            </w:r>
          </w:p>
        </w:tc>
        <w:tc>
          <w:tcPr>
            <w:tcW w:w="38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1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6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4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0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546"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kern w:val="0"/>
                <w:sz w:val="22"/>
                <w:szCs w:val="22"/>
              </w:rPr>
            </w:pPr>
            <w:r>
              <w:rPr>
                <w:rFonts w:hint="eastAsia" w:ascii="仿宋" w:hAnsi="仿宋" w:eastAsia="仿宋" w:cs="仿宋"/>
                <w:sz w:val="22"/>
                <w:szCs w:val="22"/>
              </w:rPr>
              <w:t>10cm×11.5cm 左右，低致敏高通透型</w:t>
            </w:r>
          </w:p>
        </w:tc>
        <w:tc>
          <w:tcPr>
            <w:tcW w:w="19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张</w:t>
            </w:r>
          </w:p>
        </w:tc>
        <w:tc>
          <w:tcPr>
            <w:tcW w:w="2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kern w:val="0"/>
                <w:sz w:val="22"/>
                <w:szCs w:val="22"/>
              </w:rPr>
              <w:t>11</w:t>
            </w:r>
          </w:p>
        </w:tc>
        <w:tc>
          <w:tcPr>
            <w:tcW w:w="379" w:type="pct"/>
            <w:tcBorders>
              <w:top w:val="nil"/>
              <w:left w:val="nil"/>
              <w:bottom w:val="single" w:color="auto" w:sz="4" w:space="0"/>
              <w:right w:val="nil"/>
            </w:tcBorders>
            <w:noWrap/>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21500</w:t>
            </w:r>
          </w:p>
        </w:tc>
        <w:tc>
          <w:tcPr>
            <w:tcW w:w="322"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49" w:type="pct"/>
            <w:vMerge w:val="restart"/>
            <w:tcBorders>
              <w:top w:val="nil"/>
              <w:left w:val="nil"/>
              <w:right w:val="single" w:color="auto" w:sz="4" w:space="0"/>
            </w:tcBorders>
            <w:noWrap/>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采购周期2年</w:t>
            </w:r>
          </w:p>
        </w:tc>
      </w:tr>
      <w:tr>
        <w:tblPrEx>
          <w:tblCellMar>
            <w:top w:w="0" w:type="dxa"/>
            <w:left w:w="108" w:type="dxa"/>
            <w:bottom w:w="0" w:type="dxa"/>
            <w:right w:w="108" w:type="dxa"/>
          </w:tblCellMar>
        </w:tblPrEx>
        <w:trPr>
          <w:trHeight w:val="645" w:hRule="atLeast"/>
          <w:jc w:val="center"/>
        </w:trPr>
        <w:tc>
          <w:tcPr>
            <w:tcW w:w="196" w:type="pct"/>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2"/>
                <w:szCs w:val="22"/>
              </w:rPr>
            </w:pPr>
          </w:p>
        </w:tc>
        <w:tc>
          <w:tcPr>
            <w:tcW w:w="329" w:type="pct"/>
            <w:vMerge w:val="continue"/>
            <w:tcBorders>
              <w:left w:val="nil"/>
              <w:bottom w:val="single" w:color="auto" w:sz="4" w:space="0"/>
              <w:right w:val="single" w:color="auto" w:sz="4" w:space="0"/>
            </w:tcBorders>
            <w:noWrap/>
            <w:vAlign w:val="center"/>
          </w:tcPr>
          <w:p>
            <w:pPr>
              <w:jc w:val="center"/>
              <w:rPr>
                <w:rFonts w:hint="eastAsia" w:ascii="仿宋" w:hAnsi="仿宋" w:eastAsia="仿宋" w:cs="仿宋"/>
                <w:kern w:val="0"/>
                <w:sz w:val="22"/>
                <w:szCs w:val="22"/>
                <w:lang w:val="en-US"/>
              </w:rPr>
            </w:pPr>
          </w:p>
        </w:tc>
        <w:tc>
          <w:tcPr>
            <w:tcW w:w="38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1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6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4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30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546"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kern w:val="0"/>
                <w:sz w:val="22"/>
                <w:szCs w:val="22"/>
              </w:rPr>
            </w:pPr>
            <w:r>
              <w:rPr>
                <w:rFonts w:hint="eastAsia" w:ascii="仿宋" w:hAnsi="仿宋" w:eastAsia="仿宋" w:cs="仿宋"/>
                <w:sz w:val="22"/>
                <w:szCs w:val="22"/>
              </w:rPr>
              <w:t>8.5cm*11.5cm左右，头部开叉、无纺布边框、带宽带固定胶带</w:t>
            </w:r>
          </w:p>
        </w:tc>
        <w:tc>
          <w:tcPr>
            <w:tcW w:w="19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张</w:t>
            </w:r>
          </w:p>
        </w:tc>
        <w:tc>
          <w:tcPr>
            <w:tcW w:w="2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kern w:val="0"/>
                <w:sz w:val="22"/>
                <w:szCs w:val="22"/>
              </w:rPr>
              <w:t>13.8</w:t>
            </w:r>
          </w:p>
        </w:tc>
        <w:tc>
          <w:tcPr>
            <w:tcW w:w="379" w:type="pct"/>
            <w:tcBorders>
              <w:top w:val="nil"/>
              <w:left w:val="nil"/>
              <w:bottom w:val="single" w:color="auto" w:sz="4" w:space="0"/>
              <w:right w:val="nil"/>
            </w:tcBorders>
            <w:noWrap/>
            <w:vAlign w:val="center"/>
          </w:tcPr>
          <w:p>
            <w:pPr>
              <w:widowControl/>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kern w:val="0"/>
                <w:sz w:val="22"/>
                <w:szCs w:val="22"/>
              </w:rPr>
              <w:t>21500</w:t>
            </w:r>
          </w:p>
        </w:tc>
        <w:tc>
          <w:tcPr>
            <w:tcW w:w="322"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szCs w:val="22"/>
              </w:rPr>
            </w:pPr>
          </w:p>
        </w:tc>
        <w:tc>
          <w:tcPr>
            <w:tcW w:w="249" w:type="pct"/>
            <w:vMerge w:val="continue"/>
            <w:tcBorders>
              <w:left w:val="nil"/>
              <w:right w:val="single" w:color="auto" w:sz="4" w:space="0"/>
            </w:tcBorders>
            <w:noWrap/>
            <w:vAlign w:val="center"/>
          </w:tcPr>
          <w:p>
            <w:pPr>
              <w:widowControl/>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523" w:hRule="atLeast"/>
          <w:jc w:val="center"/>
        </w:trPr>
        <w:tc>
          <w:tcPr>
            <w:tcW w:w="52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rPr>
              <w:t>投标总价=投标单价*参考用量</w:t>
            </w:r>
          </w:p>
        </w:tc>
        <w:tc>
          <w:tcPr>
            <w:tcW w:w="447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小写：</w:t>
            </w:r>
          </w:p>
        </w:tc>
      </w:tr>
      <w:tr>
        <w:tblPrEx>
          <w:tblCellMar>
            <w:top w:w="0" w:type="dxa"/>
            <w:left w:w="108" w:type="dxa"/>
            <w:bottom w:w="0" w:type="dxa"/>
            <w:right w:w="108" w:type="dxa"/>
          </w:tblCellMar>
        </w:tblPrEx>
        <w:trPr>
          <w:trHeight w:val="517" w:hRule="atLeast"/>
          <w:jc w:val="center"/>
        </w:trPr>
        <w:tc>
          <w:tcPr>
            <w:tcW w:w="52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2"/>
                <w:szCs w:val="22"/>
              </w:rPr>
            </w:pPr>
          </w:p>
        </w:tc>
        <w:tc>
          <w:tcPr>
            <w:tcW w:w="447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p>
    <w:p>
      <w:pPr>
        <w:snapToGrid w:val="0"/>
        <w:ind w:left="480"/>
        <w:rPr>
          <w:rFonts w:ascii="仿宋" w:hAnsi="仿宋" w:eastAsia="仿宋" w:cs="FangSong_GB2312"/>
          <w:b/>
          <w:color w:val="FF0000"/>
          <w:sz w:val="24"/>
          <w:lang w:val="zh-CN"/>
        </w:rPr>
      </w:pP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p>
    <w:p>
      <w:pPr>
        <w:snapToGrid w:val="0"/>
        <w:ind w:left="480"/>
        <w:rPr>
          <w:rFonts w:ascii="仿宋" w:hAnsi="仿宋" w:eastAsia="仿宋"/>
          <w:b/>
          <w:sz w:val="24"/>
        </w:rPr>
      </w:pP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p>
    <w:p>
      <w:pPr>
        <w:snapToGrid w:val="0"/>
        <w:ind w:firstLine="482" w:firstLineChars="200"/>
        <w:jc w:val="left"/>
        <w:rPr>
          <w:rFonts w:ascii="仿宋" w:hAnsi="仿宋" w:eastAsia="仿宋"/>
          <w:b/>
          <w:kern w:val="0"/>
          <w:sz w:val="24"/>
          <w:lang w:val="zh-CN"/>
        </w:rPr>
      </w:pP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bookmarkStart w:id="50" w:name="_Toc64369827"/>
      <w:r>
        <w:rPr>
          <w:rFonts w:hint="eastAsia" w:ascii="仿宋" w:hAnsi="仿宋" w:eastAsia="仿宋" w:cs="仿宋"/>
          <w:sz w:val="24"/>
          <w:lang w:val="en-US" w:eastAsia="zh-CN"/>
        </w:rPr>
        <w:t xml:space="preserve">                           </w:t>
      </w:r>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6"/>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4"/>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4"/>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6"/>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绍兴市人民医院医用透明敷料采购项目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绍兴市人民医院医用透明敷料采购项目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3"/>
        <w:rPr>
          <w:rFonts w:hint="eastAsia" w:ascii="仿宋" w:hAnsi="仿宋" w:eastAsia="仿宋" w:cs="仿宋"/>
          <w:b/>
          <w:kern w:val="0"/>
          <w:sz w:val="24"/>
          <w:u w:val="single"/>
          <w:lang w:val="zh-CN"/>
        </w:rPr>
      </w:pPr>
    </w:p>
    <w:p>
      <w:pPr>
        <w:rPr>
          <w:rFonts w:hint="eastAsia"/>
          <w:lang w:val="zh-CN"/>
        </w:rPr>
      </w:pPr>
    </w:p>
    <w:p>
      <w:pPr>
        <w:pStyle w:val="3"/>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4"/>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6"/>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4"/>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4"/>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lang w:val="en-US"/>
      </w:rPr>
    </w:pPr>
    <w:r>
      <w:rPr>
        <w:rFonts w:hint="eastAsia"/>
        <w:lang w:val="en-US"/>
      </w:rPr>
      <w:t>绍兴市人民医院医用透明敷料采购项目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lang w:val="en-US"/>
      </w:rPr>
      <w:t>绍兴市人民医院医用透明敷料采购项目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82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lang w:val="en-US"/>
      </w:rPr>
      <w:t>绍兴市人民医院医用透明敷料采购项目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5"/>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0F510DD"/>
    <w:rsid w:val="03D1329A"/>
    <w:rsid w:val="0A2A233E"/>
    <w:rsid w:val="10D54539"/>
    <w:rsid w:val="12F636C2"/>
    <w:rsid w:val="19CB4EF3"/>
    <w:rsid w:val="1A465C99"/>
    <w:rsid w:val="1B2D39EA"/>
    <w:rsid w:val="1CD12094"/>
    <w:rsid w:val="22767FB8"/>
    <w:rsid w:val="2B1A583B"/>
    <w:rsid w:val="2B547467"/>
    <w:rsid w:val="35626231"/>
    <w:rsid w:val="357F469A"/>
    <w:rsid w:val="379072A9"/>
    <w:rsid w:val="3A405C7B"/>
    <w:rsid w:val="3B62605C"/>
    <w:rsid w:val="3C30773C"/>
    <w:rsid w:val="40F92C38"/>
    <w:rsid w:val="51B939A4"/>
    <w:rsid w:val="59E807A2"/>
    <w:rsid w:val="5EC12277"/>
    <w:rsid w:val="60F635C7"/>
    <w:rsid w:val="61DF02F6"/>
    <w:rsid w:val="69B24315"/>
    <w:rsid w:val="718916D4"/>
    <w:rsid w:val="7A8227E7"/>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7">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qFormat/>
    <w:uiPriority w:val="0"/>
    <w:pPr>
      <w:spacing w:line="360" w:lineRule="auto"/>
    </w:p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List Number 3"/>
    <w:basedOn w:val="1"/>
    <w:qFormat/>
    <w:uiPriority w:val="0"/>
    <w:pPr>
      <w:numPr>
        <w:ilvl w:val="0"/>
        <w:numId w:val="2"/>
      </w:numPr>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1"/>
    <w:next w:val="11"/>
    <w:qFormat/>
    <w:uiPriority w:val="0"/>
    <w:rPr>
      <w:b/>
    </w:r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表正文"/>
    <w:basedOn w:val="1"/>
    <w:next w:val="16"/>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4</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2021-05-12T08:53:26Z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