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绍兴市人民医院食堂大宗食品用品采购</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pacing w:val="-12"/>
          <w:sz w:val="48"/>
          <w:szCs w:val="48"/>
        </w:rPr>
        <w:t>（配送服务）招标项目</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jc w:val="center"/>
        <w:rPr>
          <w:rFonts w:hint="eastAsia" w:ascii="仿宋" w:hAnsi="仿宋" w:eastAsia="仿宋" w:cs="仿宋"/>
          <w:color w:val="auto"/>
          <w:sz w:val="20"/>
          <w:szCs w:val="6"/>
        </w:rPr>
      </w:pPr>
      <w:r>
        <w:rPr>
          <w:rFonts w:hint="eastAsia" w:ascii="仿宋" w:hAnsi="仿宋" w:eastAsia="仿宋" w:cs="仿宋"/>
          <w:b/>
          <w:color w:val="auto"/>
          <w:sz w:val="28"/>
          <w:szCs w:val="28"/>
        </w:rPr>
        <w:t>招标编号:HCZB-2023-014</w:t>
      </w:r>
    </w:p>
    <w:tbl>
      <w:tblPr>
        <w:tblStyle w:val="43"/>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098142945"/>
              </w:rPr>
              <w:t>监督单</w:t>
            </w:r>
            <w:r>
              <w:rPr>
                <w:rFonts w:hint="eastAsia" w:ascii="仿宋" w:hAnsi="仿宋" w:eastAsia="仿宋" w:cs="仿宋"/>
                <w:color w:val="auto"/>
                <w:spacing w:val="1"/>
                <w:kern w:val="0"/>
                <w:sz w:val="28"/>
                <w:szCs w:val="28"/>
                <w:fitText w:val="1680" w:id="2098142945"/>
              </w:rPr>
              <w:t>位</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绍兴市卫生健康委员会</w:t>
            </w:r>
          </w:p>
        </w:tc>
      </w:tr>
    </w:tbl>
    <w:p>
      <w:pPr>
        <w:jc w:val="center"/>
        <w:rPr>
          <w:rFonts w:hint="eastAsia" w:ascii="仿宋" w:hAnsi="仿宋" w:eastAsia="仿宋" w:cs="仿宋"/>
          <w:b/>
          <w:color w:val="auto"/>
          <w:sz w:val="44"/>
          <w:szCs w:val="44"/>
        </w:rPr>
      </w:pPr>
    </w:p>
    <w:p>
      <w:pPr>
        <w:rPr>
          <w:rFonts w:hint="eastAsia" w:ascii="仿宋" w:hAnsi="仿宋" w:eastAsia="仿宋" w:cs="仿宋"/>
          <w:color w:val="auto"/>
          <w:sz w:val="28"/>
        </w:rPr>
      </w:pPr>
    </w:p>
    <w:p>
      <w:pPr>
        <w:rPr>
          <w:rFonts w:hint="eastAsia" w:ascii="仿宋" w:hAnsi="仿宋" w:eastAsia="仿宋" w:cs="仿宋"/>
          <w:color w:val="auto"/>
          <w:sz w:val="28"/>
        </w:rPr>
      </w:pPr>
    </w:p>
    <w:p>
      <w:pPr>
        <w:rPr>
          <w:rFonts w:hint="eastAsia" w:ascii="仿宋" w:hAnsi="仿宋" w:eastAsia="仿宋" w:cs="仿宋"/>
          <w:color w:val="auto"/>
          <w:sz w:val="28"/>
        </w:rPr>
      </w:pPr>
    </w:p>
    <w:p>
      <w:pPr>
        <w:rPr>
          <w:rFonts w:hint="eastAsia" w:ascii="仿宋" w:hAnsi="仿宋" w:eastAsia="仿宋" w:cs="仿宋"/>
          <w:color w:val="auto"/>
          <w:sz w:val="28"/>
        </w:rPr>
      </w:pPr>
    </w:p>
    <w:p>
      <w:pPr>
        <w:jc w:val="center"/>
        <w:rPr>
          <w:rFonts w:hint="eastAsia" w:ascii="仿宋" w:hAnsi="仿宋" w:eastAsia="仿宋" w:cs="仿宋"/>
          <w:color w:val="auto"/>
          <w:sz w:val="28"/>
        </w:rPr>
        <w:sectPr>
          <w:footerReference r:id="rId5" w:type="first"/>
          <w:headerReference r:id="rId3" w:type="default"/>
          <w:footerReference r:id="rId4" w:type="default"/>
          <w:pgSz w:w="11907" w:h="16840"/>
          <w:pgMar w:top="1474" w:right="1814" w:bottom="1474" w:left="1814" w:header="851" w:footer="851" w:gutter="0"/>
          <w:pgNumType w:start="2"/>
          <w:cols w:space="720" w:num="1"/>
          <w:titlePg/>
          <w:docGrid w:linePitch="286" w:charSpace="0"/>
        </w:sectPr>
      </w:pPr>
      <w:r>
        <w:rPr>
          <w:rFonts w:hint="eastAsia" w:ascii="仿宋" w:hAnsi="仿宋" w:eastAsia="仿宋" w:cs="仿宋"/>
          <w:color w:val="auto"/>
          <w:sz w:val="28"/>
        </w:rPr>
        <w:t>二零二三年   月</w:t>
      </w:r>
    </w:p>
    <w:p>
      <w:pPr>
        <w:jc w:val="center"/>
        <w:rPr>
          <w:rFonts w:hint="eastAsia" w:ascii="仿宋" w:hAnsi="仿宋" w:eastAsia="仿宋" w:cs="仿宋"/>
          <w:color w:val="auto"/>
          <w:sz w:val="28"/>
        </w:rPr>
      </w:pP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rPr>
        <w:t>华诚工程咨询集团有限公司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3"/>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项目编号：HCZB-2023-014</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项目名称：绍兴市人民医院食堂大宗食品用品采购（配送服务）招标项目</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预算金额（元）：/</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最高限价（元）：/</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69"/>
              <w:spacing w:afterLines="0" w:line="440" w:lineRule="exact"/>
              <w:ind w:firstLine="480"/>
              <w:rPr>
                <w:rFonts w:hint="eastAsia" w:ascii="仿宋" w:hAnsi="仿宋" w:eastAsia="仿宋" w:cs="仿宋"/>
                <w:color w:val="auto"/>
                <w:szCs w:val="24"/>
              </w:rPr>
            </w:pPr>
          </w:p>
          <w:tbl>
            <w:tblPr>
              <w:tblStyle w:val="43"/>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541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12"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w:t>
                  </w:r>
                </w:p>
              </w:tc>
              <w:tc>
                <w:tcPr>
                  <w:tcW w:w="5418"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标项名称</w:t>
                  </w:r>
                </w:p>
              </w:tc>
              <w:tc>
                <w:tcPr>
                  <w:tcW w:w="1735" w:type="dxa"/>
                  <w:vAlign w:val="center"/>
                </w:tcPr>
                <w:p>
                  <w:pPr>
                    <w:spacing w:line="320" w:lineRule="exact"/>
                    <w:jc w:val="center"/>
                    <w:rPr>
                      <w:rFonts w:hint="eastAsia" w:ascii="仿宋" w:hAnsi="仿宋" w:eastAsia="仿宋" w:cs="仿宋"/>
                      <w:b/>
                      <w:color w:val="auto"/>
                      <w:szCs w:val="21"/>
                    </w:rPr>
                  </w:pPr>
                  <w:r>
                    <w:rPr>
                      <w:rFonts w:hint="eastAsia" w:ascii="仿宋" w:hAnsi="仿宋" w:eastAsia="仿宋" w:cs="仿宋"/>
                      <w:b/>
                      <w:color w:val="auto"/>
                      <w:szCs w:val="21"/>
                    </w:rPr>
                    <w:t>采购预估金额（元）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01</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蔬菜类、米面制品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¥4,765,800.00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02</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粮油类（除米面制品）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¥5,415,000.00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03</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猪肉类、牛羊肉类、兔肉类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¥6,935,000.00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04</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禽类、禽蛋类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¥3,325,000.00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05</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水产类（包括淡水产和咸水产）、冻品类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¥4,940,000.00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06</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副食品类（除禽蛋类）、调料类、豆制品、水果类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¥5,810,800.00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07</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牛奶、零食、饮料、棒冰</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¥4,433,300.00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08</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百杂日用品、</w:t>
                  </w:r>
                  <w:r>
                    <w:rPr>
                      <w:rFonts w:hint="eastAsia" w:ascii="仿宋" w:hAnsi="仿宋" w:eastAsia="仿宋" w:cs="仿宋"/>
                      <w:bCs/>
                      <w:color w:val="auto"/>
                      <w:szCs w:val="21"/>
                    </w:rPr>
                    <w:t>烘焙原料类</w:t>
                  </w:r>
                  <w:r>
                    <w:rPr>
                      <w:rFonts w:hint="eastAsia" w:ascii="仿宋" w:hAnsi="仿宋" w:eastAsia="仿宋" w:cs="仿宋"/>
                      <w:color w:val="auto"/>
                      <w:szCs w:val="21"/>
                    </w:rPr>
                    <w:t>、应急、零星特物资类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¥1,900,000.00</w:t>
                  </w:r>
                </w:p>
              </w:tc>
            </w:tr>
          </w:tbl>
          <w:p>
            <w:pPr>
              <w:pStyle w:val="69"/>
              <w:spacing w:afterLines="0" w:line="440" w:lineRule="exact"/>
              <w:ind w:firstLine="0" w:firstLineChars="0"/>
              <w:rPr>
                <w:rFonts w:hint="eastAsia" w:ascii="仿宋" w:hAnsi="仿宋" w:eastAsia="仿宋" w:cs="仿宋"/>
                <w:color w:val="auto"/>
                <w:szCs w:val="24"/>
              </w:rPr>
            </w:pP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备注：无</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本项目（否）接受联合体投标。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rPr>
              <w:sym w:font="Wingdings" w:char="00A8"/>
            </w:r>
            <w:r>
              <w:rPr>
                <w:rFonts w:hint="eastAsia" w:ascii="仿宋" w:hAnsi="仿宋" w:eastAsia="仿宋" w:cs="仿宋"/>
                <w:color w:val="auto"/>
              </w:rPr>
              <w:t>无；</w:t>
            </w:r>
          </w:p>
          <w:p>
            <w:pPr>
              <w:spacing w:line="360" w:lineRule="auto"/>
              <w:ind w:firstLine="840" w:firstLineChars="400"/>
              <w:rPr>
                <w:rFonts w:hint="eastAsia" w:ascii="仿宋" w:hAnsi="仿宋" w:eastAsia="仿宋" w:cs="仿宋"/>
                <w:color w:val="auto"/>
                <w:sz w:val="24"/>
              </w:rPr>
            </w:pPr>
            <w:r>
              <w:rPr>
                <w:rFonts w:hint="eastAsia" w:ascii="仿宋" w:hAnsi="仿宋" w:eastAsia="仿宋" w:cs="仿宋"/>
                <w:color w:val="auto"/>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sdt>
                      <w:sdtPr>
                        <w:rPr>
                          <w:rFonts w:hint="eastAsia" w:ascii="仿宋" w:hAnsi="仿宋" w:eastAsia="仿宋" w:cs="仿宋"/>
                          <w:color w:val="auto"/>
                          <w:szCs w:val="21"/>
                        </w:rPr>
                        <w:id w:val="725337177"/>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pStyle w:val="69"/>
              <w:spacing w:afterLines="0" w:line="440" w:lineRule="exact"/>
              <w:ind w:firstLine="480"/>
              <w:rPr>
                <w:rFonts w:hint="eastAsia" w:ascii="仿宋" w:hAnsi="仿宋" w:eastAsia="仿宋" w:cs="仿宋"/>
                <w:color w:val="auto"/>
                <w:szCs w:val="24"/>
              </w:rPr>
            </w:pPr>
            <w:sdt>
              <w:sdtPr>
                <w:rPr>
                  <w:rFonts w:hint="eastAsia" w:ascii="仿宋" w:hAnsi="仿宋" w:eastAsia="仿宋" w:cs="仿宋"/>
                  <w:color w:val="auto"/>
                </w:rPr>
                <w:id w:val="34630645"/>
              </w:sdtPr>
              <w:sdtEndPr>
                <w:rPr>
                  <w:rFonts w:hint="eastAsia" w:ascii="仿宋" w:hAnsi="仿宋" w:eastAsia="仿宋" w:cs="仿宋"/>
                  <w:color w:val="auto"/>
                </w:rPr>
              </w:sdtEndPr>
              <w:sdtContent>
                <w:sdt>
                  <w:sdtPr>
                    <w:rPr>
                      <w:rFonts w:hint="eastAsia" w:ascii="仿宋" w:hAnsi="仿宋" w:eastAsia="仿宋" w:cs="仿宋"/>
                      <w:color w:val="auto"/>
                    </w:rPr>
                    <w:id w:val="279565517"/>
                  </w:sdtPr>
                  <w:sdtEndPr>
                    <w:rPr>
                      <w:rFonts w:hint="eastAsia" w:ascii="仿宋" w:hAnsi="仿宋" w:eastAsia="仿宋" w:cs="仿宋"/>
                      <w:color w:val="auto"/>
                    </w:rPr>
                  </w:sdtEndPr>
                  <w:sdtContent>
                    <w:r>
                      <w:rPr>
                        <w:rFonts w:hint="eastAsia" w:ascii="仿宋" w:hAnsi="仿宋" w:eastAsia="仿宋" w:cs="仿宋"/>
                        <w:color w:val="auto"/>
                      </w:rPr>
                      <w:t>☐</w:t>
                    </w:r>
                  </w:sdtContent>
                </w:sdt>
              </w:sdtContent>
            </w:sdt>
            <w:r>
              <w:rPr>
                <w:rFonts w:hint="eastAsia" w:ascii="仿宋" w:hAnsi="仿宋" w:eastAsia="仿宋" w:cs="仿宋"/>
                <w:color w:val="auto"/>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rPr>
              <w:t>如果供应商本身提供所有标的均由中小企业制造、承建或承接，视同符合了资格条件，无需再向中小企业分包，无需提供分包意向协议</w:t>
            </w:r>
            <w:r>
              <w:rPr>
                <w:rFonts w:hint="eastAsia" w:ascii="仿宋" w:hAnsi="仿宋" w:eastAsia="仿宋" w:cs="仿宋"/>
                <w:color w:val="auto"/>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4.本项目的特定资格要求：投标人具有有效食品经营许可证或食品生产许可证，许可项目与生产经营品种相一致。</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四、获取招标文件时间、地点及方式：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2023</w:t>
            </w:r>
            <w:r>
              <w:rPr>
                <w:rFonts w:hint="eastAsia" w:ascii="仿宋" w:hAnsi="仿宋" w:eastAsia="仿宋" w:cs="仿宋"/>
                <w:color w:val="auto"/>
                <w:sz w:val="24"/>
              </w:rPr>
              <w:t>年月日上午8:30—11:30；下午 14:00～17:00 (双休日及法定节假日除外）地址：</w:t>
            </w:r>
            <w:r>
              <w:rPr>
                <w:rFonts w:hint="eastAsia" w:ascii="仿宋" w:hAnsi="仿宋" w:eastAsia="仿宋" w:cs="仿宋"/>
                <w:color w:val="auto"/>
                <w:kern w:val="0"/>
                <w:sz w:val="24"/>
              </w:rPr>
              <w:t>绍兴市越城区越西路800号金德隆商业中心8幢二楼华诚工程咨询集团有限公司。</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五、投标截止时间及地点：供应商应于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年月日时以前将投标文件密封送交到</w:t>
            </w:r>
            <w:r>
              <w:rPr>
                <w:rFonts w:hint="eastAsia" w:ascii="仿宋" w:hAnsi="仿宋" w:eastAsia="仿宋" w:cs="仿宋"/>
                <w:color w:val="auto"/>
                <w:kern w:val="0"/>
                <w:sz w:val="24"/>
              </w:rPr>
              <w:t>绍兴市越城区越西路800号金德隆商业中心8幢二楼华诚工程咨询集团有限公司二楼开标室</w:t>
            </w:r>
            <w:r>
              <w:rPr>
                <w:rFonts w:hint="eastAsia" w:ascii="仿宋" w:hAnsi="仿宋" w:eastAsia="仿宋" w:cs="仿宋"/>
                <w:color w:val="auto"/>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或逾期送达不予接收。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2023</w:t>
            </w:r>
            <w:r>
              <w:rPr>
                <w:rFonts w:hint="eastAsia" w:ascii="仿宋" w:hAnsi="仿宋" w:eastAsia="仿宋" w:cs="仿宋"/>
                <w:color w:val="auto"/>
                <w:sz w:val="24"/>
              </w:rPr>
              <w:t>年月日时前（以签收时间为准，如在规定时间内未收到投标文件，则作自动放弃投标处理，由投标供应商自行承担责任），邮寄地址：</w:t>
            </w:r>
            <w:r>
              <w:rPr>
                <w:rFonts w:hint="eastAsia" w:ascii="仿宋" w:hAnsi="仿宋" w:eastAsia="仿宋" w:cs="仿宋"/>
                <w:color w:val="auto"/>
                <w:kern w:val="0"/>
                <w:sz w:val="24"/>
              </w:rPr>
              <w:t xml:space="preserve">绍兴市越城区越西路800号金德隆商业中心8幢二楼华诚工程咨询集团有限公司二楼开标室 </w:t>
            </w:r>
            <w:r>
              <w:rPr>
                <w:rFonts w:hint="eastAsia" w:ascii="仿宋" w:hAnsi="仿宋" w:eastAsia="仿宋" w:cs="仿宋"/>
                <w:color w:val="auto"/>
                <w:sz w:val="24"/>
              </w:rPr>
              <w:t>联系人：毕龙梅   电话：15068545458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年月日时以前将投标文件密封送交</w:t>
            </w:r>
            <w:r>
              <w:rPr>
                <w:rFonts w:hint="eastAsia" w:ascii="仿宋" w:hAnsi="仿宋" w:eastAsia="仿宋" w:cs="仿宋"/>
                <w:color w:val="auto"/>
                <w:kern w:val="0"/>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 xml:space="preserve">或逾期送达不予接收，应即交即走，不参加后续开标会。现场递交地址： </w:t>
            </w:r>
            <w:r>
              <w:rPr>
                <w:rFonts w:hint="eastAsia" w:ascii="仿宋" w:hAnsi="仿宋" w:eastAsia="仿宋" w:cs="仿宋"/>
                <w:color w:val="auto"/>
                <w:kern w:val="0"/>
                <w:sz w:val="24"/>
              </w:rPr>
              <w:t>绍兴市越城区越西路800号金德隆商业中心8幢二楼华诚工程咨询集团有限公司二楼开标室。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widowControl w:val="0"/>
              <w:snapToGrid/>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项目联系人（询问）：</w:t>
            </w:r>
            <w:r>
              <w:rPr>
                <w:rFonts w:hint="eastAsia" w:ascii="仿宋" w:hAnsi="仿宋" w:eastAsia="仿宋" w:cs="仿宋"/>
                <w:color w:val="auto"/>
              </w:rPr>
              <w:t>许红艳</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w:t>
            </w:r>
            <w:r>
              <w:rPr>
                <w:rFonts w:hint="eastAsia" w:ascii="仿宋" w:hAnsi="仿宋" w:eastAsia="仿宋" w:cs="仿宋"/>
                <w:color w:val="auto"/>
              </w:rPr>
              <w:t>15325259862</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质疑联系人：陈燕</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质疑联系方式：13957531966</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69"/>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rPr>
              <w:t>华诚工程咨询集团有限公司</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9"/>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项目联系人（询问）：毕龙梅</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项目联系方式（询问）：15068545458</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 詹栋炯</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 3.同级采购监督管理部门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：茅艳萍     </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69"/>
              <w:widowControl w:val="0"/>
              <w:spacing w:afterLines="0" w:line="312" w:lineRule="auto"/>
              <w:ind w:firstLine="480"/>
              <w:rPr>
                <w:rFonts w:hint="eastAsia" w:ascii="仿宋" w:hAnsi="仿宋" w:eastAsia="仿宋" w:cs="仿宋"/>
                <w:color w:val="auto"/>
                <w:szCs w:val="24"/>
              </w:rPr>
            </w:pPr>
          </w:p>
          <w:p>
            <w:pPr>
              <w:pStyle w:val="69"/>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rPr>
        <w:t>公告时间：2023年  月  日</w:t>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投标文件份数：正本一份，副本六份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不组织，供应商可自行联系采购人进行现场考察。</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87485638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批发业</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340" w:lineRule="exac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（1）各标项的采购预估金额作为代理服务费的计算基数，参照《招标代理服务收费管理暂行办法》计价格[2002]1980号文和发改价格[2011]534号文件收费标准*60%计取，不足2000元按2000元计取，超过15000元按15000元计。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rPr>
                <w:rFonts w:hint="eastAsia"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w:t>
      </w:r>
      <w:r>
        <w:rPr>
          <w:rFonts w:hint="eastAsia" w:ascii="仿宋" w:hAnsi="仿宋" w:eastAsia="仿宋" w:cs="仿宋"/>
          <w:color w:val="auto"/>
          <w:sz w:val="24"/>
          <w:u w:val="single"/>
        </w:rPr>
        <w:t>华诚工程咨询集团有限公司</w:t>
      </w:r>
      <w:r>
        <w:rPr>
          <w:rFonts w:hint="eastAsia" w:ascii="仿宋" w:hAnsi="仿宋" w:eastAsia="仿宋" w:cs="仿宋"/>
          <w:color w:val="auto"/>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3"/>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3"/>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7"/>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7"/>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5"/>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2.1.3中小企业声明函（格式见第六部分附件）；</w:t>
      </w:r>
    </w:p>
    <w:p>
      <w:pPr>
        <w:pStyle w:val="25"/>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2.2.3法定代表人和授权代表的身份证复印件（格式见第六部分附件）；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2.2.5供应商基本资格条件书面承诺函（格式见第六部分附件）；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2.2.6供应商特定资格条件（如项目要求）的有关证明材料（复印件）；</w:t>
      </w:r>
    </w:p>
    <w:p>
      <w:pPr>
        <w:pStyle w:val="24"/>
        <w:snapToGrid w:val="0"/>
        <w:spacing w:line="440" w:lineRule="exact"/>
        <w:rPr>
          <w:rFonts w:hint="eastAsia" w:ascii="仿宋" w:hAnsi="仿宋" w:eastAsia="仿宋" w:cs="仿宋"/>
          <w:color w:val="auto"/>
          <w:sz w:val="24"/>
          <w:lang w:val="zh-CN"/>
        </w:rPr>
      </w:pPr>
      <w:bookmarkStart w:id="3" w:name="_Hlt68072998"/>
      <w:bookmarkEnd w:id="3"/>
      <w:bookmarkStart w:id="4" w:name="_Hlt68403820"/>
      <w:bookmarkEnd w:id="4"/>
      <w:bookmarkStart w:id="5" w:name="_Hlt68073093"/>
      <w:bookmarkEnd w:id="5"/>
      <w:r>
        <w:rPr>
          <w:rFonts w:hint="eastAsia" w:ascii="仿宋" w:hAnsi="仿宋" w:eastAsia="仿宋" w:cs="仿宋"/>
          <w:color w:val="auto"/>
          <w:sz w:val="24"/>
        </w:rPr>
        <w:t>2.2.7</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6</w:t>
      </w:r>
      <w:r>
        <w:rPr>
          <w:rFonts w:hint="eastAsia" w:ascii="仿宋" w:hAnsi="仿宋" w:eastAsia="仿宋" w:cs="仿宋"/>
          <w:color w:val="auto"/>
          <w:kern w:val="0"/>
          <w:sz w:val="24"/>
          <w:lang w:val="zh-CN"/>
        </w:rPr>
        <w:t>验收方案；</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2.2.19联合协议（如有）；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2.2.20分包意向协议（如有）；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2.2.21中小企业声明函（格式见第六部分附件）；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4"/>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4"/>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六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953"/>
      <w:bookmarkStart w:id="7" w:name="_Toc84325929"/>
      <w:bookmarkStart w:id="8" w:name="_Toc81372776"/>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4.2评标委员会由采购人代表和有关方面的专家组成，成员人数为七人以上单数。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4"/>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3"/>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3"/>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50"/>
          <w:rFonts w:hint="eastAsia" w:ascii="仿宋" w:hAnsi="仿宋" w:eastAsia="仿宋" w:cs="仿宋"/>
          <w:color w:val="auto"/>
          <w:kern w:val="0"/>
        </w:rPr>
        <w:t>http://zfcg.czt.zj.gov.cn/</w:t>
      </w:r>
      <w:r>
        <w:rPr>
          <w:rStyle w:val="50"/>
          <w:rFonts w:hint="eastAsia" w:ascii="仿宋" w:hAnsi="仿宋" w:eastAsia="仿宋" w:cs="仿宋"/>
          <w:color w:val="auto"/>
          <w:kern w:val="0"/>
        </w:rPr>
        <w:fldChar w:fldCharType="end"/>
      </w:r>
      <w:r>
        <w:rPr>
          <w:rFonts w:hint="eastAsia" w:ascii="仿宋" w:hAnsi="仿宋" w:eastAsia="仿宋" w:cs="仿宋"/>
          <w:color w:val="auto"/>
        </w:rPr>
        <w:t>，绍兴市人民医院官网http://www.sxrmyy.cn/，绍兴市卫健委官网http://sxws.sx.gov.cn/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中标额的1%作为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4"/>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6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6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4"/>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pacing w:before="120" w:beforeLines="50" w:after="120" w:afterLines="50"/>
        <w:rPr>
          <w:rFonts w:hint="eastAsia" w:ascii="仿宋" w:hAnsi="仿宋" w:eastAsia="仿宋" w:cs="仿宋"/>
          <w:b/>
          <w:color w:val="auto"/>
          <w:sz w:val="24"/>
        </w:rPr>
      </w:pPr>
      <w:bookmarkStart w:id="9" w:name="_Toc151354173"/>
      <w:bookmarkStart w:id="10" w:name="_Toc80157775"/>
      <w:bookmarkStart w:id="11" w:name="_Toc84325981"/>
      <w:bookmarkStart w:id="12" w:name="_Toc81372964"/>
      <w:bookmarkStart w:id="13" w:name="_Toc81372787"/>
      <w:r>
        <w:rPr>
          <w:rFonts w:hint="eastAsia" w:ascii="仿宋" w:hAnsi="仿宋" w:eastAsia="仿宋" w:cs="仿宋"/>
          <w:b/>
          <w:color w:val="auto"/>
          <w:sz w:val="24"/>
        </w:rPr>
        <w:t>8.招标项目设备名称及数量：</w:t>
      </w:r>
    </w:p>
    <w:tbl>
      <w:tblPr>
        <w:tblStyle w:val="43"/>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576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50"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w:t>
            </w:r>
          </w:p>
        </w:tc>
        <w:tc>
          <w:tcPr>
            <w:tcW w:w="5768"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标项名称</w:t>
            </w:r>
          </w:p>
        </w:tc>
        <w:tc>
          <w:tcPr>
            <w:tcW w:w="1735"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采购预估金额（元）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01</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蔬菜类、米面制品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¥4,765,800.00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02</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粮油类（除米面制品）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¥5,415,000.00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03</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猪肉类、牛羊肉类、兔肉类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¥6,935,000.00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04</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禽类、禽蛋类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¥3,325,000.00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05</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水产类（包括淡水产和咸水产）、冻品类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¥4,940,000.00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06</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副食品类（除禽蛋类）、调料类、豆制品、水果类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¥5,810,800.00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07</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牛奶、零食、饮料、棒冰</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¥4,433,300.00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08</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百杂日用品、烘焙原料类、应急、零星特物资类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¥1,900,000.00</w:t>
            </w:r>
          </w:p>
        </w:tc>
      </w:tr>
    </w:tbl>
    <w:p>
      <w:pPr>
        <w:spacing w:line="400" w:lineRule="exact"/>
        <w:rPr>
          <w:rFonts w:hint="eastAsia" w:ascii="仿宋" w:hAnsi="仿宋" w:eastAsia="仿宋" w:cs="仿宋"/>
          <w:bCs/>
          <w:color w:val="auto"/>
          <w:sz w:val="24"/>
        </w:rPr>
      </w:pPr>
      <w:r>
        <w:rPr>
          <w:rFonts w:hint="eastAsia" w:ascii="仿宋" w:hAnsi="仿宋" w:eastAsia="仿宋" w:cs="仿宋"/>
          <w:b/>
          <w:color w:val="auto"/>
          <w:sz w:val="24"/>
        </w:rPr>
        <w:t>注：</w:t>
      </w:r>
      <w:r>
        <w:rPr>
          <w:rFonts w:hint="eastAsia" w:ascii="仿宋" w:hAnsi="仿宋" w:eastAsia="仿宋" w:cs="仿宋"/>
          <w:bCs/>
          <w:color w:val="auto"/>
          <w:sz w:val="24"/>
        </w:rPr>
        <w:t>1.采购金额为预估值，采购数量根据医院实际需求确定。</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2.投标单位允许报名其中一个标段或多个标段，也允许中标一个标段或多个标段。</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3.供应商报名多个标段投标，投标文件必须按每个标段分别制作，不允许多标段打包制作。</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 xml:space="preserve">4、米面制品类：指面食类、馄饨皮、饺子皮、年糕、面疙瘩等同类产品。 </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5.禽蛋类：指鸡蛋、鸭蛋、鹌鹑蛋、咸蛋、皮蛋等同类产品。</w:t>
      </w:r>
    </w:p>
    <w:tbl>
      <w:tblPr>
        <w:tblStyle w:val="43"/>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 w:val="24"/>
                <w:highlight w:val="red"/>
              </w:rPr>
            </w:pPr>
            <w:r>
              <w:rPr>
                <w:rFonts w:hint="eastAsia" w:ascii="仿宋" w:hAnsi="仿宋" w:eastAsia="仿宋" w:cs="仿宋"/>
                <w:b/>
                <w:color w:val="auto"/>
                <w:szCs w:val="21"/>
              </w:rPr>
              <w:t>一、适用范围：绍兴市人民医院职工食堂和营养食堂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color w:val="auto"/>
                <w:szCs w:val="21"/>
              </w:rPr>
              <w:t>二、服务期限：预估19个月，支付金额达到采购预估金额或服务期到期，以先到达的为截止日期。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b/>
                <w:color w:val="auto"/>
                <w:szCs w:val="21"/>
              </w:rPr>
            </w:pPr>
            <w:r>
              <w:rPr>
                <w:rFonts w:hint="eastAsia" w:ascii="仿宋" w:hAnsi="仿宋" w:eastAsia="仿宋" w:cs="仿宋"/>
                <w:b/>
                <w:color w:val="auto"/>
                <w:szCs w:val="21"/>
              </w:rPr>
              <w:t>三、产品主要技术参数要求（服务要求）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ind w:firstLine="105" w:firstLineChars="50"/>
              <w:rPr>
                <w:rFonts w:hint="eastAsia" w:ascii="仿宋" w:hAnsi="仿宋" w:eastAsia="仿宋" w:cs="仿宋"/>
                <w:color w:val="auto"/>
                <w:szCs w:val="21"/>
              </w:rPr>
            </w:pPr>
            <w:r>
              <w:rPr>
                <w:rFonts w:hint="eastAsia" w:ascii="仿宋" w:hAnsi="仿宋" w:eastAsia="仿宋" w:cs="仿宋"/>
                <w:b/>
                <w:bCs/>
                <w:color w:val="auto"/>
                <w:szCs w:val="21"/>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01标：</w:t>
            </w:r>
            <w:r>
              <w:rPr>
                <w:rFonts w:hint="eastAsia" w:ascii="仿宋" w:hAnsi="仿宋" w:eastAsia="仿宋" w:cs="仿宋"/>
                <w:color w:val="auto"/>
                <w:szCs w:val="21"/>
              </w:rPr>
              <w:t>1、蔬菜类必须新鲜、完整、去皮、净重（去包装或保护层）,小青菜要求装框，符合国家质量标准，具有一定规模的蔬菜定点种植基地或有稳定的供菜基地证明等；具有履行合同所必须的独立的仓储场所；具备农药残留检测设备（有专人负责），每次配送提供相关产品的检验合格报告。</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若提供现场净菜服务人员，具体工作时间和工作内容由采购方决定，服务不符合采购方要求，责令整改未果，每发现或查实一次，罚款500元，采购方有权在任一应支付给中标单位的款项中扣除该款，不足扣除的有权追偿。</w:t>
            </w:r>
          </w:p>
          <w:p>
            <w:pPr>
              <w:snapToGrid w:val="0"/>
              <w:spacing w:line="360" w:lineRule="auto"/>
              <w:rPr>
                <w:rFonts w:hint="eastAsia" w:ascii="仿宋" w:hAnsi="仿宋" w:eastAsia="仿宋" w:cs="仿宋"/>
                <w:color w:val="auto"/>
              </w:rPr>
            </w:pPr>
            <w:r>
              <w:rPr>
                <w:rFonts w:hint="eastAsia" w:ascii="仿宋" w:hAnsi="仿宋" w:eastAsia="仿宋" w:cs="仿宋"/>
                <w:color w:val="auto"/>
                <w:szCs w:val="21"/>
              </w:rPr>
              <w:t>3.米面制品具有SC食品质量安全生产许可证，有监督部门提供的检测报告，保证新鲜度，无异味、无黑点、外包装清洁卫生。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02标：</w:t>
            </w:r>
            <w:r>
              <w:rPr>
                <w:rFonts w:hint="eastAsia" w:ascii="仿宋" w:hAnsi="仿宋" w:eastAsia="仿宋" w:cs="仿宋"/>
                <w:color w:val="auto"/>
                <w:szCs w:val="21"/>
              </w:rPr>
              <w:t>1.大米必须符合GB/T1354标准，具有SC食品生产许可证；必须是当年或当期新米，达到优质大米质量指标；提供批次产品检验合格报告。</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2.食用油、面粉类必须具有SC食品质量安全生产许可证，有监督部门提供的检测报告，要有生产日期、保质期、净重等标识。产品在常温下交货时的剩余保质期应不得超出生产厂商标注保质期限的三分之二时间。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03标：1.</w:t>
            </w:r>
            <w:r>
              <w:rPr>
                <w:rFonts w:hint="eastAsia" w:ascii="仿宋" w:hAnsi="仿宋" w:eastAsia="仿宋" w:cs="仿宋"/>
                <w:color w:val="auto"/>
                <w:szCs w:val="21"/>
              </w:rPr>
              <w:t>猪肉类必须提供热鲜肉，观感好，来源大型无公害养殖基地或稳定的供肉基地，需定点屠宰。动物检疫符合国家肉类食品质量安全标准，猪肉必须盖有蓝色的动物检验检疫证明。提供相关进货渠道和合格检验证明。若提供现场切配服务人员，具体工作时间和工作内容由采购方决定，服务不符合采购方要求，责令整改未果，每发现或查实一次，罚款500元，采购方有权在任一应支付给中标单位的款项中扣除该款，不足扣除的有权追偿。</w:t>
            </w:r>
          </w:p>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2.</w:t>
            </w:r>
            <w:r>
              <w:rPr>
                <w:rFonts w:hint="eastAsia" w:ascii="仿宋" w:hAnsi="仿宋" w:eastAsia="仿宋" w:cs="仿宋"/>
                <w:color w:val="auto"/>
                <w:szCs w:val="21"/>
              </w:rPr>
              <w:t>牛羊肉类必须新鲜，观感好，来源大型无公害养殖基地或稳定的供肉基地，需定点屠宰。动物检疫符合国家肉类食品质量安全标准。提供相关进货渠道和合格检验证明。</w:t>
            </w:r>
          </w:p>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3.</w:t>
            </w:r>
            <w:r>
              <w:rPr>
                <w:rFonts w:hint="eastAsia" w:ascii="仿宋" w:hAnsi="仿宋" w:eastAsia="仿宋" w:cs="仿宋"/>
                <w:color w:val="auto"/>
                <w:szCs w:val="21"/>
              </w:rPr>
              <w:t>兔肉必须新鲜，观感好，来源大型无公害养殖基地或稳定的供肉基地，需定点屠宰。动物检疫符合国家肉类食品质量安全标准。提供相关进货渠道和合格检验证明。</w:t>
            </w:r>
          </w:p>
          <w:p>
            <w:pPr>
              <w:snapToGrid w:val="0"/>
              <w:spacing w:line="360" w:lineRule="auto"/>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04标：</w:t>
            </w:r>
            <w:r>
              <w:rPr>
                <w:rFonts w:hint="eastAsia" w:ascii="仿宋" w:hAnsi="仿宋" w:eastAsia="仿宋" w:cs="仿宋"/>
                <w:color w:val="auto"/>
                <w:szCs w:val="21"/>
              </w:rPr>
              <w:t>家禽类必须定点屠宰，净膛干净，有检验检疫合格证明。禽鲜蛋要求新鲜，质量及其标识应符合国家标准，并提供相关的检测材料，可追溯来源。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05标：</w:t>
            </w:r>
            <w:r>
              <w:rPr>
                <w:rFonts w:hint="eastAsia" w:ascii="仿宋" w:hAnsi="仿宋" w:eastAsia="仿宋" w:cs="仿宋"/>
                <w:color w:val="auto"/>
                <w:szCs w:val="21"/>
              </w:rPr>
              <w:t>1.水产类：必须鲜活，观感好，大小符合要求，水产类来源于大型无公害水产养殖基地，具有质量检测报告，要求活鱼配送到采购方指定地点，称重验收后现场进行粗加工。鲜活水产品必须到采购方指定地点，现场进行活杀。</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w:t>
            </w:r>
            <w:r>
              <w:rPr>
                <w:rFonts w:hint="eastAsia" w:ascii="仿宋" w:hAnsi="仿宋" w:eastAsia="仿宋" w:cs="仿宋"/>
                <w:color w:val="auto"/>
              </w:rPr>
              <w:t>冻品类必须具有SC食品生产许可证，有监督部门提供的检测报告，要有生产日期、保质期、净重等标识。不得配送</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的冷冻食品。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122" w:type="dxa"/>
            <w:vAlign w:val="center"/>
          </w:tcPr>
          <w:p>
            <w:pPr>
              <w:snapToGrid w:val="0"/>
              <w:spacing w:line="360" w:lineRule="auto"/>
              <w:rPr>
                <w:rFonts w:hint="eastAsia" w:ascii="仿宋" w:hAnsi="仿宋" w:eastAsia="仿宋" w:cs="仿宋"/>
                <w:bCs/>
                <w:color w:val="auto"/>
                <w:szCs w:val="21"/>
              </w:rPr>
            </w:pPr>
            <w:r>
              <w:rPr>
                <w:rFonts w:hint="eastAsia" w:ascii="仿宋" w:hAnsi="仿宋" w:eastAsia="仿宋" w:cs="仿宋"/>
                <w:b/>
                <w:bCs/>
                <w:color w:val="auto"/>
                <w:szCs w:val="21"/>
              </w:rPr>
              <w:t>06标：</w:t>
            </w:r>
            <w:r>
              <w:rPr>
                <w:rFonts w:hint="eastAsia" w:ascii="仿宋" w:hAnsi="仿宋" w:eastAsia="仿宋" w:cs="仿宋"/>
                <w:color w:val="auto"/>
              </w:rPr>
              <w:t>1.</w:t>
            </w:r>
            <w:r>
              <w:rPr>
                <w:rFonts w:hint="eastAsia" w:ascii="仿宋" w:hAnsi="仿宋" w:eastAsia="仿宋" w:cs="仿宋"/>
                <w:bCs/>
                <w:color w:val="auto"/>
                <w:szCs w:val="21"/>
              </w:rPr>
              <w:t>副食品类（除禽蛋类）</w:t>
            </w:r>
            <w:r>
              <w:rPr>
                <w:rFonts w:hint="eastAsia" w:ascii="仿宋" w:hAnsi="仿宋" w:eastAsia="仿宋" w:cs="仿宋"/>
                <w:color w:val="auto"/>
              </w:rPr>
              <w:t>必须具有SC食品生产许可证，有产品合格证，要有生产日期、保质期、净重等标识。</w:t>
            </w:r>
            <w:r>
              <w:rPr>
                <w:rFonts w:hint="eastAsia" w:ascii="仿宋" w:hAnsi="仿宋" w:eastAsia="仿宋" w:cs="仿宋"/>
                <w:bCs/>
                <w:color w:val="auto"/>
                <w:szCs w:val="21"/>
              </w:rPr>
              <w:t>副食品类（除禽蛋类）</w:t>
            </w:r>
            <w:r>
              <w:rPr>
                <w:rFonts w:hint="eastAsia" w:ascii="仿宋" w:hAnsi="仿宋" w:eastAsia="仿宋" w:cs="仿宋"/>
                <w:color w:val="auto"/>
              </w:rPr>
              <w:t>必须为正规厂家生产的产品。产品在常温下交货时的剩余保质期不得</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w:t>
            </w:r>
          </w:p>
          <w:p>
            <w:pPr>
              <w:snapToGrid w:val="0"/>
              <w:spacing w:line="360" w:lineRule="auto"/>
              <w:rPr>
                <w:rFonts w:hint="eastAsia" w:ascii="仿宋" w:hAnsi="仿宋" w:eastAsia="仿宋" w:cs="仿宋"/>
                <w:color w:val="auto"/>
              </w:rPr>
            </w:pPr>
            <w:r>
              <w:rPr>
                <w:rFonts w:hint="eastAsia" w:ascii="仿宋" w:hAnsi="仿宋" w:eastAsia="仿宋" w:cs="仿宋"/>
                <w:bCs/>
                <w:color w:val="auto"/>
                <w:szCs w:val="21"/>
              </w:rPr>
              <w:t>2.调料类</w:t>
            </w:r>
            <w:r>
              <w:rPr>
                <w:rFonts w:hint="eastAsia" w:ascii="仿宋" w:hAnsi="仿宋" w:eastAsia="仿宋" w:cs="仿宋"/>
                <w:color w:val="auto"/>
              </w:rPr>
              <w:t>必须具有SC食品生产许可证，有产品合格证，要有生产日期、保质期、净重等标识。干货产品必须为正规厂家生产的产品。产品在常温下交货时的剩余保质期不得</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w:t>
            </w:r>
          </w:p>
          <w:p>
            <w:pPr>
              <w:snapToGrid w:val="0"/>
              <w:spacing w:line="360" w:lineRule="auto"/>
              <w:rPr>
                <w:rFonts w:hint="eastAsia" w:ascii="仿宋" w:hAnsi="仿宋" w:eastAsia="仿宋" w:cs="仿宋"/>
                <w:color w:val="auto"/>
              </w:rPr>
            </w:pPr>
            <w:r>
              <w:rPr>
                <w:rFonts w:hint="eastAsia" w:ascii="仿宋" w:hAnsi="仿宋" w:eastAsia="仿宋" w:cs="仿宋"/>
                <w:color w:val="auto"/>
              </w:rPr>
              <w:t>3.豆制品必须具有SC食品生产许可证，有监督部门提供的检测报告，要有生产日期、保质期、净重等标识。不得配送</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的冷冻食品。</w:t>
            </w:r>
          </w:p>
          <w:p>
            <w:pPr>
              <w:snapToGrid w:val="0"/>
              <w:spacing w:line="360" w:lineRule="auto"/>
              <w:rPr>
                <w:rFonts w:hint="eastAsia" w:ascii="仿宋" w:hAnsi="仿宋" w:eastAsia="仿宋" w:cs="仿宋"/>
                <w:color w:val="auto"/>
              </w:rPr>
            </w:pPr>
            <w:r>
              <w:rPr>
                <w:rFonts w:hint="eastAsia" w:ascii="仿宋" w:hAnsi="仿宋" w:eastAsia="仿宋" w:cs="仿宋"/>
                <w:color w:val="auto"/>
                <w:szCs w:val="21"/>
              </w:rPr>
              <w:t>4.水果类：同类品种水果大体匀称，需保证新鲜、丰满、无变质，成熟度适中，农药残留量不得超过国家相关规定，符合食品卫生标准。具备农药残留检测设备（有专人负责），每次配送提供相关产品的检验合格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b/>
                <w:bCs/>
                <w:color w:val="auto"/>
                <w:szCs w:val="21"/>
              </w:rPr>
              <w:t>07标：</w:t>
            </w:r>
            <w:r>
              <w:rPr>
                <w:rFonts w:hint="eastAsia" w:ascii="仿宋" w:hAnsi="仿宋" w:eastAsia="仿宋" w:cs="仿宋"/>
                <w:bCs/>
                <w:color w:val="auto"/>
                <w:szCs w:val="21"/>
              </w:rPr>
              <w:t>1.牛奶、零食、饮料、棒冰</w:t>
            </w:r>
            <w:r>
              <w:rPr>
                <w:rFonts w:hint="eastAsia" w:ascii="仿宋" w:hAnsi="仿宋" w:eastAsia="仿宋" w:cs="仿宋"/>
                <w:color w:val="auto"/>
                <w:szCs w:val="21"/>
              </w:rPr>
              <w:t>具有SC食品质量安全生产许可证，有产品合格证，要有生产日期、保质期、净重等标识，产品在交货时的剩余保质期不得超出生产厂商标注保质期限的三分之二时间。</w:t>
            </w:r>
          </w:p>
          <w:p>
            <w:pPr>
              <w:spacing w:line="360" w:lineRule="auto"/>
              <w:rPr>
                <w:rFonts w:hint="eastAsia" w:ascii="仿宋" w:hAnsi="仿宋" w:eastAsia="仿宋" w:cs="仿宋"/>
                <w:color w:val="auto"/>
                <w:szCs w:val="21"/>
              </w:rPr>
            </w:pPr>
            <w:r>
              <w:rPr>
                <w:rFonts w:hint="eastAsia" w:ascii="仿宋" w:hAnsi="仿宋" w:eastAsia="仿宋" w:cs="仿宋"/>
                <w:color w:val="auto"/>
                <w:szCs w:val="21"/>
              </w:rPr>
              <w:t>2.投标人应按采购人推荐品牌提供食品，如提供其他同档次以上品牌，需经采购人认可。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b/>
                <w:bCs/>
                <w:color w:val="auto"/>
                <w:szCs w:val="21"/>
              </w:rPr>
              <w:t>08标：</w:t>
            </w:r>
            <w:r>
              <w:rPr>
                <w:rFonts w:hint="eastAsia" w:ascii="仿宋" w:hAnsi="仿宋" w:eastAsia="仿宋" w:cs="仿宋"/>
                <w:color w:val="auto"/>
                <w:szCs w:val="21"/>
              </w:rPr>
              <w:t>1.百杂日用品类、</w:t>
            </w:r>
            <w:r>
              <w:rPr>
                <w:rFonts w:hint="eastAsia" w:ascii="仿宋" w:hAnsi="仿宋" w:eastAsia="仿宋" w:cs="仿宋"/>
                <w:bCs/>
                <w:color w:val="auto"/>
                <w:szCs w:val="21"/>
              </w:rPr>
              <w:t>烘焙原料类</w:t>
            </w:r>
            <w:r>
              <w:rPr>
                <w:rFonts w:hint="eastAsia" w:ascii="仿宋" w:hAnsi="仿宋" w:eastAsia="仿宋" w:cs="仿宋"/>
                <w:color w:val="auto"/>
                <w:szCs w:val="21"/>
              </w:rPr>
              <w:t>在绍兴地区必须具有实际经营配送点，经营范围含食品、农产品、日用百货等品类等，所有食堂用品质量必须达到合格，符合国家相关标准。</w:t>
            </w:r>
          </w:p>
          <w:p>
            <w:pPr>
              <w:spacing w:line="360" w:lineRule="auto"/>
              <w:rPr>
                <w:rFonts w:hint="eastAsia" w:ascii="仿宋" w:hAnsi="仿宋" w:eastAsia="仿宋" w:cs="仿宋"/>
                <w:color w:val="auto"/>
                <w:szCs w:val="21"/>
              </w:rPr>
            </w:pPr>
            <w:r>
              <w:rPr>
                <w:rFonts w:hint="eastAsia" w:ascii="仿宋" w:hAnsi="仿宋" w:eastAsia="仿宋" w:cs="仿宋"/>
                <w:color w:val="auto"/>
                <w:szCs w:val="21"/>
              </w:rPr>
              <w:t>2.</w:t>
            </w:r>
            <w:r>
              <w:rPr>
                <w:rFonts w:hint="eastAsia" w:ascii="仿宋" w:hAnsi="仿宋" w:eastAsia="仿宋" w:cs="仿宋"/>
                <w:bCs/>
                <w:color w:val="auto"/>
                <w:szCs w:val="21"/>
              </w:rPr>
              <w:t>应急、零星特物资类</w:t>
            </w:r>
            <w:r>
              <w:rPr>
                <w:rFonts w:hint="eastAsia" w:ascii="仿宋" w:hAnsi="仿宋" w:eastAsia="仿宋" w:cs="仿宋"/>
                <w:color w:val="auto"/>
              </w:rPr>
              <w:t>采购按采购人需求及时配送。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b/>
                <w:bCs/>
                <w:color w:val="auto"/>
                <w:szCs w:val="21"/>
              </w:rPr>
              <w:t>（二）配送服务要求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b/>
                <w:bCs/>
                <w:color w:val="auto"/>
                <w:szCs w:val="21"/>
              </w:rPr>
            </w:pPr>
            <w:r>
              <w:rPr>
                <w:rFonts w:hint="eastAsia" w:ascii="仿宋" w:hAnsi="仿宋" w:eastAsia="仿宋" w:cs="仿宋"/>
                <w:color w:val="auto"/>
                <w:szCs w:val="21"/>
              </w:rPr>
              <w:t>1、配送企业应足量、及时将食堂食品用品等配送至食堂。为确保食堂运营，食堂提前1天（下午17：00前），向配送企业提交订货计划，说明采购品种、规格、数量及其它需要说明的事项。配送企业必须每天早晨4:30-7:00之间将采购食品用品配送至医院指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b/>
                <w:bCs/>
                <w:color w:val="auto"/>
                <w:szCs w:val="21"/>
              </w:rPr>
            </w:pPr>
            <w:r>
              <w:rPr>
                <w:rFonts w:hint="eastAsia" w:ascii="仿宋" w:hAnsi="仿宋" w:eastAsia="仿宋" w:cs="仿宋"/>
                <w:color w:val="auto"/>
                <w:szCs w:val="21"/>
              </w:rPr>
              <w:t>2、配送企业要做到制度完善，证照齐全，用工规范，文明配送；自觉协调关系，妥善解决发生的问题和困难；自觉接受采购人相关职能部门的监督和指导。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color w:val="auto"/>
                <w:szCs w:val="21"/>
              </w:rPr>
              <w:t>3、配送企业应具有食品生产许可证或食品流通许可证、配送人员身份证明，且具备较强的供货能力、良好的信誉及售后服务能力。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4、所有配送产品必须证照齐全，源头可查，可溯源。在配送食品中，配送企业应主动提供相应的单证：农药残留量检测报告、质量检测报告、产品检验报告、代理授权等证明。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5、运输须使用符合国家卫生标准的专用运载工具，运输冷鲜（冻）肉应当使用具有保温措施的车辆，车辆必须保持清洁、卫生，使用前后要清洗消毒。配送企业必须自备运输工具运送至指定点地点，配送结束后需保持周边环境干净整洁，无垃圾、无水渍，如不符合要求将作出以下处罚：首次警告整改；后每发现或查实一次，罚款200元，采购方有权在任一应支付给中标单位的款项中扣除该款，不足扣除的有权追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6、所有配送产品必须经采购方两名验收人员验收后方可离开；后期补给品种至少经一名验收人员验收并签字方可；严禁发生货到即走，无人验收的现象。对验收不合格的产品，必须2小时（投标人可根据自身实力作出更短时间的承诺）之内处理完毕。如不符合要求将作出以下处罚：首次警告整改；后每发现或查实一次，罚款200元，采购方有权在任一应支付给中标单位的款项中扣除该款，不足扣除的有权追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7、合同期内若采购方开发上线智慧食堂系统，配送企业根据采购方要求必须配合同步使用智慧食堂系统。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jc w:val="left"/>
              <w:rPr>
                <w:rFonts w:hint="eastAsia" w:ascii="仿宋" w:hAnsi="仿宋" w:eastAsia="仿宋" w:cs="仿宋"/>
                <w:color w:val="auto"/>
                <w:szCs w:val="21"/>
              </w:rPr>
            </w:pPr>
            <w:r>
              <w:rPr>
                <w:rFonts w:hint="eastAsia" w:ascii="仿宋" w:hAnsi="仿宋" w:eastAsia="仿宋" w:cs="仿宋"/>
                <w:b/>
                <w:bCs/>
                <w:color w:val="auto"/>
                <w:szCs w:val="21"/>
              </w:rPr>
              <w:t>（三）安全责任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1、因质量问题造成食物中毒或其它安全责任事故的，配送企业独立承担一切法律责任和经济责任，没收履约保证金，采购人有权终止合同，并追究由此造成的一切损失。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2、配送整个过程（包括因配送结束后未对周边环境清洁）所发生的任何安全事故等均由配送企业独立承担责任。无条件接受采购方政策层面提出的相关要求。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3、配送企业在院内运输物品，应服从指挥，确保安全。因院内运输造成的安全事故及采购方相关财产损失，配送企业独立承担一切刑事、民事责任。进入院内所产生的相关费用由配送企业自行承担。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4、配送中所涉运输、装卸、税收及其他相应费用由配送企业自行承担；所需证、照等均由配送企业自行办理。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5、配送企业在供货期间，如发生质量纠纷时采购人须对被投诉食材质量进行检测的，不论检测结果如何，因检测产生的相关费用须由配送企业承担。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6、严肃财经纪律，加强廉政建设，经查实发现有受贿、行贿现象，取消中标资格，相关人员按情节轻重作出相应处分或处罚；触犯刑律的，依法追究法律责任。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（四）违约责任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1、配送企业如转包或变相转包，一经查实，扣除履约保证金，采购人有权终止合同，并追究由此造成的一切损失。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配送企业应自觉接受市场监督管理、农业、质监、卫生等部门的检查和检测。配送的食品质量低于投标承诺的；数量不符合要求的，配送企业必须在2小时内按采购方要求解决问题；且经查实后将视情节作出以下处罚：首次警告整改；后每发现或查实一次，罚款500元，采购方有权在任一应支付给中标单位的款项中扣除该款，不足扣除的有权追偿。凡一个年度内，市、区市场监察局抽检有不合格的，按国家食品安全法等相关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3、配送企业按采购方指定的时间和地点配送产品。如遇特殊情况，双方必须提前协商解决，如未按要求送达，每发现或查实一次，罚款500元，采购方有权在任一应支付给中标单位的款项中扣除该款，不足扣除的有权追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122" w:type="dxa"/>
            <w:vAlign w:val="center"/>
          </w:tcPr>
          <w:p>
            <w:pPr>
              <w:snapToGrid w:val="0"/>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（五）付款方式</w:t>
            </w:r>
          </w:p>
          <w:p>
            <w:pPr>
              <w:snapToGrid w:val="0"/>
              <w:spacing w:line="360" w:lineRule="auto"/>
              <w:rPr>
                <w:rFonts w:hint="eastAsia" w:ascii="仿宋" w:hAnsi="仿宋" w:eastAsia="仿宋" w:cs="仿宋"/>
                <w:b/>
                <w:bCs/>
                <w:color w:val="auto"/>
                <w:szCs w:val="21"/>
              </w:rPr>
            </w:pPr>
            <w:r>
              <w:rPr>
                <w:rFonts w:hint="eastAsia" w:ascii="仿宋" w:hAnsi="仿宋" w:eastAsia="仿宋" w:cs="仿宋"/>
                <w:color w:val="auto"/>
                <w:szCs w:val="21"/>
                <w:lang w:val="zh-CN"/>
              </w:rPr>
              <w:t>按《浙江省财政厅关于进一步发挥政府采购政策功能全力推动经济稳进提质的通知》（浙财采监〔2022〕3号）</w:t>
            </w:r>
            <w:r>
              <w:rPr>
                <w:rFonts w:hint="eastAsia" w:ascii="仿宋" w:hAnsi="仿宋" w:eastAsia="仿宋" w:cs="仿宋"/>
                <w:color w:val="auto"/>
                <w:szCs w:val="21"/>
              </w:rPr>
              <w:t>等</w:t>
            </w:r>
            <w:r>
              <w:rPr>
                <w:rFonts w:hint="eastAsia" w:ascii="仿宋" w:hAnsi="仿宋" w:eastAsia="仿宋" w:cs="仿宋"/>
                <w:color w:val="auto"/>
                <w:szCs w:val="21"/>
                <w:lang w:val="zh-CN"/>
              </w:rPr>
              <w:t>文件要求执行，具体付款方式由双方协商后在合同中明确。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5" w:hRule="atLeast"/>
          <w:jc w:val="center"/>
        </w:trPr>
        <w:tc>
          <w:tcPr>
            <w:tcW w:w="9122" w:type="dxa"/>
            <w:vAlign w:val="center"/>
          </w:tcPr>
          <w:p>
            <w:pPr>
              <w:snapToGrid w:val="0"/>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（六）报价方式</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1.第1-6标段，以政府采购云平台（https://www.zcygov.cn/)→行业馆→绍兴食采馆的价格清单</w:t>
            </w:r>
            <w:r>
              <w:rPr>
                <w:rFonts w:hint="eastAsia" w:ascii="仿宋" w:hAnsi="仿宋" w:eastAsia="仿宋" w:cs="仿宋"/>
                <w:color w:val="auto"/>
                <w:szCs w:val="21"/>
                <w:lang w:eastAsia="zh-CN"/>
              </w:rPr>
              <w:t>的平均价</w:t>
            </w:r>
            <w:r>
              <w:rPr>
                <w:rFonts w:hint="eastAsia" w:ascii="仿宋" w:hAnsi="仿宋" w:eastAsia="仿宋" w:cs="仿宋"/>
                <w:color w:val="auto"/>
                <w:szCs w:val="21"/>
              </w:rPr>
              <w:t>为各标段的价格基准价，投标企业报折扣。第1-6标段公布目录仅为部分目录，实际采购按采购人需求参考平台目录执行。</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第7标段，以绍兴e价通（http://jgjg.sx.gov.cn/）→消费→超市商品价格中商品的最低零售价为基准价（投标单位自行选择投标前任一天参考），投标企业报折扣。实际支付价格=第一次下单日最低零售价（出具证明）为基准价*中标折扣，后续合同期内采购此产品价格不再变化。若无上述基准价，以中标单位当日上货的零售价为基准价，并出具价格证明。</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3.第8标段，根据目录上限价，投标企业报折扣。</w:t>
            </w:r>
            <w:r>
              <w:rPr>
                <w:rFonts w:hint="eastAsia" w:ascii="仿宋" w:hAnsi="仿宋" w:eastAsia="仿宋" w:cs="仿宋"/>
                <w:color w:val="auto"/>
                <w:szCs w:val="21"/>
                <w:lang w:eastAsia="zh-CN"/>
              </w:rPr>
              <w:t>应急，零星特物资</w:t>
            </w:r>
            <w:r>
              <w:rPr>
                <w:rFonts w:hint="eastAsia" w:ascii="仿宋" w:hAnsi="仿宋" w:eastAsia="仿宋" w:cs="仿宋"/>
                <w:color w:val="auto"/>
                <w:szCs w:val="21"/>
              </w:rPr>
              <w:t>按采购方实际需求采购</w:t>
            </w:r>
            <w:r>
              <w:rPr>
                <w:rFonts w:hint="eastAsia" w:ascii="仿宋" w:hAnsi="仿宋" w:eastAsia="仿宋" w:cs="仿宋"/>
                <w:color w:val="auto"/>
                <w:szCs w:val="21"/>
                <w:lang w:eastAsia="zh-CN"/>
              </w:rPr>
              <w:t>，实际</w:t>
            </w:r>
            <w:r>
              <w:rPr>
                <w:rFonts w:hint="eastAsia" w:ascii="仿宋" w:hAnsi="仿宋" w:eastAsia="仿宋" w:cs="仿宋"/>
                <w:color w:val="auto"/>
                <w:szCs w:val="21"/>
              </w:rPr>
              <w:t>支付方式同第7标段。</w:t>
            </w:r>
          </w:p>
          <w:p>
            <w:pPr>
              <w:snapToGrid w:val="0"/>
              <w:spacing w:line="360" w:lineRule="auto"/>
              <w:rPr>
                <w:rFonts w:hint="eastAsia" w:ascii="仿宋" w:hAnsi="仿宋" w:eastAsia="仿宋" w:cs="仿宋"/>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pPr>
              <w:snapToGrid w:val="0"/>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（六）目录清单</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详见附件采购目录</w:t>
            </w:r>
          </w:p>
          <w:p>
            <w:pPr>
              <w:snapToGrid w:val="0"/>
              <w:spacing w:line="360" w:lineRule="auto"/>
              <w:rPr>
                <w:rFonts w:hint="eastAsia" w:ascii="仿宋" w:hAnsi="仿宋" w:eastAsia="仿宋" w:cs="仿宋"/>
                <w:color w:val="auto"/>
              </w:rPr>
            </w:pPr>
            <w:r>
              <w:rPr>
                <w:rFonts w:hint="eastAsia" w:ascii="仿宋" w:hAnsi="仿宋" w:eastAsia="仿宋" w:cs="仿宋"/>
                <w:color w:val="auto"/>
                <w:szCs w:val="21"/>
              </w:rPr>
              <w:t>★采购产品规格型号须按采购人要求提供。</w:t>
            </w:r>
          </w:p>
        </w:tc>
      </w:tr>
    </w:tbl>
    <w:p>
      <w:pPr>
        <w:pStyle w:val="24"/>
        <w:rPr>
          <w:rFonts w:hint="eastAsia" w:ascii="仿宋" w:hAnsi="仿宋" w:eastAsia="仿宋" w:cs="仿宋"/>
          <w:color w:val="auto"/>
          <w:sz w:val="24"/>
          <w:szCs w:val="24"/>
        </w:rPr>
      </w:pPr>
    </w:p>
    <w:p>
      <w:pPr>
        <w:rPr>
          <w:rFonts w:hint="default"/>
          <w:lang w:val="en-US" w:eastAsia="zh-CN"/>
        </w:rPr>
      </w:pPr>
    </w:p>
    <w:bookmarkEnd w:id="9"/>
    <w:p>
      <w:pPr>
        <w:pStyle w:val="24"/>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政府采购合同参考范本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4"/>
        <w:rPr>
          <w:rFonts w:hint="eastAsia" w:ascii="仿宋" w:hAnsi="仿宋" w:eastAsia="仿宋" w:cs="仿宋"/>
          <w:color w:val="auto"/>
        </w:rPr>
      </w:pPr>
    </w:p>
    <w:p>
      <w:pPr>
        <w:pStyle w:val="4"/>
        <w:rPr>
          <w:rFonts w:hint="eastAsia" w:ascii="仿宋" w:hAnsi="仿宋" w:eastAsia="仿宋" w:cs="仿宋"/>
          <w:color w:val="auto"/>
        </w:rPr>
      </w:pPr>
    </w:p>
    <w:p>
      <w:pPr>
        <w:pStyle w:val="4"/>
        <w:ind w:firstLine="562"/>
        <w:jc w:val="center"/>
        <w:rPr>
          <w:rFonts w:hint="eastAsia" w:ascii="仿宋" w:hAnsi="仿宋" w:eastAsia="仿宋" w:cs="仿宋"/>
          <w:b/>
          <w:color w:val="auto"/>
          <w:sz w:val="28"/>
        </w:rPr>
      </w:pPr>
      <w:r>
        <w:rPr>
          <w:rFonts w:hint="eastAsia" w:ascii="仿宋" w:hAnsi="仿宋" w:eastAsia="仿宋" w:cs="仿宋"/>
          <w:b/>
          <w:color w:val="auto"/>
          <w:sz w:val="28"/>
        </w:rPr>
        <w:t>第一部分   合同书</w:t>
      </w:r>
    </w:p>
    <w:p>
      <w:pPr>
        <w:pStyle w:val="4"/>
        <w:rPr>
          <w:rFonts w:hint="eastAsia" w:ascii="仿宋" w:hAnsi="仿宋" w:eastAsia="仿宋" w:cs="仿宋"/>
          <w:color w:val="auto"/>
        </w:rPr>
      </w:pPr>
    </w:p>
    <w:p>
      <w:pPr>
        <w:pStyle w:val="4"/>
        <w:rPr>
          <w:rFonts w:hint="eastAsia" w:ascii="仿宋" w:hAnsi="仿宋" w:eastAsia="仿宋" w:cs="仿宋"/>
          <w:color w:val="auto"/>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p>
    <w:p>
      <w:pPr>
        <w:pStyle w:val="282"/>
        <w:spacing w:before="120" w:line="22" w:lineRule="atLeast"/>
        <w:rPr>
          <w:rFonts w:hint="eastAsia" w:ascii="仿宋" w:hAnsi="仿宋" w:eastAsia="仿宋" w:cs="仿宋"/>
          <w:color w:val="auto"/>
          <w:szCs w:val="24"/>
        </w:rPr>
      </w:pPr>
    </w:p>
    <w:p>
      <w:pPr>
        <w:pStyle w:val="282"/>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hint="eastAsia" w:ascii="仿宋" w:hAnsi="仿宋" w:eastAsia="仿宋" w:cs="仿宋"/>
          <w:color w:val="auto"/>
          <w:kern w:val="0"/>
          <w:sz w:val="24"/>
        </w:rPr>
        <w:sectPr>
          <w:footerReference r:id="rId6" w:type="first"/>
          <w:pgSz w:w="11907" w:h="16840"/>
          <w:pgMar w:top="1474" w:right="1814" w:bottom="1474" w:left="1814" w:header="851" w:footer="851" w:gutter="0"/>
          <w:pgNumType w:start="2"/>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4" w:name="_Toc3029"/>
      <w:bookmarkStart w:id="15" w:name="_Toc24059"/>
      <w:bookmarkStart w:id="16" w:name="_Toc2232"/>
      <w:r>
        <w:rPr>
          <w:rFonts w:hint="eastAsia" w:ascii="仿宋" w:hAnsi="仿宋" w:eastAsia="仿宋" w:cs="仿宋"/>
          <w:b/>
          <w:color w:val="auto"/>
          <w:sz w:val="24"/>
        </w:rPr>
        <w:t>1.1 合同组成部分</w:t>
      </w:r>
      <w:bookmarkEnd w:id="14"/>
      <w:bookmarkEnd w:id="15"/>
      <w:bookmarkEnd w:id="1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17" w:name="_Toc27126"/>
      <w:bookmarkStart w:id="18" w:name="_Toc21295"/>
      <w:bookmarkStart w:id="19" w:name="_Toc24300"/>
      <w:r>
        <w:rPr>
          <w:rFonts w:hint="eastAsia" w:ascii="仿宋" w:hAnsi="仿宋" w:eastAsia="仿宋" w:cs="仿宋"/>
          <w:b/>
          <w:color w:val="auto"/>
          <w:sz w:val="24"/>
        </w:rPr>
        <w:t xml:space="preserve">1.2 </w:t>
      </w:r>
      <w:bookmarkEnd w:id="17"/>
      <w:bookmarkEnd w:id="18"/>
      <w:bookmarkEnd w:id="19"/>
      <w:r>
        <w:rPr>
          <w:rFonts w:hint="eastAsia" w:ascii="仿宋" w:hAnsi="仿宋" w:eastAsia="仿宋" w:cs="仿宋"/>
          <w:b/>
          <w:color w:val="auto"/>
          <w:sz w:val="24"/>
        </w:rPr>
        <w:t>服务</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服务名称：；</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服务期限和内容：；</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1.2.3 服务提供地点及方式：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0" w:name="_Toc23292"/>
      <w:bookmarkStart w:id="21" w:name="_Toc21631"/>
      <w:bookmarkStart w:id="22" w:name="_Toc21551"/>
      <w:r>
        <w:rPr>
          <w:rFonts w:hint="eastAsia" w:ascii="仿宋" w:hAnsi="仿宋" w:eastAsia="仿宋" w:cs="仿宋"/>
          <w:b/>
          <w:color w:val="auto"/>
          <w:sz w:val="24"/>
        </w:rPr>
        <w:t>1.3 价款</w:t>
      </w:r>
      <w:bookmarkEnd w:id="20"/>
      <w:bookmarkEnd w:id="21"/>
      <w:bookmarkEnd w:id="2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本合同总价为：￥元（大写：元人民币）。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3" w:name="_Toc10340"/>
      <w:bookmarkStart w:id="24" w:name="_Toc1814"/>
      <w:bookmarkStart w:id="25" w:name="_Toc22618"/>
      <w:bookmarkStart w:id="26" w:name="_Toc32071"/>
      <w:bookmarkStart w:id="27" w:name="_Toc2846"/>
      <w:bookmarkStart w:id="28" w:name="_Toc19304"/>
      <w:r>
        <w:rPr>
          <w:rFonts w:hint="eastAsia" w:ascii="仿宋" w:hAnsi="仿宋" w:eastAsia="仿宋" w:cs="仿宋"/>
          <w:b/>
          <w:color w:val="auto"/>
          <w:sz w:val="24"/>
        </w:rPr>
        <w:t>1.4 付款</w:t>
      </w:r>
      <w:bookmarkEnd w:id="23"/>
      <w:bookmarkEnd w:id="24"/>
      <w:bookmarkEnd w:id="25"/>
      <w:r>
        <w:rPr>
          <w:rFonts w:hint="eastAsia" w:ascii="仿宋" w:hAnsi="仿宋" w:eastAsia="仿宋" w:cs="仿宋"/>
          <w:b/>
          <w:color w:val="auto"/>
          <w:sz w:val="24"/>
        </w:rPr>
        <w:t>方式、时间和条件</w:t>
      </w:r>
    </w:p>
    <w:p>
      <w:pPr>
        <w:pStyle w:val="284"/>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1.4.2付款方式按《浙江省财政厅关于进一步发挥政府采购政策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6"/>
      <w:bookmarkEnd w:id="27"/>
      <w:bookmarkEnd w:id="28"/>
      <w:bookmarkStart w:id="29" w:name="_Toc21423"/>
      <w:bookmarkStart w:id="30" w:name="_Toc19554"/>
      <w:bookmarkStart w:id="31" w:name="_Toc27250"/>
      <w:r>
        <w:rPr>
          <w:rFonts w:hint="eastAsia" w:ascii="仿宋" w:hAnsi="仿宋" w:eastAsia="仿宋" w:cs="仿宋"/>
          <w:b/>
          <w:color w:val="auto"/>
          <w:sz w:val="24"/>
        </w:rPr>
        <w:t>违约责任</w:t>
      </w:r>
      <w:bookmarkEnd w:id="29"/>
      <w:bookmarkEnd w:id="30"/>
      <w:bookmarkEnd w:id="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1.5.7违约责任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2" w:name="_Toc28375"/>
      <w:bookmarkStart w:id="33" w:name="_Toc15583"/>
      <w:bookmarkStart w:id="34" w:name="_Toc16021"/>
      <w:r>
        <w:rPr>
          <w:rFonts w:hint="eastAsia" w:ascii="仿宋" w:hAnsi="仿宋" w:eastAsia="仿宋" w:cs="仿宋"/>
          <w:b/>
          <w:color w:val="auto"/>
          <w:sz w:val="24"/>
        </w:rPr>
        <w:t>1.6 合同争议的解决</w:t>
      </w:r>
      <w:bookmarkEnd w:id="32"/>
      <w:bookmarkEnd w:id="33"/>
      <w:bookmarkEnd w:id="34"/>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5" w:name="_Toc15322"/>
      <w:bookmarkStart w:id="36" w:name="_Toc7245"/>
      <w:bookmarkStart w:id="37" w:name="_Toc11173"/>
      <w:r>
        <w:rPr>
          <w:rFonts w:hint="eastAsia" w:ascii="仿宋" w:hAnsi="仿宋" w:eastAsia="仿宋" w:cs="仿宋"/>
          <w:b/>
          <w:color w:val="auto"/>
          <w:sz w:val="24"/>
        </w:rPr>
        <w:t>1.7 合同生效</w:t>
      </w:r>
      <w:bookmarkEnd w:id="35"/>
      <w:bookmarkEnd w:id="36"/>
      <w:bookmarkEnd w:id="37"/>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开户账号：开户账号：</w:t>
      </w:r>
    </w:p>
    <w:p>
      <w:pPr>
        <w:widowControl/>
        <w:spacing w:line="560" w:lineRule="exact"/>
        <w:jc w:val="left"/>
        <w:rPr>
          <w:rFonts w:hint="eastAsia" w:ascii="仿宋" w:hAnsi="仿宋" w:eastAsia="仿宋" w:cs="仿宋"/>
          <w:b/>
          <w:color w:val="auto"/>
          <w:sz w:val="24"/>
        </w:rPr>
      </w:pPr>
      <w:bookmarkStart w:id="38" w:name="_Toc331685783"/>
    </w:p>
    <w:p>
      <w:pPr>
        <w:pStyle w:val="4"/>
        <w:spacing w:line="560" w:lineRule="exact"/>
        <w:ind w:firstLine="422"/>
        <w:jc w:val="center"/>
        <w:rPr>
          <w:rFonts w:hint="eastAsia" w:ascii="仿宋" w:hAnsi="仿宋" w:eastAsia="仿宋" w:cs="仿宋"/>
          <w:b/>
          <w:color w:val="auto"/>
        </w:rPr>
      </w:pPr>
    </w:p>
    <w:p>
      <w:pPr>
        <w:pStyle w:val="4"/>
        <w:spacing w:line="560" w:lineRule="exact"/>
        <w:ind w:firstLine="422"/>
        <w:jc w:val="center"/>
        <w:rPr>
          <w:rFonts w:hint="eastAsia" w:ascii="仿宋" w:hAnsi="仿宋" w:eastAsia="仿宋" w:cs="仿宋"/>
          <w:b/>
          <w:color w:val="auto"/>
        </w:rPr>
      </w:pPr>
    </w:p>
    <w:p>
      <w:pPr>
        <w:pStyle w:val="4"/>
        <w:spacing w:line="560" w:lineRule="exact"/>
        <w:ind w:firstLine="422"/>
        <w:jc w:val="center"/>
        <w:rPr>
          <w:rFonts w:hint="eastAsia" w:ascii="仿宋" w:hAnsi="仿宋" w:eastAsia="仿宋" w:cs="仿宋"/>
          <w:b/>
          <w:color w:val="auto"/>
        </w:rPr>
      </w:pPr>
      <w:r>
        <w:rPr>
          <w:rFonts w:hint="eastAsia" w:ascii="仿宋" w:hAnsi="仿宋" w:eastAsia="仿宋" w:cs="仿宋"/>
          <w:b/>
          <w:color w:val="auto"/>
        </w:rPr>
        <w:t>第二部分 合同一般条款</w:t>
      </w:r>
      <w:bookmarkEnd w:id="38"/>
    </w:p>
    <w:p>
      <w:pPr>
        <w:spacing w:line="560" w:lineRule="exact"/>
        <w:ind w:firstLine="482" w:firstLineChars="200"/>
        <w:outlineLvl w:val="0"/>
        <w:rPr>
          <w:rFonts w:hint="eastAsia" w:ascii="仿宋" w:hAnsi="仿宋" w:eastAsia="仿宋" w:cs="仿宋"/>
          <w:b/>
          <w:color w:val="auto"/>
          <w:sz w:val="24"/>
        </w:rPr>
      </w:pPr>
      <w:bookmarkStart w:id="39" w:name="_Toc16917"/>
      <w:bookmarkStart w:id="40" w:name="_Ref467378463"/>
      <w:bookmarkStart w:id="41" w:name="_Ref467379195"/>
      <w:bookmarkStart w:id="42" w:name="_Toc487900349"/>
      <w:bookmarkStart w:id="43" w:name="_Toc28763"/>
      <w:bookmarkStart w:id="44" w:name="_Ref467379214"/>
      <w:bookmarkStart w:id="45" w:name="_Ref467378499"/>
      <w:bookmarkStart w:id="46" w:name="_Toc19614"/>
      <w:bookmarkStart w:id="47" w:name="_Ref467379109"/>
      <w:bookmarkStart w:id="48" w:name="_Ref467379094"/>
      <w:bookmarkStart w:id="49" w:name="_Ref467379101"/>
      <w:bookmarkStart w:id="50" w:name="_Ref467378404"/>
      <w:bookmarkStart w:id="51" w:name="_Toc279701240"/>
      <w:bookmarkStart w:id="52" w:name="_Ref467379205"/>
      <w:bookmarkStart w:id="53" w:name="_Ref467379225"/>
      <w:bookmarkStart w:id="54" w:name="_Toc259093669"/>
      <w:r>
        <w:rPr>
          <w:rFonts w:hint="eastAsia" w:ascii="仿宋" w:hAnsi="仿宋" w:eastAsia="仿宋" w:cs="仿宋"/>
          <w:b/>
          <w:color w:val="auto"/>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“服务”系指中标供应商根据合同约定应向采购人提供的服务。</w:t>
      </w:r>
    </w:p>
    <w:p>
      <w:pPr>
        <w:spacing w:line="560" w:lineRule="exact"/>
        <w:ind w:firstLine="480" w:firstLineChars="200"/>
        <w:rPr>
          <w:rFonts w:hint="eastAsia" w:ascii="仿宋" w:hAnsi="仿宋" w:eastAsia="仿宋" w:cs="仿宋"/>
          <w:color w:val="auto"/>
          <w:sz w:val="24"/>
        </w:rPr>
      </w:pPr>
      <w:bookmarkStart w:id="55" w:name="_Ref467378840"/>
      <w:r>
        <w:rPr>
          <w:rFonts w:hint="eastAsia" w:ascii="仿宋" w:hAnsi="仿宋" w:eastAsia="仿宋" w:cs="仿宋"/>
          <w:color w:val="auto"/>
          <w:sz w:val="24"/>
        </w:rPr>
        <w:t>2.1.4 “甲方”系指与中标供应商签署合同的采购人</w:t>
      </w:r>
      <w:bookmarkEnd w:id="55"/>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6" w:name="_Ref467379400"/>
      <w:r>
        <w:rPr>
          <w:rFonts w:hint="eastAsia" w:ascii="仿宋" w:hAnsi="仿宋" w:eastAsia="仿宋" w:cs="仿宋"/>
          <w:color w:val="auto"/>
          <w:sz w:val="24"/>
        </w:rPr>
        <w:t>2.1.5 “乙方”系指根据合同约定提供服务的中标供应商</w:t>
      </w:r>
      <w:bookmarkEnd w:id="56"/>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7" w:name="_Ref467379436"/>
      <w:r>
        <w:rPr>
          <w:rFonts w:hint="eastAsia" w:ascii="仿宋" w:hAnsi="仿宋" w:eastAsia="仿宋" w:cs="仿宋"/>
          <w:color w:val="auto"/>
          <w:sz w:val="24"/>
        </w:rPr>
        <w:t>2.1.6 “现场”系指合同约定服务提供地点。</w:t>
      </w:r>
      <w:bookmarkEnd w:id="57"/>
    </w:p>
    <w:p>
      <w:pPr>
        <w:spacing w:line="560" w:lineRule="exact"/>
        <w:ind w:firstLine="482" w:firstLineChars="200"/>
        <w:outlineLvl w:val="0"/>
        <w:rPr>
          <w:rFonts w:hint="eastAsia" w:ascii="仿宋" w:hAnsi="仿宋" w:eastAsia="仿宋" w:cs="仿宋"/>
          <w:b/>
          <w:color w:val="auto"/>
          <w:sz w:val="24"/>
        </w:rPr>
      </w:pPr>
      <w:bookmarkStart w:id="58" w:name="_Toc27635"/>
      <w:bookmarkStart w:id="59" w:name="_Toc32504"/>
      <w:bookmarkStart w:id="60" w:name="_Toc13336"/>
      <w:bookmarkStart w:id="61" w:name="_Toc259093670"/>
      <w:bookmarkStart w:id="62" w:name="_Toc487900350"/>
      <w:bookmarkStart w:id="63" w:name="_Toc279701241"/>
      <w:r>
        <w:rPr>
          <w:rFonts w:hint="eastAsia" w:ascii="仿宋" w:hAnsi="仿宋" w:eastAsia="仿宋" w:cs="仿宋"/>
          <w:b/>
          <w:color w:val="auto"/>
          <w:sz w:val="24"/>
        </w:rPr>
        <w:t>2.2 技术规范</w:t>
      </w:r>
      <w:bookmarkEnd w:id="58"/>
      <w:bookmarkEnd w:id="59"/>
      <w:bookmarkEnd w:id="60"/>
      <w:bookmarkEnd w:id="61"/>
      <w:bookmarkEnd w:id="62"/>
      <w:bookmarkEnd w:id="6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4" w:name="_Toc259093671"/>
      <w:bookmarkStart w:id="65" w:name="_Toc27853"/>
      <w:bookmarkStart w:id="66" w:name="_Toc9829"/>
      <w:bookmarkStart w:id="67" w:name="_Toc31634"/>
      <w:bookmarkStart w:id="68" w:name="_Toc279701242"/>
      <w:bookmarkStart w:id="69" w:name="_Toc487900351"/>
      <w:r>
        <w:rPr>
          <w:rFonts w:hint="eastAsia" w:ascii="仿宋" w:hAnsi="仿宋" w:eastAsia="仿宋" w:cs="仿宋"/>
          <w:b/>
          <w:color w:val="auto"/>
          <w:sz w:val="24"/>
        </w:rPr>
        <w:t>2.3 知识产权</w:t>
      </w:r>
      <w:bookmarkEnd w:id="64"/>
      <w:bookmarkEnd w:id="65"/>
      <w:bookmarkEnd w:id="66"/>
      <w:bookmarkEnd w:id="67"/>
      <w:bookmarkEnd w:id="68"/>
      <w:bookmarkEnd w:id="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2.3.2具有知识产权的计算机软件等开发服务的知识产权归属，详见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0" w:name="_Toc4194"/>
      <w:bookmarkStart w:id="71" w:name="_Toc11932"/>
      <w:bookmarkStart w:id="72" w:name="_Toc29149"/>
      <w:r>
        <w:rPr>
          <w:rFonts w:hint="eastAsia" w:ascii="仿宋" w:hAnsi="仿宋" w:eastAsia="仿宋" w:cs="仿宋"/>
          <w:b/>
          <w:color w:val="auto"/>
          <w:sz w:val="24"/>
        </w:rPr>
        <w:t>2.4 包装和装运</w:t>
      </w:r>
      <w:bookmarkEnd w:id="70"/>
      <w:bookmarkEnd w:id="71"/>
      <w:bookmarkEnd w:id="7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涉及服务的要求和通知，详见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3" w:name="_Ref467378541"/>
      <w:bookmarkStart w:id="74" w:name="_Ref467379542"/>
      <w:bookmarkStart w:id="75" w:name="_Toc487900354"/>
      <w:bookmarkStart w:id="76" w:name="_Toc259093674"/>
      <w:bookmarkStart w:id="77" w:name="_Ref467378591"/>
      <w:bookmarkStart w:id="78" w:name="_Ref467379536"/>
      <w:bookmarkStart w:id="79" w:name="_Ref467379527"/>
      <w:bookmarkStart w:id="80" w:name="_Toc279701245"/>
      <w:bookmarkStart w:id="81" w:name="_Toc19074"/>
      <w:bookmarkStart w:id="82" w:name="_Toc26182"/>
      <w:bookmarkStart w:id="83" w:name="_Toc30272"/>
      <w:r>
        <w:rPr>
          <w:rFonts w:hint="eastAsia" w:ascii="仿宋" w:hAnsi="仿宋" w:eastAsia="仿宋" w:cs="仿宋"/>
          <w:b/>
          <w:color w:val="auto"/>
          <w:sz w:val="24"/>
        </w:rPr>
        <w:t>2.</w:t>
      </w:r>
      <w:bookmarkEnd w:id="73"/>
      <w:bookmarkEnd w:id="74"/>
      <w:bookmarkEnd w:id="75"/>
      <w:bookmarkEnd w:id="76"/>
      <w:bookmarkEnd w:id="77"/>
      <w:bookmarkEnd w:id="78"/>
      <w:bookmarkEnd w:id="79"/>
      <w:bookmarkEnd w:id="80"/>
      <w:r>
        <w:rPr>
          <w:rFonts w:hint="eastAsia" w:ascii="仿宋" w:hAnsi="仿宋" w:eastAsia="仿宋" w:cs="仿宋"/>
          <w:b/>
          <w:color w:val="auto"/>
          <w:sz w:val="24"/>
        </w:rPr>
        <w:t>5 履约检查和问题反馈</w:t>
      </w:r>
      <w:bookmarkEnd w:id="81"/>
      <w:bookmarkEnd w:id="82"/>
      <w:bookmarkEnd w:id="83"/>
    </w:p>
    <w:p>
      <w:pPr>
        <w:spacing w:line="560" w:lineRule="exact"/>
        <w:ind w:firstLine="480" w:firstLineChars="200"/>
        <w:rPr>
          <w:rFonts w:hint="eastAsia" w:ascii="仿宋" w:hAnsi="仿宋" w:eastAsia="仿宋" w:cs="仿宋"/>
          <w:color w:val="auto"/>
          <w:sz w:val="24"/>
        </w:rPr>
      </w:pPr>
      <w:bookmarkStart w:id="84" w:name="_Ref467379657"/>
      <w:r>
        <w:rPr>
          <w:rFonts w:hint="eastAsia" w:ascii="仿宋" w:hAnsi="仿宋" w:eastAsia="仿宋" w:cs="仿宋"/>
          <w:color w:val="auto"/>
          <w:sz w:val="24"/>
        </w:rPr>
        <w:t>2.5.1</w:t>
      </w:r>
      <w:bookmarkEnd w:id="84"/>
      <w:bookmarkStart w:id="85" w:name="_Toc186431854"/>
      <w:bookmarkStart w:id="86" w:name="_Ref467379793"/>
      <w:bookmarkStart w:id="87" w:name="_Toc487900357"/>
      <w:bookmarkStart w:id="88" w:name="_Ref467379807"/>
      <w:bookmarkStart w:id="89" w:name="_Toc259093676"/>
      <w:bookmarkStart w:id="90" w:name="_Toc279701247"/>
      <w:r>
        <w:rPr>
          <w:rFonts w:hint="eastAsia" w:ascii="仿宋" w:hAnsi="仿宋" w:eastAsia="仿宋" w:cs="仿宋"/>
          <w:color w:val="auto"/>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color w:val="auto"/>
          <w:sz w:val="24"/>
        </w:rPr>
        <w:t>。</w:t>
      </w:r>
    </w:p>
    <w:bookmarkEnd w:id="86"/>
    <w:bookmarkEnd w:id="87"/>
    <w:bookmarkEnd w:id="88"/>
    <w:bookmarkEnd w:id="89"/>
    <w:bookmarkEnd w:id="90"/>
    <w:bookmarkEnd w:id="91"/>
    <w:p>
      <w:pPr>
        <w:spacing w:line="560" w:lineRule="exact"/>
        <w:ind w:firstLine="482" w:firstLineChars="200"/>
        <w:outlineLvl w:val="0"/>
        <w:rPr>
          <w:rFonts w:hint="eastAsia" w:ascii="仿宋" w:hAnsi="仿宋" w:eastAsia="仿宋" w:cs="仿宋"/>
          <w:b/>
          <w:color w:val="auto"/>
          <w:sz w:val="24"/>
        </w:rPr>
      </w:pPr>
      <w:bookmarkStart w:id="92" w:name="_Toc279701248"/>
      <w:bookmarkStart w:id="93" w:name="_Toc487900358"/>
      <w:bookmarkStart w:id="94" w:name="_Ref467379863"/>
      <w:bookmarkStart w:id="95" w:name="_Ref467379923"/>
      <w:bookmarkStart w:id="96" w:name="_Ref467379852"/>
      <w:bookmarkStart w:id="97" w:name="_Toc259093677"/>
      <w:bookmarkStart w:id="98" w:name="_Toc774"/>
      <w:bookmarkStart w:id="99" w:name="_Toc3225"/>
      <w:bookmarkStart w:id="100" w:name="_Toc16110"/>
      <w:r>
        <w:rPr>
          <w:rFonts w:hint="eastAsia" w:ascii="仿宋" w:hAnsi="仿宋" w:eastAsia="仿宋" w:cs="仿宋"/>
          <w:b/>
          <w:color w:val="auto"/>
          <w:sz w:val="24"/>
        </w:rPr>
        <w:t>2.6 技术资料</w:t>
      </w:r>
      <w:bookmarkEnd w:id="92"/>
      <w:bookmarkEnd w:id="93"/>
      <w:bookmarkEnd w:id="94"/>
      <w:bookmarkEnd w:id="95"/>
      <w:bookmarkEnd w:id="96"/>
      <w:bookmarkEnd w:id="97"/>
      <w:r>
        <w:rPr>
          <w:rFonts w:hint="eastAsia" w:ascii="仿宋" w:hAnsi="仿宋" w:eastAsia="仿宋" w:cs="仿宋"/>
          <w:b/>
          <w:color w:val="auto"/>
          <w:sz w:val="24"/>
        </w:rPr>
        <w:t>和保密义务</w:t>
      </w:r>
      <w:bookmarkEnd w:id="98"/>
      <w:bookmarkEnd w:id="99"/>
      <w:bookmarkEnd w:id="10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1" w:name="_Toc7860"/>
      <w:r>
        <w:rPr>
          <w:rFonts w:hint="eastAsia" w:ascii="仿宋" w:hAnsi="仿宋" w:eastAsia="仿宋" w:cs="仿宋"/>
          <w:b/>
          <w:color w:val="auto"/>
          <w:sz w:val="24"/>
        </w:rPr>
        <w:t>2.7 质量保证</w:t>
      </w:r>
      <w:bookmarkEnd w:id="1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2" w:name="_Toc17244"/>
      <w:bookmarkStart w:id="103" w:name="_Toc487900362"/>
      <w:bookmarkStart w:id="104" w:name="_Toc279701252"/>
      <w:bookmarkStart w:id="105" w:name="_Toc259093681"/>
      <w:r>
        <w:rPr>
          <w:rFonts w:hint="eastAsia" w:ascii="仿宋" w:hAnsi="仿宋" w:eastAsia="仿宋" w:cs="仿宋"/>
          <w:b/>
          <w:color w:val="auto"/>
          <w:sz w:val="24"/>
        </w:rPr>
        <w:t>2.8 服务的风险负担</w:t>
      </w:r>
      <w:bookmarkEnd w:id="10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服务过程中涉及的风险负担详见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6" w:name="_Toc14055"/>
      <w:r>
        <w:rPr>
          <w:rFonts w:hint="eastAsia" w:ascii="仿宋" w:hAnsi="仿宋" w:eastAsia="仿宋" w:cs="仿宋"/>
          <w:b/>
          <w:color w:val="auto"/>
          <w:sz w:val="24"/>
        </w:rPr>
        <w:t>2.9 延迟</w:t>
      </w:r>
      <w:bookmarkEnd w:id="103"/>
      <w:bookmarkEnd w:id="104"/>
      <w:bookmarkEnd w:id="105"/>
      <w:bookmarkEnd w:id="106"/>
      <w:r>
        <w:rPr>
          <w:rFonts w:hint="eastAsia" w:ascii="仿宋" w:hAnsi="仿宋" w:eastAsia="仿宋" w:cs="仿宋"/>
          <w:b/>
          <w:color w:val="auto"/>
          <w:sz w:val="24"/>
        </w:rPr>
        <w:t>交付</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color w:val="auto"/>
          <w:sz w:val="24"/>
        </w:rPr>
      </w:pPr>
      <w:bookmarkStart w:id="107" w:name="_Toc7502"/>
      <w:bookmarkStart w:id="108" w:name="_Ref467378121"/>
      <w:bookmarkStart w:id="109" w:name="_Toc279701254"/>
      <w:bookmarkStart w:id="110" w:name="_Toc487900364"/>
      <w:bookmarkStart w:id="111" w:name="_Toc259093683"/>
      <w:r>
        <w:rPr>
          <w:rFonts w:hint="eastAsia" w:ascii="仿宋" w:hAnsi="仿宋" w:eastAsia="仿宋" w:cs="仿宋"/>
          <w:b/>
          <w:color w:val="auto"/>
          <w:sz w:val="24"/>
        </w:rPr>
        <w:t>2.10合同变更</w:t>
      </w:r>
      <w:bookmarkEnd w:id="10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2" w:name="_Toc279701259"/>
      <w:bookmarkStart w:id="113" w:name="_Toc487900369"/>
      <w:bookmarkStart w:id="114" w:name="_Toc259093688"/>
    </w:p>
    <w:p>
      <w:pPr>
        <w:spacing w:line="560" w:lineRule="exact"/>
        <w:ind w:firstLine="482" w:firstLineChars="200"/>
        <w:outlineLvl w:val="0"/>
        <w:rPr>
          <w:rFonts w:hint="eastAsia" w:ascii="仿宋" w:hAnsi="仿宋" w:eastAsia="仿宋" w:cs="仿宋"/>
          <w:b/>
          <w:color w:val="auto"/>
          <w:sz w:val="24"/>
        </w:rPr>
      </w:pPr>
      <w:bookmarkStart w:id="115" w:name="_Toc22955"/>
      <w:bookmarkStart w:id="116" w:name="_Toc15237"/>
      <w:bookmarkStart w:id="117" w:name="_Toc10366"/>
      <w:r>
        <w:rPr>
          <w:rFonts w:hint="eastAsia" w:ascii="仿宋" w:hAnsi="仿宋" w:eastAsia="仿宋" w:cs="仿宋"/>
          <w:b/>
          <w:color w:val="auto"/>
          <w:sz w:val="24"/>
        </w:rPr>
        <w:t>2.11合同转让</w:t>
      </w:r>
      <w:bookmarkEnd w:id="112"/>
      <w:bookmarkEnd w:id="113"/>
      <w:bookmarkEnd w:id="114"/>
      <w:r>
        <w:rPr>
          <w:rFonts w:hint="eastAsia" w:ascii="仿宋" w:hAnsi="仿宋" w:eastAsia="仿宋" w:cs="仿宋"/>
          <w:b/>
          <w:color w:val="auto"/>
          <w:sz w:val="24"/>
        </w:rPr>
        <w:t>和分包</w:t>
      </w:r>
      <w:bookmarkEnd w:id="115"/>
      <w:bookmarkEnd w:id="116"/>
      <w:bookmarkEnd w:id="117"/>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18" w:name="_Toc13566"/>
      <w:bookmarkStart w:id="119" w:name="_Toc16508"/>
      <w:bookmarkStart w:id="120" w:name="_Toc14066"/>
      <w:r>
        <w:rPr>
          <w:rFonts w:hint="eastAsia" w:ascii="仿宋" w:hAnsi="仿宋" w:eastAsia="仿宋" w:cs="仿宋"/>
          <w:b/>
          <w:color w:val="auto"/>
          <w:sz w:val="24"/>
        </w:rPr>
        <w:t>2.12不可抗力</w:t>
      </w:r>
      <w:bookmarkEnd w:id="118"/>
      <w:bookmarkEnd w:id="119"/>
      <w:bookmarkEnd w:id="12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1" w:name="_Toc259093684"/>
      <w:bookmarkStart w:id="122" w:name="_Toc487900365"/>
      <w:bookmarkStart w:id="123" w:name="_Toc30676"/>
      <w:bookmarkStart w:id="124" w:name="_Toc279701255"/>
      <w:bookmarkStart w:id="125" w:name="_Toc6969"/>
      <w:bookmarkStart w:id="126" w:name="_Toc689"/>
      <w:r>
        <w:rPr>
          <w:rFonts w:hint="eastAsia" w:ascii="仿宋" w:hAnsi="仿宋" w:eastAsia="仿宋" w:cs="仿宋"/>
          <w:b/>
          <w:color w:val="auto"/>
          <w:sz w:val="24"/>
        </w:rPr>
        <w:t>2.13 税费</w:t>
      </w:r>
      <w:bookmarkEnd w:id="121"/>
      <w:bookmarkEnd w:id="122"/>
      <w:bookmarkEnd w:id="123"/>
      <w:bookmarkEnd w:id="124"/>
      <w:bookmarkEnd w:id="125"/>
      <w:bookmarkEnd w:id="12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7" w:name="_Toc487900368"/>
      <w:bookmarkStart w:id="128" w:name="_Toc8298"/>
      <w:bookmarkStart w:id="129" w:name="_Toc7102"/>
      <w:bookmarkStart w:id="130" w:name="_Toc259093687"/>
      <w:bookmarkStart w:id="131" w:name="_Toc16959"/>
      <w:bookmarkStart w:id="132" w:name="_Toc279701258"/>
      <w:r>
        <w:rPr>
          <w:rFonts w:hint="eastAsia" w:ascii="仿宋" w:hAnsi="仿宋" w:eastAsia="仿宋" w:cs="仿宋"/>
          <w:b/>
          <w:color w:val="auto"/>
          <w:sz w:val="24"/>
        </w:rPr>
        <w:t>2.14乙方破产</w:t>
      </w:r>
      <w:bookmarkEnd w:id="127"/>
      <w:bookmarkEnd w:id="128"/>
      <w:bookmarkEnd w:id="129"/>
      <w:bookmarkEnd w:id="130"/>
      <w:bookmarkEnd w:id="131"/>
      <w:bookmarkEnd w:id="13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3" w:name="_Toc15387"/>
      <w:bookmarkStart w:id="134" w:name="_Toc29333"/>
      <w:bookmarkStart w:id="135" w:name="_Toc6134"/>
      <w:r>
        <w:rPr>
          <w:rFonts w:hint="eastAsia" w:ascii="仿宋" w:hAnsi="仿宋" w:eastAsia="仿宋" w:cs="仿宋"/>
          <w:b/>
          <w:color w:val="auto"/>
          <w:sz w:val="24"/>
        </w:rPr>
        <w:t>2.15合同中止、终止</w:t>
      </w:r>
      <w:bookmarkEnd w:id="133"/>
      <w:bookmarkEnd w:id="134"/>
      <w:bookmarkEnd w:id="13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6" w:name="_Toc1125"/>
      <w:bookmarkStart w:id="137" w:name="_Toc6596"/>
      <w:bookmarkStart w:id="138" w:name="_Toc14563"/>
      <w:r>
        <w:rPr>
          <w:rFonts w:hint="eastAsia" w:ascii="仿宋" w:hAnsi="仿宋" w:eastAsia="仿宋" w:cs="仿宋"/>
          <w:b/>
          <w:color w:val="auto"/>
          <w:sz w:val="24"/>
        </w:rPr>
        <w:t>2.16检验和验收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8"/>
    <w:bookmarkEnd w:id="109"/>
    <w:bookmarkEnd w:id="110"/>
    <w:bookmarkEnd w:id="111"/>
    <w:p>
      <w:pPr>
        <w:spacing w:line="560" w:lineRule="exact"/>
        <w:ind w:firstLine="482" w:firstLineChars="200"/>
        <w:outlineLvl w:val="0"/>
        <w:rPr>
          <w:rFonts w:hint="eastAsia" w:ascii="仿宋" w:hAnsi="仿宋" w:eastAsia="仿宋" w:cs="仿宋"/>
          <w:b/>
          <w:color w:val="auto"/>
          <w:sz w:val="24"/>
        </w:rPr>
      </w:pPr>
      <w:bookmarkStart w:id="139" w:name="_Toc279701261"/>
      <w:bookmarkStart w:id="140" w:name="_Toc259093690"/>
      <w:bookmarkStart w:id="141" w:name="_Toc487900371"/>
      <w:bookmarkStart w:id="142" w:name="_Toc11284"/>
      <w:bookmarkStart w:id="143" w:name="_Toc25182"/>
      <w:bookmarkStart w:id="144" w:name="_Toc19604"/>
      <w:r>
        <w:rPr>
          <w:rFonts w:hint="eastAsia" w:ascii="仿宋" w:hAnsi="仿宋" w:eastAsia="仿宋" w:cs="仿宋"/>
          <w:b/>
          <w:color w:val="auto"/>
          <w:sz w:val="24"/>
        </w:rPr>
        <w:t>2.17通知</w:t>
      </w:r>
      <w:bookmarkEnd w:id="139"/>
      <w:bookmarkEnd w:id="140"/>
      <w:bookmarkEnd w:id="141"/>
      <w:r>
        <w:rPr>
          <w:rFonts w:hint="eastAsia" w:ascii="仿宋" w:hAnsi="仿宋" w:eastAsia="仿宋" w:cs="仿宋"/>
          <w:b/>
          <w:color w:val="auto"/>
          <w:sz w:val="24"/>
        </w:rPr>
        <w:t>和送达</w:t>
      </w:r>
      <w:bookmarkEnd w:id="142"/>
      <w:bookmarkEnd w:id="143"/>
      <w:bookmarkEnd w:id="144"/>
    </w:p>
    <w:p>
      <w:pPr>
        <w:spacing w:line="560" w:lineRule="exact"/>
        <w:ind w:firstLine="480" w:firstLineChars="200"/>
        <w:rPr>
          <w:rFonts w:hint="eastAsia" w:ascii="仿宋" w:hAnsi="仿宋" w:eastAsia="仿宋" w:cs="仿宋"/>
          <w:color w:val="auto"/>
          <w:sz w:val="24"/>
        </w:rPr>
      </w:pPr>
      <w:bookmarkStart w:id="145" w:name="_Toc3135"/>
      <w:bookmarkStart w:id="146" w:name="_Toc6698"/>
      <w:bookmarkStart w:id="147" w:name="_Toc487900372"/>
      <w:bookmarkStart w:id="148" w:name="_Toc259093691"/>
      <w:bookmarkStart w:id="149" w:name="_Toc279701262"/>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hint="eastAsia" w:ascii="仿宋" w:hAnsi="仿宋" w:eastAsia="仿宋" w:cs="仿宋"/>
          <w:color w:val="auto"/>
          <w:sz w:val="24"/>
        </w:rPr>
      </w:pPr>
      <w:bookmarkStart w:id="150" w:name="_Toc23294"/>
      <w:bookmarkStart w:id="151"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hint="eastAsia" w:ascii="仿宋" w:hAnsi="仿宋" w:eastAsia="仿宋" w:cs="仿宋"/>
          <w:b/>
          <w:color w:val="auto"/>
          <w:sz w:val="24"/>
        </w:rPr>
      </w:pPr>
      <w:bookmarkStart w:id="152" w:name="_Toc18540"/>
      <w:bookmarkStart w:id="153" w:name="_Toc4355"/>
      <w:bookmarkStart w:id="154" w:name="_Toc30599"/>
      <w:r>
        <w:rPr>
          <w:rFonts w:hint="eastAsia" w:ascii="仿宋" w:hAnsi="仿宋" w:eastAsia="仿宋" w:cs="仿宋"/>
          <w:b/>
          <w:color w:val="auto"/>
          <w:sz w:val="24"/>
        </w:rPr>
        <w:t>2.18 计量单位</w:t>
      </w:r>
      <w:bookmarkEnd w:id="147"/>
      <w:bookmarkEnd w:id="148"/>
      <w:bookmarkEnd w:id="149"/>
      <w:bookmarkEnd w:id="152"/>
      <w:bookmarkEnd w:id="153"/>
      <w:bookmarkEnd w:id="1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5" w:name="_Toc487900373"/>
      <w:bookmarkStart w:id="156" w:name="_Toc18567"/>
      <w:bookmarkStart w:id="157" w:name="_Toc279701263"/>
      <w:bookmarkStart w:id="158" w:name="_Toc10330"/>
      <w:bookmarkStart w:id="159" w:name="_Toc259093692"/>
      <w:bookmarkStart w:id="160" w:name="_Toc12773"/>
      <w:r>
        <w:rPr>
          <w:rFonts w:hint="eastAsia" w:ascii="仿宋" w:hAnsi="仿宋" w:eastAsia="仿宋" w:cs="仿宋"/>
          <w:b/>
          <w:color w:val="auto"/>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1" w:name="_Toc259093693"/>
      <w:bookmarkStart w:id="162" w:name="_Toc3148"/>
      <w:bookmarkStart w:id="163" w:name="_Toc16673"/>
      <w:bookmarkStart w:id="164" w:name="_Toc12004"/>
      <w:bookmarkStart w:id="165" w:name="_Toc279701264"/>
      <w:bookmarkStart w:id="166" w:name="_Toc487900374"/>
      <w:r>
        <w:rPr>
          <w:rFonts w:hint="eastAsia" w:ascii="仿宋" w:hAnsi="仿宋" w:eastAsia="仿宋" w:cs="仿宋"/>
          <w:b/>
          <w:color w:val="auto"/>
          <w:sz w:val="24"/>
        </w:rPr>
        <w:t>2.20 履约保证金</w:t>
      </w:r>
      <w:bookmarkEnd w:id="161"/>
      <w:bookmarkEnd w:id="162"/>
      <w:bookmarkEnd w:id="163"/>
      <w:bookmarkEnd w:id="164"/>
      <w:bookmarkEnd w:id="165"/>
    </w:p>
    <w:p>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sz w:val="24"/>
        </w:rPr>
        <w:t>2.20.1 采购文件要求乙方提交履约保证金的，乙方应按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约定的方式，以支票、汇票、本票或者金融机构、担保机构出具的保函等非现金形式，提交合同金额1%的履约保证金；鼓励和支持乙方以银行、保险公司出具的保函形式提供履约保证。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hint="eastAsia" w:ascii="仿宋" w:hAnsi="仿宋" w:eastAsia="仿宋" w:cs="仿宋"/>
          <w:b/>
          <w:color w:val="auto"/>
          <w:sz w:val="24"/>
        </w:rPr>
      </w:pPr>
      <w:bookmarkStart w:id="167" w:name="_Toc14001"/>
      <w:bookmarkStart w:id="168" w:name="_Toc6885"/>
      <w:bookmarkStart w:id="169" w:name="_Toc19890"/>
      <w:r>
        <w:rPr>
          <w:rFonts w:hint="eastAsia" w:ascii="仿宋" w:hAnsi="仿宋" w:eastAsia="仿宋" w:cs="仿宋"/>
          <w:b/>
          <w:color w:val="auto"/>
          <w:sz w:val="24"/>
        </w:rPr>
        <w:t>2.22合同份数</w:t>
      </w:r>
      <w:bookmarkEnd w:id="167"/>
      <w:bookmarkEnd w:id="168"/>
      <w:bookmarkEnd w:id="1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4"/>
        <w:spacing w:line="560" w:lineRule="exact"/>
        <w:jc w:val="center"/>
        <w:rPr>
          <w:rFonts w:hint="eastAsia" w:ascii="仿宋" w:hAnsi="仿宋" w:eastAsia="仿宋" w:cs="仿宋"/>
          <w:b/>
          <w:color w:val="auto"/>
        </w:rPr>
      </w:pPr>
      <w:r>
        <w:rPr>
          <w:rFonts w:hint="eastAsia" w:ascii="仿宋" w:hAnsi="仿宋" w:eastAsia="仿宋" w:cs="仿宋"/>
          <w:color w:val="auto"/>
          <w:kern w:val="0"/>
        </w:rPr>
        <w:br w:type="page"/>
      </w:r>
      <w:bookmarkStart w:id="170" w:name="_Toc331685784"/>
      <w:bookmarkEnd w:id="170"/>
      <w:r>
        <w:rPr>
          <w:rFonts w:hint="eastAsia" w:ascii="仿宋" w:hAnsi="仿宋" w:eastAsia="仿宋" w:cs="仿宋"/>
          <w:b/>
          <w:color w:val="auto"/>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53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1.5.7 </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2.8</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2.16.2 </w:t>
            </w:r>
          </w:p>
        </w:tc>
        <w:tc>
          <w:tcPr>
            <w:tcW w:w="453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2.22</w:t>
            </w:r>
          </w:p>
        </w:tc>
        <w:tc>
          <w:tcPr>
            <w:tcW w:w="4534" w:type="pct"/>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b/>
          <w:color w:val="auto"/>
          <w:sz w:val="36"/>
          <w:szCs w:val="36"/>
        </w:rPr>
      </w:pPr>
      <w:r>
        <w:rPr>
          <w:rFonts w:hint="eastAsia" w:ascii="仿宋" w:hAnsi="仿宋" w:eastAsia="仿宋" w:cs="仿宋"/>
          <w:color w:val="auto"/>
          <w:sz w:val="24"/>
        </w:rPr>
        <w:t>（注：在正式签约时，根据上述精神应拟就更为详尽的合同书）</w:t>
      </w:r>
    </w:p>
    <w:p>
      <w:pPr>
        <w:snapToGrid w:val="0"/>
        <w:spacing w:line="440" w:lineRule="exact"/>
        <w:jc w:val="center"/>
        <w:rPr>
          <w:rFonts w:hint="eastAsia" w:ascii="仿宋" w:hAnsi="仿宋" w:eastAsia="仿宋" w:cs="仿宋"/>
          <w:b/>
          <w:color w:val="auto"/>
          <w:sz w:val="36"/>
          <w:szCs w:val="36"/>
        </w:rPr>
      </w:pPr>
    </w:p>
    <w:p>
      <w:pPr>
        <w:pStyle w:val="24"/>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2.1商务技术分（70分）</w:t>
      </w:r>
    </w:p>
    <w:tbl>
      <w:tblPr>
        <w:tblStyle w:val="43"/>
        <w:tblpPr w:leftFromText="180" w:rightFromText="180" w:vertAnchor="text" w:horzAnchor="page" w:tblpXSpec="center" w:tblpY="259"/>
        <w:tblOverlap w:val="never"/>
        <w:tblW w:w="10553" w:type="dxa"/>
        <w:jc w:val="center"/>
        <w:tblLayout w:type="fixed"/>
        <w:tblCellMar>
          <w:top w:w="0" w:type="dxa"/>
          <w:left w:w="108" w:type="dxa"/>
          <w:bottom w:w="0" w:type="dxa"/>
          <w:right w:w="108" w:type="dxa"/>
        </w:tblCellMar>
      </w:tblPr>
      <w:tblGrid>
        <w:gridCol w:w="885"/>
        <w:gridCol w:w="1134"/>
        <w:gridCol w:w="7303"/>
        <w:gridCol w:w="1231"/>
      </w:tblGrid>
      <w:tr>
        <w:tblPrEx>
          <w:tblCellMar>
            <w:top w:w="0" w:type="dxa"/>
            <w:left w:w="108" w:type="dxa"/>
            <w:bottom w:w="0" w:type="dxa"/>
            <w:right w:w="108" w:type="dxa"/>
          </w:tblCellMar>
        </w:tblPrEx>
        <w:trPr>
          <w:trHeight w:val="439"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评分项目</w:t>
            </w:r>
          </w:p>
        </w:tc>
        <w:tc>
          <w:tcPr>
            <w:tcW w:w="73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评分标准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分值</w:t>
            </w:r>
          </w:p>
        </w:tc>
      </w:tr>
      <w:tr>
        <w:tblPrEx>
          <w:tblCellMar>
            <w:top w:w="0" w:type="dxa"/>
            <w:left w:w="108" w:type="dxa"/>
            <w:bottom w:w="0" w:type="dxa"/>
            <w:right w:w="108" w:type="dxa"/>
          </w:tblCellMar>
        </w:tblPrEx>
        <w:trPr>
          <w:trHeight w:val="257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企业实力</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（5分）</w:t>
            </w:r>
          </w:p>
        </w:tc>
        <w:tc>
          <w:tcPr>
            <w:tcW w:w="7303" w:type="dxa"/>
            <w:tcBorders>
              <w:top w:val="single" w:color="auto" w:sz="4" w:space="0"/>
              <w:left w:val="single" w:color="auto" w:sz="4" w:space="0"/>
              <w:bottom w:val="single" w:color="auto" w:sz="4" w:space="0"/>
              <w:right w:val="single" w:color="auto" w:sz="4" w:space="0"/>
            </w:tcBorders>
          </w:tcPr>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1.具有ISO22000认证食品安全管理体系认证，得1分；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2.具有HACCP管理体系认证，得1分；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3.具有ISO9001质量管理体系认证,得1分；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4.投标人具有有效期内的ISO45001或GB/T45001或GB/T28001职业健康管理体系认证，得1分。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5.具有绿色无公害食品证书，得1分。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投标人需提供</w:t>
            </w:r>
            <w:r>
              <w:rPr>
                <w:rFonts w:hint="eastAsia" w:ascii="仿宋" w:hAnsi="仿宋" w:eastAsia="仿宋" w:cs="仿宋"/>
                <w:color w:val="auto"/>
                <w:szCs w:val="21"/>
                <w:lang w:val="zh-CN"/>
              </w:rPr>
              <w:t>清晰的证书原件扫描件并加盖公章，认证证书须在有效期范围内，并与所投标段内容相符合，不提供不得分。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5</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食品安全责任保险</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（6分）</w:t>
            </w:r>
          </w:p>
        </w:tc>
        <w:tc>
          <w:tcPr>
            <w:tcW w:w="730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根据投标人提供的食品安全责任保险打分，最高得6分。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安全责任险在3000万以上的得6分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安全责任险在2000万-3000万（含）以上的得4分；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安全责任险在1000万-2000万（含）的得3分；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安全责任险在500万-1000万（含）的得2分；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安全责任险在100万-500万（含）的得1分。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需提供缴纳食品安全责任保险证明资料复印件加盖公章。</w:t>
            </w:r>
          </w:p>
          <w:p>
            <w:pPr>
              <w:pStyle w:val="24"/>
              <w:rPr>
                <w:rFonts w:hint="eastAsia" w:ascii="仿宋" w:hAnsi="仿宋" w:eastAsia="仿宋" w:cs="仿宋"/>
                <w:color w:val="auto"/>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6</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企业业绩</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2021年1月1日以来投标人承担过机关事业或政府类似项目成功案例，每一项得1分，最高得3分。</w:t>
            </w:r>
          </w:p>
          <w:p>
            <w:pPr>
              <w:pStyle w:val="16"/>
              <w:rPr>
                <w:rFonts w:hint="eastAsia" w:ascii="仿宋" w:hAnsi="仿宋" w:eastAsia="仿宋" w:cs="仿宋"/>
                <w:b w:val="0"/>
                <w:bCs/>
                <w:color w:val="auto"/>
              </w:rPr>
            </w:pPr>
            <w:r>
              <w:rPr>
                <w:rFonts w:hint="eastAsia" w:ascii="仿宋" w:hAnsi="仿宋" w:eastAsia="仿宋" w:cs="仿宋"/>
                <w:b w:val="0"/>
                <w:bCs/>
                <w:color w:val="auto"/>
                <w:szCs w:val="21"/>
              </w:rPr>
              <w:t>（投标文件中提供清晰的业绩合同复印件和合同期内至少一季度的发票</w:t>
            </w:r>
          </w:p>
          <w:p>
            <w:pPr>
              <w:spacing w:line="288" w:lineRule="auto"/>
              <w:rPr>
                <w:rFonts w:hint="eastAsia" w:ascii="仿宋" w:hAnsi="仿宋" w:eastAsia="仿宋" w:cs="仿宋"/>
                <w:color w:val="auto"/>
                <w:szCs w:val="21"/>
              </w:rPr>
            </w:pPr>
            <w:r>
              <w:rPr>
                <w:rFonts w:hint="eastAsia" w:ascii="仿宋" w:hAnsi="仿宋" w:eastAsia="仿宋" w:cs="仿宋"/>
                <w:b w:val="0"/>
                <w:bCs/>
                <w:color w:val="auto"/>
                <w:szCs w:val="21"/>
              </w:rPr>
              <w:t>并加盖投标人公章，合同时间以签订时间为准，并提供与合同相匹配的采购金额证明，未提供不得分）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r>
      <w:tr>
        <w:tblPrEx>
          <w:tblCellMar>
            <w:top w:w="0" w:type="dxa"/>
            <w:left w:w="108" w:type="dxa"/>
            <w:bottom w:w="0" w:type="dxa"/>
            <w:right w:w="108" w:type="dxa"/>
          </w:tblCellMar>
        </w:tblPrEx>
        <w:trPr>
          <w:trHeight w:val="90"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1134"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检测能力</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（12分）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投标人提供半年内所投标段相关产品政府部门认可的第三方检验机构出具的合格报告，最高得3分。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1.6个批次及以上报告得3分；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2.3个批次及以上报告得2分；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3.1个批次及以上报告得1分。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需提供相关的证明资料加盖投标人公章。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r>
      <w:tr>
        <w:tblPrEx>
          <w:tblCellMar>
            <w:top w:w="0" w:type="dxa"/>
            <w:left w:w="108" w:type="dxa"/>
            <w:bottom w:w="0" w:type="dxa"/>
            <w:right w:w="108" w:type="dxa"/>
          </w:tblCellMar>
        </w:tblPrEx>
        <w:trPr>
          <w:trHeight w:val="1825" w:hRule="atLeast"/>
          <w:jc w:val="center"/>
        </w:trPr>
        <w:tc>
          <w:tcPr>
            <w:tcW w:w="885" w:type="dxa"/>
            <w:vMerge w:val="continue"/>
            <w:tcBorders>
              <w:left w:val="single" w:color="auto" w:sz="4" w:space="0"/>
              <w:right w:val="single" w:color="auto" w:sz="4" w:space="0"/>
            </w:tcBorders>
            <w:vAlign w:val="center"/>
          </w:tcPr>
          <w:p>
            <w:pPr>
              <w:spacing w:line="288" w:lineRule="auto"/>
              <w:rPr>
                <w:rFonts w:hint="eastAsia" w:ascii="仿宋" w:hAnsi="仿宋" w:eastAsia="仿宋" w:cs="仿宋"/>
                <w:color w:val="auto"/>
                <w:szCs w:val="21"/>
              </w:rPr>
            </w:pPr>
          </w:p>
        </w:tc>
        <w:tc>
          <w:tcPr>
            <w:tcW w:w="1134" w:type="dxa"/>
            <w:vMerge w:val="continue"/>
            <w:tcBorders>
              <w:left w:val="single" w:color="auto" w:sz="4" w:space="0"/>
              <w:right w:val="single" w:color="auto" w:sz="4" w:space="0"/>
            </w:tcBorders>
            <w:vAlign w:val="center"/>
          </w:tcPr>
          <w:p>
            <w:pPr>
              <w:spacing w:line="288" w:lineRule="auto"/>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1.根据投标人提供的相关检测制度的可行性、科学性、先进性进行打分，0-2分。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2.根据投标人提供的适用于本项目的相关检测设备设施的数量、先进性和合理性进行打分，0-3分（提供设备采购发票；提供设备功能性证明材料，例产品说明书等）；</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3.自有专业的检测检验员，每人得2分，最高得4分。提供职业证书复印件或官方网页截图和社保证明，加盖投标人公章。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9</w:t>
            </w:r>
          </w:p>
        </w:tc>
      </w:tr>
      <w:tr>
        <w:tblPrEx>
          <w:tblCellMar>
            <w:top w:w="0" w:type="dxa"/>
            <w:left w:w="108" w:type="dxa"/>
            <w:bottom w:w="0" w:type="dxa"/>
            <w:right w:w="108" w:type="dxa"/>
          </w:tblCellMar>
        </w:tblPrEx>
        <w:trPr>
          <w:trHeight w:val="522"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5</w:t>
            </w:r>
          </w:p>
        </w:tc>
        <w:tc>
          <w:tcPr>
            <w:tcW w:w="1134"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服务质量承诺</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（7分）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根据投标人服务保证、质量承诺等情况进行综合打分，0-3分。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r>
      <w:tr>
        <w:tblPrEx>
          <w:tblCellMar>
            <w:top w:w="0" w:type="dxa"/>
            <w:left w:w="108" w:type="dxa"/>
            <w:bottom w:w="0" w:type="dxa"/>
            <w:right w:w="108" w:type="dxa"/>
          </w:tblCellMar>
        </w:tblPrEx>
        <w:trPr>
          <w:trHeight w:val="989"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对验收不合格的产品，承诺在半小时内处理完毕的得4分；在1小时内处理完毕的得2分，在1.5小时内处理完毕的得1分，其余不得分，需提供承诺函，格式自拟。</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1427"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人员保障</w:t>
            </w:r>
          </w:p>
          <w:p>
            <w:p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（9分）</w:t>
            </w:r>
          </w:p>
        </w:tc>
        <w:tc>
          <w:tcPr>
            <w:tcW w:w="7303" w:type="dxa"/>
            <w:tcBorders>
              <w:top w:val="single" w:color="auto" w:sz="4" w:space="0"/>
              <w:left w:val="single" w:color="auto" w:sz="4" w:space="0"/>
              <w:bottom w:val="single" w:color="auto" w:sz="4" w:space="0"/>
              <w:right w:val="single" w:color="auto" w:sz="4" w:space="0"/>
            </w:tcBorders>
          </w:tcPr>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1.拟投入本项目的负责人具有大专及以上学历，同时具有3年以上相关项目管理经验和健康证，提供证书复印件和社保证明加盖投标人公章得3分,缺任一项不得分。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2.拟投入本项目的其他成员人数达到5人得2分，每增加5人得2分，最高得6分，需提供社保证明加盖投标人公章。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9</w:t>
            </w:r>
          </w:p>
        </w:tc>
      </w:tr>
      <w:tr>
        <w:tblPrEx>
          <w:tblCellMar>
            <w:top w:w="0" w:type="dxa"/>
            <w:left w:w="108" w:type="dxa"/>
            <w:bottom w:w="0" w:type="dxa"/>
            <w:right w:w="108" w:type="dxa"/>
          </w:tblCellMar>
        </w:tblPrEx>
        <w:trPr>
          <w:trHeight w:val="1380"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7</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配送服务</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c>
          <w:tcPr>
            <w:tcW w:w="7303" w:type="dxa"/>
            <w:tcBorders>
              <w:top w:val="single" w:color="auto" w:sz="4" w:space="0"/>
              <w:left w:val="single" w:color="auto" w:sz="4" w:space="0"/>
              <w:bottom w:val="single" w:color="auto" w:sz="4" w:space="0"/>
              <w:right w:val="single" w:color="auto" w:sz="4" w:space="0"/>
            </w:tcBorders>
          </w:tcPr>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02标段：</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1.投标人提供其自有的机动车辆1辆，得2分，最高得4分；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2.投标人提供自有的厢式配送车辆1辆，得1分，最高得2分；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投标人需提供车辆所有人与投标人名称相符的行驶证等证明材料，未提供不得分；</w:t>
            </w:r>
          </w:p>
        </w:tc>
        <w:tc>
          <w:tcPr>
            <w:tcW w:w="1231"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6</w:t>
            </w:r>
          </w:p>
        </w:tc>
      </w:tr>
      <w:tr>
        <w:tblPrEx>
          <w:tblCellMar>
            <w:top w:w="0" w:type="dxa"/>
            <w:left w:w="108" w:type="dxa"/>
            <w:bottom w:w="0" w:type="dxa"/>
            <w:right w:w="108" w:type="dxa"/>
          </w:tblCellMar>
        </w:tblPrEx>
        <w:trPr>
          <w:trHeight w:val="90"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01标段、03标段、04标段、05标段、06标段、07标段、08标段：</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1.投标人提供其自有的机动车辆1辆，得1分，最高得2分；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2.投标人提供自有的冷链配送车辆1辆，得1分，最高得2分；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3.投标人提供自有的厢式配送车辆1辆，得1分，最高得2分。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投标人需提供车辆所有人与投标人名称相符的行驶证等证明材料，未提供不得分；</w:t>
            </w:r>
          </w:p>
        </w:tc>
        <w:tc>
          <w:tcPr>
            <w:tcW w:w="1231"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r>
      <w:tr>
        <w:tblPrEx>
          <w:tblCellMar>
            <w:top w:w="0" w:type="dxa"/>
            <w:left w:w="108" w:type="dxa"/>
            <w:bottom w:w="0" w:type="dxa"/>
            <w:right w:w="108" w:type="dxa"/>
          </w:tblCellMar>
        </w:tblPrEx>
        <w:trPr>
          <w:trHeight w:val="90"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配送人员中具有有效期内的食品安全管理员证的，每一名得2分，最高得4分。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（需提供相关安全管理员证书复印件和社保证明，加盖投标人公章）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604"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8</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实施方案（8分）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根据投标人提供的总体配送实施方案（包含安全保障方案、配送过程、仓储管理、难点要点分析以及合理性和可实施性等）打分，0-4分。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898"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根据投标人提供的应急实施方案(临时突发性特殊采购、紧急采购、大宗采购等服务项目)的科学性、合理性，严密性、可行性进行综合评分，0-4分。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01标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蔬菜类、米面制品</w:t>
            </w:r>
          </w:p>
        </w:tc>
        <w:tc>
          <w:tcPr>
            <w:tcW w:w="7303" w:type="dxa"/>
            <w:tcBorders>
              <w:top w:val="single" w:color="auto" w:sz="4" w:space="0"/>
              <w:left w:val="single" w:color="auto" w:sz="4" w:space="0"/>
              <w:bottom w:val="single" w:color="auto" w:sz="4" w:space="0"/>
              <w:right w:val="single" w:color="auto" w:sz="4" w:space="0"/>
            </w:tcBorders>
            <w:vAlign w:val="center"/>
          </w:tcPr>
          <w:p>
            <w:pPr>
              <w:numPr>
                <w:ilvl w:val="0"/>
                <w:numId w:val="9"/>
              </w:num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本项不累计分数，最高得4分。</w:t>
            </w:r>
          </w:p>
          <w:p>
            <w:pPr>
              <w:tabs>
                <w:tab w:val="left" w:pos="312"/>
              </w:tabs>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1.1投标人有自有基地或控股（绝对或相对均可）基地300亩（含）以上，或仓储面积在3000（含）㎡以上的得4分；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1.2投标人有自有基地或控股基地300亩-250亩（含），或仓储面积在3000㎡-2000㎡（含）之间的得3分；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1.3投标人有自有基地或控股基地250亩-200亩（含），或仓储面积在2000㎡-1000㎡（含）之间的得2分；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1.4投标人有自有基地或控股基地200亩-100亩（含），或仓储面积在1000㎡-500㎡（含）之间的得1分。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2.承诺为采购方无偿提供现场净菜服务人员1名得1.5分，最高得3分。</w:t>
            </w:r>
          </w:p>
          <w:p>
            <w:pPr>
              <w:spacing w:line="288" w:lineRule="auto"/>
              <w:rPr>
                <w:rFonts w:hint="eastAsia" w:ascii="仿宋" w:hAnsi="仿宋" w:eastAsia="仿宋" w:cs="仿宋"/>
                <w:b w:val="0"/>
                <w:bCs w:val="0"/>
                <w:color w:val="auto"/>
                <w:spacing w:val="-10"/>
                <w:sz w:val="24"/>
              </w:rPr>
            </w:pPr>
            <w:r>
              <w:rPr>
                <w:rFonts w:hint="eastAsia" w:ascii="仿宋" w:hAnsi="仿宋" w:eastAsia="仿宋" w:cs="仿宋"/>
                <w:b w:val="0"/>
                <w:bCs w:val="0"/>
                <w:color w:val="auto"/>
                <w:szCs w:val="21"/>
              </w:rPr>
              <w:t>3.投标人有留样制度及冷柜、冰箱等专用留样设备，留样记录齐全，0-3分。提供最近3个月留样记录。提供每月1份记录复印件加盖投标人公章。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2749"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02标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粮油类（除米面制品）</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1.1投标人有自有仓储面积在2000㎡（含）以上的得4分；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1.2投标人有自有仓储面积在2000㎡-1500㎡（含）之间的得3分；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1.3投标人有自有仓储面积在1500㎡-1000㎡（含）之间的得2分；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1.4投标人有自有仓储面积在1000㎡-500㎡（含）之间的得1分；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2.投标人提供的大米具有绿色食品证书得2分。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kern w:val="0"/>
                <w:szCs w:val="21"/>
              </w:rPr>
              <w:t>3.在满足招标文件</w:t>
            </w:r>
            <w:r>
              <w:rPr>
                <w:rFonts w:hint="eastAsia" w:ascii="仿宋" w:hAnsi="仿宋" w:eastAsia="仿宋" w:cs="仿宋"/>
                <w:b w:val="0"/>
                <w:bCs w:val="0"/>
                <w:color w:val="auto"/>
                <w:szCs w:val="21"/>
              </w:rPr>
              <w:t>要求的基础上，</w:t>
            </w:r>
            <w:r>
              <w:rPr>
                <w:rFonts w:hint="eastAsia" w:ascii="仿宋" w:hAnsi="仿宋" w:eastAsia="仿宋" w:cs="仿宋"/>
                <w:b w:val="0"/>
                <w:bCs w:val="0"/>
                <w:color w:val="auto"/>
                <w:kern w:val="0"/>
                <w:szCs w:val="21"/>
              </w:rPr>
              <w:t>根据投标人所提供的进货货源渠道等情况进行评审，0-4分。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73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03标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猪肉、牛羊肉、兔肉类</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1.在满足招标文件要求的基础上，根据投标人所提供的进货渠道等情况进行评审，0-4分。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2.投标人承诺为采购方无偿提供现场切配服务人员1名得1.5分，最高得3分。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kern w:val="0"/>
                <w:szCs w:val="21"/>
              </w:rPr>
              <w:t>3.投标人有留样制度及冷柜、冰箱等专用留样设备，留样记录齐全，0-3分。提供最近3个月留样记录。提供每月1份记录复印件并加盖投标人公章。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312"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04标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家禽、禽蛋类</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1.1投标人相关经营、养殖场地面积在3000（含）㎡以上的得4分；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1.2投标人相关经营、养殖场地面积在3000㎡-2000㎡（含）之间的得3分；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1.3投标人相关经营、养殖场地面积在 2000㎡-1000㎡（含）之间的得2分。</w:t>
            </w:r>
          </w:p>
          <w:p>
            <w:pPr>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1.4投标人相关经营、养殖场地面积在 1000㎡-500㎡（含）之间的得1分。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2.在满足招标文件要求的基础上，根据投标人所提供的进货渠道等情况进行评审，0-3分。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kern w:val="0"/>
                <w:szCs w:val="21"/>
              </w:rPr>
              <w:t>3.投标人有留样制度及冷柜、冰箱等专用留样设备，留样记录齐全，0-3分。提供最近3个月留样记录。提供每月1份记录复印件并加盖投标人公章。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05标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水产类、冻品</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1.1有自有或经营水产加工厂，经营、加工厂总面积在300（含）亩以上得4分；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1.2有自有或经营水产加工厂，经营、加工厂总面积在300亩-250亩（含）之间的得3分；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1.3有自有或经营水产加工厂，经营、加工厂总面积在250亩-200亩（含）之间的得2分；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1.4有自有或经营水产加工厂，经营、加工厂总面积在200亩-100亩（含）之间的得1分；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2.投标人有保鲜冷库得2分。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3.配有活杀水产从业经验人员，提供从业证明，每1人得2分，最高得4分。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3407"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06标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副食品（除禽蛋类）、调料类、豆制品、水果类</w:t>
            </w:r>
          </w:p>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1.1投标人有自有营业场所或仓储面积在2000㎡（含）以上的得4分；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1.2投标人有自有营业场所或仓储面积在2000㎡-1500㎡（含）之间的得3分；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1.3投标人有自有营业场所或仓储面积在1500㎡-1000㎡（含）之间的得2分；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1.4投标人有自有营业场所或仓储面积在1000㎡-500㎡（含）之间的得1分；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2.投标人有自有冷冻设施得1.5分（冰箱、冰柜不在得分范围）</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3.投标人有自有冷藏设施得1.5分（冰箱、冰柜不在得分范围）</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4.投标人有留样制度及冷柜、冰箱等专用留样设备，留样记录齐全，0-3分。提供最近3个月留样记录。提供每月1份记录复印件并加盖投标人公章。</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以上设施需提供相关证明材料加盖投标人公章。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07标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牛奶、零食、饮料、棒冰</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1.1投标人有自有营业场所或仓储面积在3000㎡（含）以上的得4分；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1.2投标人有自有营业场所或仓储面积在3000㎡-2000㎡（含）之间的得3分；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1.3投标人有自有营业场所或仓储面积在 2000㎡-1000㎡（含）之间的得2分；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1.4投标人有自有营业场所或仓储面积在 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2.投标人有自有冷冻设施得2分（冰箱、冰柜不在得分范围）</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3.投标人有自有冷藏设施得2分（冰箱、冰柜不在得分范围）</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4.投标人承诺为采购方职工食堂小卖部无偿提供服务人员1名得2分，提供社保证明。</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以上设施需提供相关证明材料加盖投标人公章。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1933"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百杂日用品、烘焙原料类、应急、零星特物资</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1.1经营面积5000㎡（含）以上4分；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1.2经营面积5000-4000（含）㎡得3分；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 xml:space="preserve">1.3经营面积要求4000-3000㎡（含）以得2分      </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1.4经营面积要求3000-2000㎡（含）得1分。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2.在满足招标文件要求的基础上，根据投标人所提供的进货渠道等情况进行评审，0-4分。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3.投标人承诺为采购方职工食堂小卖部无偿提供服务人员1名得2分，提供社保证明。</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90" w:hRule="atLeast"/>
          <w:jc w:val="center"/>
        </w:trPr>
        <w:tc>
          <w:tcPr>
            <w:tcW w:w="10553" w:type="dxa"/>
            <w:gridSpan w:val="4"/>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 w:hAnsi="仿宋" w:eastAsia="仿宋" w:cs="仿宋"/>
                <w:color w:val="auto"/>
                <w:szCs w:val="21"/>
              </w:rPr>
            </w:pPr>
            <w:r>
              <w:rPr>
                <w:rFonts w:hint="eastAsia" w:ascii="仿宋" w:hAnsi="仿宋" w:eastAsia="仿宋" w:cs="仿宋"/>
                <w:b/>
                <w:bCs/>
                <w:color w:val="auto"/>
                <w:szCs w:val="21"/>
              </w:rPr>
              <w:t>以上各标项涉及面积内容，投标文件中均需提供房产证明或租赁、承包合同复印件等相关证明材料，未提供不得分。</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2.2价格分（30分）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即：投标报价得分=(评标基准价／投标报价)×30</w:t>
      </w:r>
    </w:p>
    <w:p>
      <w:pPr>
        <w:snapToGrid w:val="0"/>
        <w:spacing w:line="360" w:lineRule="auto"/>
        <w:rPr>
          <w:rFonts w:hint="eastAsia" w:ascii="仿宋" w:hAnsi="仿宋" w:eastAsia="仿宋" w:cs="仿宋"/>
          <w:b/>
          <w:color w:val="auto"/>
          <w:sz w:val="24"/>
        </w:rPr>
      </w:pP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9"/>
        <w:spacing w:afterLines="0" w:line="440" w:lineRule="exact"/>
        <w:ind w:firstLine="0" w:firstLineChars="0"/>
        <w:rPr>
          <w:rFonts w:hint="eastAsia" w:ascii="仿宋" w:hAnsi="仿宋" w:eastAsia="仿宋" w:cs="仿宋"/>
          <w:color w:val="auto"/>
          <w:szCs w:val="24"/>
        </w:rPr>
      </w:pPr>
    </w:p>
    <w:p>
      <w:pPr>
        <w:pStyle w:val="69"/>
        <w:spacing w:afterLines="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69"/>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投标人(公章)：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8"/>
        <w:gridCol w:w="2294"/>
        <w:gridCol w:w="1211"/>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标项</w:t>
            </w:r>
          </w:p>
        </w:tc>
        <w:tc>
          <w:tcPr>
            <w:tcW w:w="1548"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服务内容</w:t>
            </w:r>
          </w:p>
        </w:tc>
        <w:tc>
          <w:tcPr>
            <w:tcW w:w="2294"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投标折扣（%）</w:t>
            </w:r>
          </w:p>
        </w:tc>
        <w:tc>
          <w:tcPr>
            <w:tcW w:w="1211"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服务期限</w:t>
            </w:r>
          </w:p>
        </w:tc>
        <w:tc>
          <w:tcPr>
            <w:tcW w:w="1777"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547" w:type="dxa"/>
          </w:tcPr>
          <w:p>
            <w:pPr>
              <w:spacing w:line="440" w:lineRule="exact"/>
              <w:jc w:val="left"/>
              <w:rPr>
                <w:rFonts w:hint="eastAsia" w:ascii="仿宋" w:hAnsi="仿宋" w:eastAsia="仿宋" w:cs="仿宋"/>
                <w:color w:val="auto"/>
                <w:sz w:val="24"/>
              </w:rPr>
            </w:pPr>
          </w:p>
        </w:tc>
        <w:tc>
          <w:tcPr>
            <w:tcW w:w="1548" w:type="dxa"/>
          </w:tcPr>
          <w:p>
            <w:pPr>
              <w:spacing w:line="440" w:lineRule="exact"/>
              <w:jc w:val="left"/>
              <w:rPr>
                <w:rFonts w:hint="eastAsia" w:ascii="仿宋" w:hAnsi="仿宋" w:eastAsia="仿宋" w:cs="仿宋"/>
                <w:color w:val="auto"/>
                <w:sz w:val="24"/>
              </w:rPr>
            </w:pPr>
          </w:p>
        </w:tc>
        <w:tc>
          <w:tcPr>
            <w:tcW w:w="2294" w:type="dxa"/>
          </w:tcPr>
          <w:p>
            <w:pPr>
              <w:spacing w:line="440" w:lineRule="exact"/>
              <w:jc w:val="left"/>
              <w:rPr>
                <w:rFonts w:hint="eastAsia" w:ascii="仿宋" w:hAnsi="仿宋" w:eastAsia="仿宋" w:cs="仿宋"/>
                <w:color w:val="auto"/>
                <w:sz w:val="24"/>
              </w:rPr>
            </w:pPr>
          </w:p>
        </w:tc>
        <w:tc>
          <w:tcPr>
            <w:tcW w:w="1211" w:type="dxa"/>
          </w:tcPr>
          <w:p>
            <w:pPr>
              <w:spacing w:line="440" w:lineRule="exact"/>
              <w:jc w:val="left"/>
              <w:rPr>
                <w:rFonts w:hint="eastAsia" w:ascii="仿宋" w:hAnsi="仿宋" w:eastAsia="仿宋" w:cs="仿宋"/>
                <w:color w:val="auto"/>
                <w:sz w:val="24"/>
              </w:rPr>
            </w:pPr>
          </w:p>
        </w:tc>
        <w:tc>
          <w:tcPr>
            <w:tcW w:w="1777" w:type="dxa"/>
          </w:tcPr>
          <w:p>
            <w:pPr>
              <w:spacing w:line="440" w:lineRule="exact"/>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8377" w:type="dxa"/>
            <w:gridSpan w:val="5"/>
          </w:tcPr>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投标折扣（大写）：</w:t>
            </w:r>
          </w:p>
        </w:tc>
      </w:tr>
    </w:tbl>
    <w:p>
      <w:pPr>
        <w:spacing w:line="440" w:lineRule="exact"/>
        <w:jc w:val="left"/>
        <w:rPr>
          <w:rFonts w:hint="eastAsia" w:ascii="仿宋" w:hAnsi="仿宋" w:eastAsia="仿宋" w:cs="仿宋"/>
          <w:color w:val="auto"/>
          <w:sz w:val="24"/>
        </w:rPr>
      </w:pPr>
      <w:r>
        <w:rPr>
          <w:rFonts w:hint="eastAsia" w:ascii="仿宋" w:hAnsi="仿宋" w:eastAsia="仿宋" w:cs="仿宋"/>
          <w:b/>
          <w:bCs/>
          <w:color w:val="auto"/>
          <w:sz w:val="24"/>
        </w:rPr>
        <w:t>注1：供应商根据所投标段进行报价，如投多个标段，需对每个标段分别独立报价,按招标文件要求分装。</w:t>
      </w:r>
    </w:p>
    <w:p>
      <w:pPr>
        <w:snapToGrid w:val="0"/>
        <w:jc w:val="left"/>
        <w:rPr>
          <w:rFonts w:hint="eastAsia" w:ascii="仿宋" w:hAnsi="仿宋" w:eastAsia="仿宋" w:cs="仿宋"/>
          <w:color w:val="auto"/>
          <w:sz w:val="24"/>
        </w:rPr>
      </w:pPr>
      <w:r>
        <w:rPr>
          <w:rFonts w:hint="eastAsia" w:ascii="仿宋" w:hAnsi="仿宋" w:eastAsia="仿宋" w:cs="仿宋"/>
          <w:b/>
          <w:bCs/>
          <w:color w:val="auto"/>
          <w:sz w:val="24"/>
        </w:rPr>
        <w:t>注2:</w:t>
      </w:r>
      <w:r>
        <w:rPr>
          <w:rFonts w:hint="eastAsia" w:ascii="仿宋" w:hAnsi="仿宋" w:eastAsia="仿宋" w:cs="仿宋"/>
          <w:color w:val="auto"/>
          <w:sz w:val="24"/>
        </w:rPr>
        <w:t xml:space="preserve">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hint="eastAsia" w:ascii="仿宋" w:hAnsi="仿宋" w:eastAsia="仿宋" w:cs="仿宋"/>
          <w:b/>
          <w:color w:val="auto"/>
          <w:sz w:val="32"/>
          <w:szCs w:val="32"/>
        </w:rPr>
        <w:sectPr>
          <w:footerReference r:id="rId7"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120" w:beforeLines="50" w:after="50"/>
        <w:rPr>
          <w:rFonts w:hint="eastAsia" w:ascii="仿宋" w:hAnsi="仿宋" w:eastAsia="仿宋" w:cs="仿宋"/>
          <w:color w:val="auto"/>
          <w:sz w:val="30"/>
          <w:szCs w:val="30"/>
        </w:rPr>
      </w:pPr>
    </w:p>
    <w:p>
      <w:pPr>
        <w:snapToGrid w:val="0"/>
        <w:spacing w:before="120" w:beforeLines="50" w:after="50"/>
        <w:jc w:val="center"/>
        <w:rPr>
          <w:rFonts w:hint="eastAsia" w:ascii="仿宋" w:hAnsi="仿宋" w:eastAsia="仿宋" w:cs="仿宋"/>
          <w:color w:val="auto"/>
        </w:rPr>
      </w:pPr>
      <w:r>
        <w:rPr>
          <w:rFonts w:hint="eastAsia" w:ascii="仿宋" w:hAnsi="仿宋" w:eastAsia="仿宋" w:cs="仿宋"/>
          <w:color w:val="auto"/>
          <w:sz w:val="30"/>
          <w:szCs w:val="30"/>
        </w:rPr>
        <w:t>目 录</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w:t>
      </w:r>
      <w:r>
        <w:rPr>
          <w:rFonts w:hint="eastAsia" w:ascii="仿宋" w:hAnsi="仿宋" w:eastAsia="仿宋" w:cs="仿宋"/>
          <w:color w:val="auto"/>
          <w:lang w:val="zh-CN"/>
        </w:rPr>
        <w:t>（如有）</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240"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绍兴市人民医院、采购代理机构</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我方郑重承诺，已具有</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（招标编号:）招标文件中关于申请人资格要求的下列条件：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4"/>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5"/>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b/>
          <w:bCs/>
          <w:color w:val="auto"/>
          <w:sz w:val="32"/>
          <w:szCs w:val="32"/>
        </w:rPr>
      </w:pPr>
    </w:p>
    <w:p>
      <w:pPr>
        <w:pStyle w:val="24"/>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pStyle w:val="24"/>
        <w:rPr>
          <w:rFonts w:hint="eastAsia" w:ascii="仿宋" w:hAnsi="仿宋" w:eastAsia="仿宋" w:cs="仿宋"/>
          <w:color w:val="auto"/>
          <w:lang w:val="zh-CN"/>
        </w:rPr>
      </w:pPr>
    </w:p>
    <w:p>
      <w:pPr>
        <w:rPr>
          <w:rFonts w:hint="eastAsia" w:ascii="仿宋" w:hAnsi="仿宋" w:eastAsia="仿宋" w:cs="仿宋"/>
          <w:color w:val="auto"/>
          <w:lang w:val="zh-CN"/>
        </w:rPr>
      </w:pPr>
    </w:p>
    <w:p>
      <w:pPr>
        <w:pStyle w:val="64"/>
        <w:rPr>
          <w:rFonts w:hint="eastAsia" w:ascii="仿宋" w:hAnsi="仿宋" w:eastAsia="仿宋" w:cs="仿宋"/>
          <w:color w:val="auto"/>
          <w:lang w:val="zh-CN"/>
        </w:rPr>
      </w:pPr>
    </w:p>
    <w:p>
      <w:pPr>
        <w:rPr>
          <w:rFonts w:hint="eastAsia" w:ascii="仿宋" w:hAnsi="仿宋" w:eastAsia="仿宋" w:cs="仿宋"/>
          <w:color w:val="auto"/>
          <w:lang w:val="zh-CN"/>
        </w:rPr>
      </w:pPr>
    </w:p>
    <w:p>
      <w:pPr>
        <w:pStyle w:val="24"/>
        <w:rPr>
          <w:rFonts w:hint="eastAsia" w:ascii="仿宋" w:hAnsi="仿宋" w:eastAsia="仿宋" w:cs="仿宋"/>
          <w:color w:val="auto"/>
        </w:rPr>
      </w:pPr>
      <w:r>
        <w:rPr>
          <w:rFonts w:hint="eastAsia" w:ascii="仿宋" w:hAnsi="仿宋" w:eastAsia="仿宋" w:cs="仿宋"/>
          <w:b/>
          <w:color w:val="auto"/>
          <w:kern w:val="0"/>
          <w:sz w:val="32"/>
          <w:szCs w:val="32"/>
          <w:lang w:val="zh-CN"/>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00" w:lineRule="exact"/>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00" w:lineRule="exact"/>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8"/>
          <w:szCs w:val="28"/>
          <w:lang w:val="zh-CN"/>
        </w:rPr>
        <w:t xml:space="preserve">                                        </w:t>
      </w: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pStyle w:val="64"/>
        <w:rPr>
          <w:rFonts w:hint="eastAsia" w:ascii="仿宋" w:hAnsi="仿宋" w:eastAsia="仿宋" w:cs="仿宋"/>
          <w:color w:val="auto"/>
        </w:rPr>
      </w:pPr>
    </w:p>
    <w:p>
      <w:pPr>
        <w:adjustRightInd w:val="0"/>
        <w:snapToGrid w:val="0"/>
        <w:spacing w:before="50" w:after="50" w:line="360" w:lineRule="exact"/>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exact"/>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0"/>
          <w:szCs w:val="40"/>
        </w:rPr>
      </w:pPr>
      <w:r>
        <w:rPr>
          <w:rFonts w:hint="eastAsia" w:ascii="仿宋" w:hAnsi="仿宋" w:eastAsia="仿宋" w:cs="仿宋"/>
          <w:b/>
          <w:bCs/>
          <w:color w:val="auto"/>
          <w:sz w:val="40"/>
          <w:szCs w:val="40"/>
        </w:rPr>
        <w:t>质疑函范本</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质疑供应商：</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地址：邮编：</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联系人：联系电话：</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授权代表：</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联系电话：</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地址：邮编：</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质疑项目的名称：</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质疑项目的编号：包号：</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采购人名称：</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采购文件获取日期：</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质疑事项1：</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事实依据：</w:t>
      </w:r>
    </w:p>
    <w:p>
      <w:pPr>
        <w:adjustRightInd w:val="0"/>
        <w:snapToGrid w:val="0"/>
        <w:spacing w:line="360" w:lineRule="exact"/>
        <w:rPr>
          <w:rFonts w:hint="eastAsia" w:ascii="仿宋" w:hAnsi="仿宋" w:eastAsia="仿宋" w:cs="仿宋"/>
          <w:color w:val="auto"/>
          <w:sz w:val="24"/>
        </w:rPr>
      </w:pP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法律依据：</w:t>
      </w:r>
    </w:p>
    <w:p>
      <w:pPr>
        <w:adjustRightInd w:val="0"/>
        <w:snapToGrid w:val="0"/>
        <w:spacing w:line="360" w:lineRule="exact"/>
        <w:rPr>
          <w:rFonts w:hint="eastAsia" w:ascii="仿宋" w:hAnsi="仿宋" w:eastAsia="仿宋" w:cs="仿宋"/>
          <w:color w:val="auto"/>
          <w:sz w:val="24"/>
          <w:u w:val="dotted"/>
        </w:rPr>
      </w:pP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质疑事项2</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请求：</w:t>
      </w:r>
    </w:p>
    <w:p>
      <w:pPr>
        <w:spacing w:line="360" w:lineRule="exact"/>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exact"/>
        <w:rPr>
          <w:rFonts w:hint="eastAsia" w:ascii="仿宋" w:hAnsi="仿宋" w:eastAsia="仿宋" w:cs="仿宋"/>
          <w:color w:val="auto"/>
          <w:sz w:val="24"/>
        </w:rPr>
      </w:pPr>
      <w:r>
        <w:rPr>
          <w:rFonts w:hint="eastAsia" w:ascii="仿宋" w:hAnsi="仿宋" w:eastAsia="仿宋" w:cs="仿宋"/>
          <w:color w:val="auto"/>
          <w:sz w:val="24"/>
        </w:rPr>
        <w:t xml:space="preserve">日期：    </w:t>
      </w:r>
    </w:p>
    <w:p>
      <w:pPr>
        <w:adjustRightInd w:val="0"/>
        <w:snapToGrid w:val="0"/>
        <w:spacing w:line="360" w:lineRule="exact"/>
        <w:rPr>
          <w:rFonts w:hint="eastAsia" w:ascii="仿宋" w:hAnsi="仿宋" w:eastAsia="仿宋" w:cs="仿宋"/>
          <w:color w:val="auto"/>
          <w:sz w:val="24"/>
        </w:rPr>
      </w:pPr>
    </w:p>
    <w:p>
      <w:pPr>
        <w:spacing w:line="360" w:lineRule="exact"/>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lang w:eastAsia="zh-CN"/>
        </w:rPr>
      </w:pPr>
      <w:r>
        <w:rPr>
          <w:rFonts w:hint="eastAsia" w:ascii="仿宋" w:hAnsi="仿宋" w:eastAsia="仿宋" w:cs="仿宋"/>
          <w:color w:val="auto"/>
          <w:kern w:val="0"/>
          <w:szCs w:val="21"/>
        </w:rPr>
        <w:t>    （3）资产总额，采用资产总计代替。</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lang w:eastAsia="zh-CN"/>
        </w:rPr>
      </w:pPr>
    </w:p>
    <w:p>
      <w:pPr>
        <w:bidi w:val="0"/>
        <w:rPr>
          <w:rFonts w:hint="eastAsia"/>
          <w:lang w:eastAsia="zh-CN"/>
        </w:rPr>
      </w:pPr>
    </w:p>
    <w:p>
      <w:pPr>
        <w:bidi w:val="0"/>
        <w:rPr>
          <w:rFonts w:hint="eastAsia"/>
          <w:lang w:eastAsia="zh-CN"/>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lang w:eastAsia="zh-CN"/>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lang w:eastAsia="zh-CN"/>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adjustRightInd w:val="0"/>
        <w:spacing w:before="150" w:line="40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致：</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    联系传真：</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r>
        <w:rPr>
          <w:rFonts w:hint="eastAsia" w:ascii="仿宋" w:hAnsi="仿宋" w:eastAsia="仿宋" w:cs="仿宋"/>
          <w:color w:val="auto"/>
          <w:sz w:val="24"/>
        </w:rPr>
        <w:br w:type="page"/>
      </w:r>
    </w:p>
    <w:p>
      <w:pPr>
        <w:bidi w:val="0"/>
        <w:jc w:val="left"/>
        <w:rPr>
          <w:rFonts w:hint="eastAsia" w:ascii="Times New Roman" w:hAnsi="Times New Roman" w:eastAsia="宋体" w:cs="Times New Roman"/>
          <w:kern w:val="2"/>
          <w:sz w:val="21"/>
          <w:szCs w:val="24"/>
          <w:lang w:val="en-US" w:eastAsia="zh-CN" w:bidi="ar-SA"/>
        </w:rPr>
      </w:pPr>
      <w:bookmarkStart w:id="171" w:name="_GoBack"/>
      <w:bookmarkEnd w:id="171"/>
    </w:p>
    <w:p>
      <w:pPr>
        <w:rPr>
          <w:rFonts w:hint="eastAsia" w:ascii="仿宋" w:hAnsi="仿宋" w:eastAsia="仿宋" w:cs="仿宋"/>
          <w:color w:val="auto"/>
          <w:sz w:val="24"/>
        </w:rPr>
      </w:pPr>
    </w:p>
    <w:p>
      <w:pPr>
        <w:pStyle w:val="18"/>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lang w:val="en-US" w:eastAsia="zh-CN"/>
        </w:rPr>
        <w:t>附件：采购目录</w:t>
      </w:r>
    </w:p>
    <w:tbl>
      <w:tblPr>
        <w:tblStyle w:val="43"/>
        <w:tblpPr w:leftFromText="180" w:rightFromText="180" w:vertAnchor="text" w:horzAnchor="page" w:tblpX="1553" w:tblpY="455"/>
        <w:tblOverlap w:val="never"/>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9"/>
        <w:gridCol w:w="1162"/>
        <w:gridCol w:w="1637"/>
        <w:gridCol w:w="690"/>
        <w:gridCol w:w="4419"/>
        <w:gridCol w:w="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06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01标段   蔬菜类，米面制品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盒装苋菜梗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白玉菇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120g左右/包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海鲜菇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120g左右/包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娃娃菜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绿豆芽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小青菜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菜长13--15cm,叶5--6层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冬瓜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大小均匀，个重20斤以上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胡萝卜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无畸形，长度20cm左右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老南瓜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圆萝卜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莴笋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红心番薯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芹菜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菠菜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长雪菜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青大蒜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西葫芦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小白菜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菜长18-22cm，无烂叶，无虫疤，去根须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蒲子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无大籽，无奇形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小番薯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无烂疤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广东菜心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无畸形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五香榨菜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西兰花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新鲜，根长小于4cm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有机花菜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 ，留4--5片叶子（泡沫箱装）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丝瓜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无大籽，无奇形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杏鲍菇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金针菇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光芋艿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水分标准92%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茄子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无籽，无奇形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带壳大豆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苦菊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大尖椒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球生菜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苦瓜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扁豆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马兰头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毛笋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散称、无虫疤、无异味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小青瓜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美人椒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圆笋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散称、无虫疤、无异味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芦笋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四季豆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蘑菇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整篮带蒂/分捡去蒂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鲜香菇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菇盖直径不小于3cm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鲜茶树菇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蒜苗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韭菜花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秀珍菇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荷兰豆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小尖椒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葱苗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长萝卜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黄豆芽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兰包心菜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大青菜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洋葱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快茭菜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紫包菜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大蒜子肉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青南瓜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青大蒜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榨菜丝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西红柿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鸡毛菜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甜玉米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藕（新藕）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小番茄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带壳毛豆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鲜茶树菇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糯米玉米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新鲜红小米椒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黄秋葵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鲜豆瓣肉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光茭白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鲜百合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扁笋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毛芋艿仔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冻青豆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薄荷叶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米面制品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年糕条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米面制品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小馄饨皮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米面制品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水饺皮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bl>
    <w:p>
      <w:pPr>
        <w:pStyle w:val="19"/>
        <w:rPr>
          <w:rFonts w:hint="eastAsia" w:ascii="仿宋" w:hAnsi="仿宋" w:eastAsia="仿宋" w:cs="仿宋"/>
          <w:sz w:val="24"/>
          <w:szCs w:val="24"/>
          <w:lang w:val="en-US" w:eastAsia="zh-CN"/>
        </w:rPr>
      </w:pPr>
    </w:p>
    <w:tbl>
      <w:tblPr>
        <w:tblStyle w:val="43"/>
        <w:tblW w:w="9041" w:type="dxa"/>
        <w:tblInd w:w="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1"/>
        <w:gridCol w:w="1129"/>
        <w:gridCol w:w="1556"/>
        <w:gridCol w:w="4993"/>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04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02标段   粮油类（除米面制品）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粮油类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玉米粉</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粮油类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黑米</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粮油类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小米</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r>
    </w:tbl>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tbl>
      <w:tblPr>
        <w:tblStyle w:val="43"/>
        <w:tblW w:w="4877" w:type="pct"/>
        <w:tblInd w:w="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1"/>
        <w:gridCol w:w="1150"/>
        <w:gridCol w:w="1466"/>
        <w:gridCol w:w="5052"/>
        <w:gridCol w:w="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03标段    猪肉类，牛羊肉类，兔肉类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板油</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猪肝</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筒骨</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500g--600g/支，热鲜，无血水味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去皮前夹心</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熟大肠</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熟猪肚</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鲜肉皮</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去皮后腿肉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精瘦肉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猪爪</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500g--600g/只，热鲜，色泽鲜红，有弹性，无血水味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鲜大排</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200g--g/只，热鲜，色泽鲜红，有弹性，无血水味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整扇仔排</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猪腰</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猪舌头</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兔肉类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新鲜兔子</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熟牛百叶</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熟牛肚</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熟牛肉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羊肉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新鲜牛腩</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牛腱</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新鲜熟羊肉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bl>
    <w:tbl>
      <w:tblPr>
        <w:tblStyle w:val="43"/>
        <w:tblpPr w:leftFromText="180" w:rightFromText="180" w:vertAnchor="text" w:horzAnchor="page" w:tblpX="1573" w:tblpY="504"/>
        <w:tblOverlap w:val="never"/>
        <w:tblW w:w="486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4"/>
        <w:gridCol w:w="1161"/>
        <w:gridCol w:w="1454"/>
        <w:gridCol w:w="5073"/>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04标段    禽类，禽蛋类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三黄鸡</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3斤左右/只，净膛，新鲜当日屠宰，无黏手感，色泽鲜红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秋鸭</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2.4-2.6斤/只，净膛，新鲜当日屠宰，无黏手感，色泽鲜红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乌鸡</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2.2--2.4斤/只，净膛，新鲜当日屠宰，无黏手感，色泽鲜红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呆婆鸭</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本地鹅</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6.5-7.5斤/只，净膛，新鲜当日屠宰，无黏手感，色泽鲜红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鹌鹑</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鸽子</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禽蛋类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鸡蛋</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无公害，无破损，60g/只以上</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bl>
    <w:p>
      <w:pPr>
        <w:rPr>
          <w:rFonts w:hint="eastAsia" w:ascii="仿宋" w:hAnsi="仿宋" w:eastAsia="仿宋" w:cs="仿宋"/>
          <w:color w:val="auto"/>
          <w:sz w:val="24"/>
          <w:szCs w:val="24"/>
          <w:lang w:val="en-US" w:eastAsia="zh-CN"/>
        </w:rPr>
      </w:pPr>
    </w:p>
    <w:p>
      <w:pPr>
        <w:rPr>
          <w:rFonts w:hint="eastAsia" w:ascii="仿宋" w:hAnsi="仿宋" w:eastAsia="仿宋" w:cs="仿宋"/>
          <w:sz w:val="24"/>
          <w:szCs w:val="24"/>
          <w:lang w:val="en-US" w:eastAsia="zh-CN"/>
        </w:rPr>
      </w:pPr>
    </w:p>
    <w:tbl>
      <w:tblPr>
        <w:tblW w:w="4867" w:type="pct"/>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50"/>
        <w:gridCol w:w="1181"/>
        <w:gridCol w:w="1434"/>
        <w:gridCol w:w="5094"/>
        <w:gridCol w:w="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05标段    水产类，冻品类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序号</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分类</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品名</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规格/要求</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nil"/>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653" w:type="pct"/>
            <w:tcBorders>
              <w:top w:val="nil"/>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nil"/>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小鲳鱼</w:t>
            </w:r>
          </w:p>
        </w:tc>
        <w:tc>
          <w:tcPr>
            <w:tcW w:w="2817" w:type="pct"/>
            <w:tcBorders>
              <w:top w:val="nil"/>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500克  1.6-2两</w:t>
            </w:r>
          </w:p>
        </w:tc>
        <w:tc>
          <w:tcPr>
            <w:tcW w:w="376" w:type="pct"/>
            <w:tcBorders>
              <w:top w:val="nil"/>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东海带鱼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500克，3-4两 </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海哲头</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500克</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中鲳鱼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500克  2两以上</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对虾</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中黄鱼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5-6两/条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小黄鱼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8-10条/斤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青占鱼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新鲜，300克左右/条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花蛤</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蛤蜊</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蛏子</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豆腐鱼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带鱼大</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新鲜</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石斑鱼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鲜活，1斤左右/条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梭子蟹</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4.5-5.0两/只</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红花蟹</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5.0两-6.0两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基围虾</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鲍鱼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40g左右/颗</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鸡大胸</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10KG/箱</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鸡中翅</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1kg*10包/箱</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21</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黄鱼响铃</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135g/包，30包/箱</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22</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翅根</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40-50G/只</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23</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鸡翅根</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24</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新鲜目鱼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鸭胗</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青虾仁</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27</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琵琶腿</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100-120g/只</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胖头鱼鱼头</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1000克左右/个</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29</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普通黄鳝</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鲜活，100克左右/条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鲢鱼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鲜活，1500克以上/条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31</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草鱼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鲜活，1500克左右/条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鳊鱼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小，鲜活，400克左右/条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33</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胖头鱼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新鲜，2000克以上/条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鲫鱼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鲜活，300-350克/条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鳊鱼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大，鲜活，1000克左右/条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黑鱼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鲜活，400-450克/条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37</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牛蛙</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鲜活，230克左右/只</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鲈鱼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鲜活，350-400克/条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白产</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鲜活，400-500克/条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汪刺鱼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鲜活，100-150克/条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41</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小龙虾</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鲜活，20--25只/斤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42</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甲鱼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鲜活，350g左右/只</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43</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白虾</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鲜活，90只左右/斤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44</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普通鳗</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鲜活，400克左右/斤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草虾</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鲜活，20只左右/斤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46</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河蟹</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鲜活，3.0-3.5两/只</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47</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河虾</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鲜活，150只左右/斤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桂鱼</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鲜活，350克左右/条</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49</w:t>
            </w:r>
          </w:p>
        </w:tc>
        <w:tc>
          <w:tcPr>
            <w:tcW w:w="65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泥鳅</w:t>
            </w:r>
          </w:p>
        </w:tc>
        <w:tc>
          <w:tcPr>
            <w:tcW w:w="281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10条左右/斤</w:t>
            </w:r>
          </w:p>
        </w:tc>
        <w:tc>
          <w:tcPr>
            <w:tcW w:w="376"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r>
    </w:tbl>
    <w:p>
      <w:pPr>
        <w:rPr>
          <w:rFonts w:hint="eastAsia" w:ascii="仿宋" w:hAnsi="仿宋" w:eastAsia="仿宋" w:cs="仿宋"/>
          <w:sz w:val="24"/>
          <w:szCs w:val="24"/>
          <w:lang w:val="en-US" w:eastAsia="zh-CN"/>
        </w:rPr>
      </w:pPr>
    </w:p>
    <w:tbl>
      <w:tblPr>
        <w:tblW w:w="4872" w:type="pct"/>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55"/>
        <w:gridCol w:w="1173"/>
        <w:gridCol w:w="1457"/>
        <w:gridCol w:w="5062"/>
        <w:gridCol w:w="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06标段    副食品类（除禽蛋类），调料类，豆制品，水果类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序号</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分类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品名</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规格/要求</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调料类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白砂糖（广西）</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50kg</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香蕉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3两左右</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苹果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4两左右</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橙子</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4两左右</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沃柑</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4两左右</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小芒果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香梨</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魔芋丝结</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200g/盒</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雪菜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150G/包</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豆沙</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5kg/包</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十三香</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什锦菜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萧山萝卜干</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艾草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糯米</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番薯粉丝</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笋干菜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桂皮</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干海带</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干香菇</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21</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开洋</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22</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安昌腊肠</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23</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干辣椒</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24</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酱肉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黑芥拉头</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娃娃菜腌菜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27</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宽粉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豆浆黄豆</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29</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有酱酱瓜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新疆若羌红枣</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31</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乌江豆</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无油肉皮</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33</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特级黄花菜</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干黑木耳</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酱猪耳朵</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中方火腿</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37</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勒笋干</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八角</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红川花椒</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咸鸭蛋</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41</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黄鱼鲞</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42</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干荷叶</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43</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白胡椒粉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200G/瓶</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44</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泡打粉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2.7Kg/桶</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泡打粉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2.5kg/包，8包/箱</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46</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泡打粉</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双效，50g/小包，20小包/大包，10大包/箱</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47</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板豆腐</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油条</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成品</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49</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新鲜烤麸</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腐竹</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散装</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豆腐皮</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散装</w:t>
            </w: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52</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千叶豆腐</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53</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薄千张</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千张结</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油豆腐</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56</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油片</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57</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薄千张</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58</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厚千张</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59</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薄千张</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厚千张</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61</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水面筋</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日本豆腐</w:t>
            </w:r>
          </w:p>
        </w:tc>
        <w:tc>
          <w:tcPr>
            <w:tcW w:w="2797" w:type="pct"/>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r>
    </w:tbl>
    <w:p>
      <w:pPr>
        <w:bidi w:val="0"/>
        <w:rPr>
          <w:rFonts w:hint="eastAsia" w:ascii="仿宋" w:hAnsi="仿宋" w:eastAsia="仿宋" w:cs="仿宋"/>
          <w:sz w:val="24"/>
          <w:szCs w:val="24"/>
          <w:lang w:val="en-US" w:eastAsia="zh-CN"/>
        </w:rPr>
      </w:pPr>
    </w:p>
    <w:tbl>
      <w:tblPr>
        <w:tblW w:w="4878" w:type="pct"/>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40"/>
        <w:gridCol w:w="1170"/>
        <w:gridCol w:w="1475"/>
        <w:gridCol w:w="1291"/>
        <w:gridCol w:w="1282"/>
        <w:gridCol w:w="1190"/>
        <w:gridCol w:w="935"/>
        <w:gridCol w:w="10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07标段   牛奶，零食，饮料，棒冰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牛奶</w:t>
            </w: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花园乐利枕</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花园黄金牧场</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蒙牛</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特仑苏</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伊利</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金典</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光明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安慕希系列</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莫斯利安</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卡士</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新希望</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每日鲜语</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一鸣</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安佳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饮料类</w:t>
            </w: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农夫山泉</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娃哈哈</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怡宝</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康师傅</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可口可乐</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雪碧</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旺仔</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红牛</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舒萨椰汁</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美汁源</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统一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康师傅</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元气森林</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农夫山泉</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椰树椰汁</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王老吉</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雀巢</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三得利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柚香谷</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养乐多</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小青柠</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零食</w:t>
            </w: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康师傅</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汤达人</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日清</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统一</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雀巢</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和情</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皇冠</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奥利奥</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好吃点</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达利园</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徐福记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康师傅</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旺旺</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比比赞</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趣多多</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达利园</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港荣</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良品铺子</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三只松鼠</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友臣</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盼盼</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棒冰</w:t>
            </w: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雀巢</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梦龙</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可爱多</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和路雪</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明治</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蒙牛</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伊利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光明</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五丰</w:t>
            </w: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八喜</w:t>
            </w: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千层雪</w:t>
            </w: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旺旺</w:t>
            </w: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巧乐兹</w:t>
            </w: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黄酒棒冰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钟薛高</w:t>
            </w:r>
          </w:p>
        </w:tc>
        <w:tc>
          <w:tcPr>
            <w:tcW w:w="813"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bl>
    <w:p>
      <w:pPr>
        <w:rPr>
          <w:rFonts w:hint="eastAsia" w:ascii="仿宋" w:hAnsi="仿宋" w:eastAsia="仿宋" w:cs="仿宋"/>
          <w:sz w:val="24"/>
          <w:szCs w:val="24"/>
          <w:lang w:val="en-US" w:eastAsia="zh-CN"/>
        </w:rPr>
      </w:pPr>
    </w:p>
    <w:tbl>
      <w:tblPr>
        <w:tblW w:w="4878" w:type="pct"/>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70"/>
        <w:gridCol w:w="1140"/>
        <w:gridCol w:w="1485"/>
        <w:gridCol w:w="3773"/>
        <w:gridCol w:w="787"/>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08标段     百杂日用品，烘焙类，应急，零星特物资类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序号</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分类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品名</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规格/要求</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单位</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上限单价（元）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豆沙</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枣沙</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2.55kg/包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淡奶油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1L/瓶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草莓果馅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3kg/桶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香橙果膏</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3kg/桶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酥油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16kg/桶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手撕面包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植物奶油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1L/瓶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酵母</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500g/小包，20小包/大包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葡萄干</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桃仁</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可可粉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红小豆</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207蛋挞皮</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40个/条，10条/包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榴莲酥</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24个/条，9条/箱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沙拉酱</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热狗香肠（烘焙用）</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52支/包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杏仁片</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火腿片</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葵花籽仁</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力高慕斯粉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1000g/包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A级抹茶粉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卡士达林姆粉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5kg/袋</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糖粉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绵白糖</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烘焙奶粉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甜甜圈</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750g/箱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sp</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5kg*4</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巧克力(黑色)</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1kg/块</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椰蓉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5kg*6</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饼干碎</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400g/包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夹心奶油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泡打粉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2.7Kg/桶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全麦粉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装饰松松</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戚风蛋糕预拌粉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5Kg/袋</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黄油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1Kg/袋</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芝士</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3Kg/袋</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百利吉利丁片（百利明胶片）</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1Kg/盒</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盒</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炼乳</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350g/罐</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罐</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蜂蜜液</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500g/瓶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耐烤巧克力棒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1.6Kg/盒</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盒</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花生酱（柔滑型、颗粒型）</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510g/罐</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罐</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培根（烘焙用）</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1KG/袋</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芝士粉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85g/桶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耐烤巧克力条 </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 1.6公斤/包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花生酱  </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510克/罐</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罐</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培根 </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 40片/包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芝士粉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85克/包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芝士</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培根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粗颗芝士粉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全麦预拌粉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椰蓉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装饰松松</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黄油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500g/块</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奶粉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一次性L493餐盒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四格餐盒，150套/箱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一次性快餐盒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竹筷</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800双/件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680纸桶</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500纸桶</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500纸桶盖</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680纸桶盖</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750塑料碗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高级环保塑料餐盒，300套/箱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1000塑料碗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高级环保塑料餐盒，300套/箱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大保鲜膜</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35cm*350m/卷</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大保鲜膜</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40cm*3000型/卷</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小保鲜膜</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600型</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单丙管</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10000根/包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封口膜</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2000个/卷</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320杯</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20条/箱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450彩杯</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450通用杯，2000只/箱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洗洁精</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5KG/壶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老碱</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食用碱，350g/块，2块/包，100包/箱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30cm食品袋</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30只/刀</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刀</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26cm食品袋</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80只/刀，75刀/箱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20cm食品袋</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80只/刀，150刀/箱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一次性菜碗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720只/箱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调料罐(大)</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直径20cm *高12cm（带盖子）</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调料罐(小)</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直径18cm *高11cm（带盖子）</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杯盖</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100个/条</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毛巾</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彩色毛巾</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厨师帽</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48顶/包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大藤洗帚</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960纸碗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洗手液</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芦荟滋润洗手液，5KG/壶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百洁布</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9"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钢丝料斗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直径=28公分</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300塑料碗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环保塑料餐盒，450套/箱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塑料墩板蓝</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50*10CM/块</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塑料墩板绿</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50*10CM/块</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塑料墩板红</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50*10CM/块</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塑料墩板白</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40*10CM/块</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棉线拖把</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棉线拖把</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地刷</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地刷</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多功能刨</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大剪刀</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竹蒸笼盖</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直径=48CM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竹蒸笼</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直径=48CM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一次性匙子</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6000个/箱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加厚硅胶垫</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加厚硅胶垫</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打饭铲</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菜勺</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不锈钢淘米箩</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铁木筷</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10双/包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白色吸管</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48支/包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一次性手套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100只/包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精品筷（一次性）</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54双/包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竹筅帚</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油石(磨刀石)</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马桶疏通器</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牙签</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380g/包</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餐巾纸</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8包/提</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 xml:space="preserve">包 </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马勺</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20*54cm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厨师刀</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十八子牌</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甘蔗刨</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水勺</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16*44cm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45cm保鲜膜</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丁晴手套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双</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不锈刚蒸锅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28寸</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不锈刚蒸锅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32寸</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烤盘</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外直径62cm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金檀木砧板</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50*10cm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金檀木砧板</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48*7cm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锅铲</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不锈钢桶</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直径=35cm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不锈钢盆</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直径=58cm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带柄锅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直径=35cm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直径=60cm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油夹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25*60cm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漏勺</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32*50cm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65cm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一次性L380餐盒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礼品袋竖版19.5*14.5*10</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礼品袋竖版19.5*14.5*10</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礼品袋27.2*20*16cm</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礼品袋27.2*20*16cm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礼品袋19.5长*9.5侧*24.5高</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礼品袋19.5长*9.5侧*24.5高</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葡式蛋挞盒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10寸蛋糕纸盒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扎丝</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纸盘叉</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6寸蛋糕纸杯</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蛋挞铝托</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裱花袋</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40g白纸</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张</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百钻脱膜油</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600ml/瓶</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四方杯</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羊毛刷</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有滋有味吐司袋</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肉松小贝(白托底)</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海盐蛋糕包装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50只/条</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7770大圆塑杯</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20只/条</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高温布</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张</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65cm铁锅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26cm食品袋</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80只/刀，75刀/箱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油石（磨刀石）</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葡式蛋挞盒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竹垫 33cm</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片</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2015托盘</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2000只/箱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750方盒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C-302西点面包袋子</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100只/刀</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刀</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500ml塑料圆碗</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高级塑料环保高级圆碗，450套/箱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六格餐盒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三能3cm铝盘(宽40长60高3cm)</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3cm铝盘(宽40长60高3cm)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三能5cm铝盘(宽40长60高5cm)</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5cm铝盘(宽40长60高5cm)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方形西点盒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1*100*24</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彩色毛巾</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透明方盒1500ml</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4073塑料刮板</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手工制作袋子</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177</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一次性勺子（独立包装）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178</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高级蜡烛</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100包/盒</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盒</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179</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4寸铲刀</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180</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锅盖</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58cm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181</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海盐蛋糕包装</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50只/条</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182</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铝锅盖</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183</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烤盘</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外直径62cm</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184</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一次性L493餐盒</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三格餐盒，150套/箱</w:t>
            </w: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185</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竹扫把</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186</w:t>
            </w:r>
          </w:p>
        </w:tc>
        <w:tc>
          <w:tcPr>
            <w:tcW w:w="62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应急、零星特物资类</w:t>
            </w:r>
          </w:p>
        </w:tc>
        <w:tc>
          <w:tcPr>
            <w:tcW w:w="81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其他未知项（8个标段目录外产品）</w:t>
            </w:r>
          </w:p>
        </w:tc>
        <w:tc>
          <w:tcPr>
            <w:tcW w:w="2081"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bl>
    <w:p>
      <w:pPr>
        <w:bidi w:val="0"/>
        <w:rPr>
          <w:rFonts w:hint="default"/>
          <w:lang w:val="en-US" w:eastAsia="zh-CN"/>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8145953"/>
      <w:docPartObj>
        <w:docPartGallery w:val="autotext"/>
      </w:docPartObj>
    </w:sdtPr>
    <w:sdtContent>
      <w:p>
        <w:pPr>
          <w:pStyle w:val="28"/>
          <w:jc w:val="center"/>
        </w:pPr>
        <w:r>
          <w:fldChar w:fldCharType="begin"/>
        </w:r>
        <w:r>
          <w:instrText xml:space="preserve">PAGE   \* MERGEFORMAT</w:instrText>
        </w:r>
        <w:r>
          <w:fldChar w:fldCharType="separate"/>
        </w:r>
        <w:r>
          <w:rPr>
            <w:lang w:val="zh-CN"/>
          </w:rPr>
          <w:t>2</w:t>
        </w:r>
        <w:r>
          <w:fldChar w:fldCharType="end"/>
        </w: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4640174"/>
      <w:docPartObj>
        <w:docPartGallery w:val="autotext"/>
      </w:docPartObj>
    </w:sdtPr>
    <w:sdtContent>
      <w:p>
        <w:pPr>
          <w:pStyle w:val="28"/>
          <w:jc w:val="center"/>
        </w:pPr>
      </w:p>
    </w:sdtContent>
  </w:sdt>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643231"/>
      <w:docPartObj>
        <w:docPartGallery w:val="autotext"/>
      </w:docPartObj>
    </w:sdtPr>
    <w:sdtContent>
      <w:p>
        <w:pPr>
          <w:pStyle w:val="28"/>
          <w:jc w:val="center"/>
        </w:pPr>
        <w:r>
          <w:fldChar w:fldCharType="begin"/>
        </w:r>
        <w:r>
          <w:instrText xml:space="preserve">PAGE   \* MERGEFORMAT</w:instrText>
        </w:r>
        <w:r>
          <w:fldChar w:fldCharType="separate"/>
        </w:r>
        <w:r>
          <w:rPr>
            <w:lang w:val="zh-CN"/>
          </w:rPr>
          <w:t>2</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w: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tabs>
        <w:tab w:val="left" w:pos="5573"/>
        <w:tab w:val="clear" w:pos="4153"/>
      </w:tabs>
      <w:jc w:val="both"/>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88CA8"/>
    <w:multiLevelType w:val="singleLevel"/>
    <w:tmpl w:val="81688CA8"/>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8"/>
  </w:num>
  <w:num w:numId="5">
    <w:abstractNumId w:val="7"/>
  </w:num>
  <w:num w:numId="6">
    <w:abstractNumId w:val="5"/>
  </w:num>
  <w:num w:numId="7">
    <w:abstractNumId w:val="9"/>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420"/>
    <w:rsid w:val="0002468D"/>
    <w:rsid w:val="00024B38"/>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3BBA"/>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2774"/>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08F"/>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5A7E"/>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0416"/>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D5F"/>
    <w:rsid w:val="00463E5C"/>
    <w:rsid w:val="00464359"/>
    <w:rsid w:val="00465D0D"/>
    <w:rsid w:val="004678AE"/>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3EA"/>
    <w:rsid w:val="005A3E6E"/>
    <w:rsid w:val="005A7A4A"/>
    <w:rsid w:val="005B180C"/>
    <w:rsid w:val="005C111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963"/>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34C81"/>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20D"/>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3DF1"/>
    <w:rsid w:val="009175CE"/>
    <w:rsid w:val="0092030F"/>
    <w:rsid w:val="009215A1"/>
    <w:rsid w:val="00921A52"/>
    <w:rsid w:val="009247EE"/>
    <w:rsid w:val="009250EF"/>
    <w:rsid w:val="00926541"/>
    <w:rsid w:val="00926E3F"/>
    <w:rsid w:val="009271D3"/>
    <w:rsid w:val="00927477"/>
    <w:rsid w:val="009309E4"/>
    <w:rsid w:val="00932F32"/>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87736"/>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3F1C"/>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114C"/>
    <w:rsid w:val="00A5358B"/>
    <w:rsid w:val="00A53D4A"/>
    <w:rsid w:val="00A55F87"/>
    <w:rsid w:val="00A56E2E"/>
    <w:rsid w:val="00A67420"/>
    <w:rsid w:val="00A7154B"/>
    <w:rsid w:val="00A71D4E"/>
    <w:rsid w:val="00A746F5"/>
    <w:rsid w:val="00A74AD9"/>
    <w:rsid w:val="00A74F5D"/>
    <w:rsid w:val="00A7634A"/>
    <w:rsid w:val="00A773A7"/>
    <w:rsid w:val="00A773DA"/>
    <w:rsid w:val="00A80C41"/>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27BA"/>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3BF8"/>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51E"/>
    <w:rsid w:val="00DD4B24"/>
    <w:rsid w:val="00DD5651"/>
    <w:rsid w:val="00DD6196"/>
    <w:rsid w:val="00DD64D2"/>
    <w:rsid w:val="00DE0474"/>
    <w:rsid w:val="00DE0E2E"/>
    <w:rsid w:val="00DE12F4"/>
    <w:rsid w:val="00DE1DFC"/>
    <w:rsid w:val="00DE208C"/>
    <w:rsid w:val="00DE53B2"/>
    <w:rsid w:val="00DE5AA6"/>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257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283"/>
    <w:rsid w:val="00E91461"/>
    <w:rsid w:val="00E91B94"/>
    <w:rsid w:val="00E93356"/>
    <w:rsid w:val="00EA0EAA"/>
    <w:rsid w:val="00EA357D"/>
    <w:rsid w:val="00EA37AB"/>
    <w:rsid w:val="00EA4736"/>
    <w:rsid w:val="00EA5BEE"/>
    <w:rsid w:val="00EA5D3F"/>
    <w:rsid w:val="00EA5EB9"/>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147"/>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91F"/>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61"/>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1873D2"/>
    <w:rsid w:val="014E3080"/>
    <w:rsid w:val="02052AAD"/>
    <w:rsid w:val="02664AA4"/>
    <w:rsid w:val="03006B4E"/>
    <w:rsid w:val="03581547"/>
    <w:rsid w:val="037107EB"/>
    <w:rsid w:val="04001E75"/>
    <w:rsid w:val="051E2A1A"/>
    <w:rsid w:val="051F3755"/>
    <w:rsid w:val="061B6C83"/>
    <w:rsid w:val="067D4177"/>
    <w:rsid w:val="074804D3"/>
    <w:rsid w:val="075D7F93"/>
    <w:rsid w:val="07CF3AD2"/>
    <w:rsid w:val="07F5068E"/>
    <w:rsid w:val="0B3F14D4"/>
    <w:rsid w:val="0C2575D2"/>
    <w:rsid w:val="0D8E5B5C"/>
    <w:rsid w:val="0DA50108"/>
    <w:rsid w:val="0DDE264C"/>
    <w:rsid w:val="0E43752E"/>
    <w:rsid w:val="0E4A1F7B"/>
    <w:rsid w:val="0EEB3116"/>
    <w:rsid w:val="0F227143"/>
    <w:rsid w:val="102327CF"/>
    <w:rsid w:val="11DF4949"/>
    <w:rsid w:val="12CE31C0"/>
    <w:rsid w:val="131E0A70"/>
    <w:rsid w:val="134C274B"/>
    <w:rsid w:val="15436ADA"/>
    <w:rsid w:val="1562473D"/>
    <w:rsid w:val="156A1844"/>
    <w:rsid w:val="15AF0B8A"/>
    <w:rsid w:val="16281D33"/>
    <w:rsid w:val="16471C17"/>
    <w:rsid w:val="16A345B3"/>
    <w:rsid w:val="16AC049D"/>
    <w:rsid w:val="17794D6D"/>
    <w:rsid w:val="17A91CFA"/>
    <w:rsid w:val="180D3AD8"/>
    <w:rsid w:val="18F73377"/>
    <w:rsid w:val="19834C82"/>
    <w:rsid w:val="19D61256"/>
    <w:rsid w:val="1A0D279E"/>
    <w:rsid w:val="1B612829"/>
    <w:rsid w:val="1B882887"/>
    <w:rsid w:val="1BD316FD"/>
    <w:rsid w:val="1D5A29C3"/>
    <w:rsid w:val="1D601BC3"/>
    <w:rsid w:val="1E3C465E"/>
    <w:rsid w:val="1E566E09"/>
    <w:rsid w:val="1E80399A"/>
    <w:rsid w:val="1F210C74"/>
    <w:rsid w:val="20CC33B3"/>
    <w:rsid w:val="21A07278"/>
    <w:rsid w:val="228E548D"/>
    <w:rsid w:val="23223517"/>
    <w:rsid w:val="241A75FB"/>
    <w:rsid w:val="246045DE"/>
    <w:rsid w:val="24D06C0B"/>
    <w:rsid w:val="254F5F57"/>
    <w:rsid w:val="257F09F3"/>
    <w:rsid w:val="261C1A01"/>
    <w:rsid w:val="26265313"/>
    <w:rsid w:val="27A67575"/>
    <w:rsid w:val="287634F3"/>
    <w:rsid w:val="28EF5E90"/>
    <w:rsid w:val="294A30C6"/>
    <w:rsid w:val="29D3130E"/>
    <w:rsid w:val="2A497822"/>
    <w:rsid w:val="2B033371"/>
    <w:rsid w:val="2B5041D5"/>
    <w:rsid w:val="2B764647"/>
    <w:rsid w:val="2D8568D6"/>
    <w:rsid w:val="2DA27975"/>
    <w:rsid w:val="2E262354"/>
    <w:rsid w:val="2E9574DA"/>
    <w:rsid w:val="2ECD6CBC"/>
    <w:rsid w:val="2F2E1943"/>
    <w:rsid w:val="2FBB771F"/>
    <w:rsid w:val="2FD45DE0"/>
    <w:rsid w:val="300F506A"/>
    <w:rsid w:val="30333086"/>
    <w:rsid w:val="30FA0A5F"/>
    <w:rsid w:val="31F938DC"/>
    <w:rsid w:val="31FA533A"/>
    <w:rsid w:val="321B5F48"/>
    <w:rsid w:val="32C1089D"/>
    <w:rsid w:val="33FE0E09"/>
    <w:rsid w:val="345A2F75"/>
    <w:rsid w:val="35C95A29"/>
    <w:rsid w:val="36983C3C"/>
    <w:rsid w:val="36FF3742"/>
    <w:rsid w:val="37011D2B"/>
    <w:rsid w:val="37C8447C"/>
    <w:rsid w:val="38734547"/>
    <w:rsid w:val="39671A73"/>
    <w:rsid w:val="397663A3"/>
    <w:rsid w:val="39B12074"/>
    <w:rsid w:val="3A2B6F44"/>
    <w:rsid w:val="3AD14EA7"/>
    <w:rsid w:val="3AEF7F72"/>
    <w:rsid w:val="3B027CA5"/>
    <w:rsid w:val="3E183997"/>
    <w:rsid w:val="3E80785E"/>
    <w:rsid w:val="3F683EFB"/>
    <w:rsid w:val="401A2B3E"/>
    <w:rsid w:val="4066392B"/>
    <w:rsid w:val="41146C25"/>
    <w:rsid w:val="41840C58"/>
    <w:rsid w:val="421F2475"/>
    <w:rsid w:val="42FF75E8"/>
    <w:rsid w:val="45A81449"/>
    <w:rsid w:val="46FF308C"/>
    <w:rsid w:val="47710487"/>
    <w:rsid w:val="49C371CF"/>
    <w:rsid w:val="4A16363D"/>
    <w:rsid w:val="4A4F27DB"/>
    <w:rsid w:val="4A62250E"/>
    <w:rsid w:val="4AC80D07"/>
    <w:rsid w:val="4B2E4BBB"/>
    <w:rsid w:val="4CCF26EF"/>
    <w:rsid w:val="4CFB4719"/>
    <w:rsid w:val="4D4D7DF7"/>
    <w:rsid w:val="4D950505"/>
    <w:rsid w:val="4EA64E48"/>
    <w:rsid w:val="4EDD74E8"/>
    <w:rsid w:val="4FEB3242"/>
    <w:rsid w:val="50045AFA"/>
    <w:rsid w:val="507800F0"/>
    <w:rsid w:val="50C36033"/>
    <w:rsid w:val="515C7B07"/>
    <w:rsid w:val="51D20730"/>
    <w:rsid w:val="52DA40DA"/>
    <w:rsid w:val="531620E8"/>
    <w:rsid w:val="53876B42"/>
    <w:rsid w:val="53D0149D"/>
    <w:rsid w:val="53FD0BB2"/>
    <w:rsid w:val="547C241E"/>
    <w:rsid w:val="54955613"/>
    <w:rsid w:val="5543118E"/>
    <w:rsid w:val="565777D8"/>
    <w:rsid w:val="567F5E2A"/>
    <w:rsid w:val="57C540DC"/>
    <w:rsid w:val="58C42200"/>
    <w:rsid w:val="597B2CA5"/>
    <w:rsid w:val="5A4A4E95"/>
    <w:rsid w:val="5B12527D"/>
    <w:rsid w:val="5C6F735C"/>
    <w:rsid w:val="5CCE3A33"/>
    <w:rsid w:val="5CDA167E"/>
    <w:rsid w:val="5D27332E"/>
    <w:rsid w:val="5E5B08F4"/>
    <w:rsid w:val="5EAB17F0"/>
    <w:rsid w:val="5EB56C59"/>
    <w:rsid w:val="6065307F"/>
    <w:rsid w:val="611539DF"/>
    <w:rsid w:val="614F44E7"/>
    <w:rsid w:val="61677FB2"/>
    <w:rsid w:val="618446C0"/>
    <w:rsid w:val="61C93625"/>
    <w:rsid w:val="61E15FB7"/>
    <w:rsid w:val="61E2171B"/>
    <w:rsid w:val="624A3B5C"/>
    <w:rsid w:val="62B77D87"/>
    <w:rsid w:val="63DB5069"/>
    <w:rsid w:val="651F3E46"/>
    <w:rsid w:val="653F7D14"/>
    <w:rsid w:val="655D5954"/>
    <w:rsid w:val="65D93CFC"/>
    <w:rsid w:val="664C03A1"/>
    <w:rsid w:val="666344C6"/>
    <w:rsid w:val="66DA2D87"/>
    <w:rsid w:val="67BD6A61"/>
    <w:rsid w:val="67C47F0C"/>
    <w:rsid w:val="684D1945"/>
    <w:rsid w:val="685927E7"/>
    <w:rsid w:val="699E2849"/>
    <w:rsid w:val="6A3550F2"/>
    <w:rsid w:val="6B166CD1"/>
    <w:rsid w:val="6D6F7D25"/>
    <w:rsid w:val="6D7B69D7"/>
    <w:rsid w:val="6DC3423A"/>
    <w:rsid w:val="6E5378F4"/>
    <w:rsid w:val="6F9454F0"/>
    <w:rsid w:val="6FEE69D3"/>
    <w:rsid w:val="702B4376"/>
    <w:rsid w:val="71AE1DA3"/>
    <w:rsid w:val="7206664B"/>
    <w:rsid w:val="722E2B52"/>
    <w:rsid w:val="725E6837"/>
    <w:rsid w:val="72C16644"/>
    <w:rsid w:val="72E87C49"/>
    <w:rsid w:val="72EC6569"/>
    <w:rsid w:val="73141ACB"/>
    <w:rsid w:val="731D6C56"/>
    <w:rsid w:val="740022CC"/>
    <w:rsid w:val="74315F7E"/>
    <w:rsid w:val="74D87BF6"/>
    <w:rsid w:val="75A82C1C"/>
    <w:rsid w:val="75D752AF"/>
    <w:rsid w:val="76326989"/>
    <w:rsid w:val="76ED78FA"/>
    <w:rsid w:val="771447E8"/>
    <w:rsid w:val="777D1E86"/>
    <w:rsid w:val="78054355"/>
    <w:rsid w:val="78135869"/>
    <w:rsid w:val="781E0F73"/>
    <w:rsid w:val="78811502"/>
    <w:rsid w:val="78873879"/>
    <w:rsid w:val="79D94471"/>
    <w:rsid w:val="7A0933FE"/>
    <w:rsid w:val="7A543C18"/>
    <w:rsid w:val="7A750036"/>
    <w:rsid w:val="7B284D72"/>
    <w:rsid w:val="7C25567E"/>
    <w:rsid w:val="7C667523"/>
    <w:rsid w:val="7CA717AF"/>
    <w:rsid w:val="7DF00359"/>
    <w:rsid w:val="7DFBB8BB"/>
    <w:rsid w:val="7EB33A68"/>
    <w:rsid w:val="7EB97C47"/>
    <w:rsid w:val="7F24628B"/>
    <w:rsid w:val="7F403EC5"/>
    <w:rsid w:val="7F5C2486"/>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4">
    <w:name w:val="Normal Indent"/>
    <w:basedOn w:val="1"/>
    <w:next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next w:val="18"/>
    <w:link w:val="84"/>
    <w:qFormat/>
    <w:uiPriority w:val="0"/>
    <w:pPr>
      <w:spacing w:line="360" w:lineRule="auto"/>
    </w:pPr>
    <w:rPr>
      <w:rFonts w:eastAsia="仿宋_GB2312"/>
      <w:sz w:val="28"/>
    </w:rPr>
  </w:style>
  <w:style w:type="paragraph" w:styleId="18">
    <w:name w:val="Body Text First Indent"/>
    <w:basedOn w:val="17"/>
    <w:next w:val="19"/>
    <w:link w:val="203"/>
    <w:qFormat/>
    <w:uiPriority w:val="0"/>
    <w:pPr>
      <w:spacing w:after="120" w:line="240" w:lineRule="auto"/>
      <w:ind w:firstLine="420" w:firstLineChars="100"/>
    </w:pPr>
    <w:rPr>
      <w:rFonts w:eastAsia="宋体"/>
      <w:sz w:val="21"/>
    </w:rPr>
  </w:style>
  <w:style w:type="paragraph" w:styleId="19">
    <w:name w:val="toc 6"/>
    <w:basedOn w:val="1"/>
    <w:next w:val="1"/>
    <w:semiHidden/>
    <w:qFormat/>
    <w:uiPriority w:val="0"/>
    <w:pPr>
      <w:ind w:left="2100" w:leftChars="1000"/>
    </w:pPr>
  </w:style>
  <w:style w:type="paragraph" w:styleId="20">
    <w:name w:val="Body Text Indent"/>
    <w:basedOn w:val="1"/>
    <w:link w:val="65"/>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9"/>
    <w:semiHidden/>
    <w:qFormat/>
    <w:uiPriority w:val="0"/>
    <w:rPr>
      <w:sz w:val="18"/>
      <w:szCs w:val="18"/>
    </w:rPr>
  </w:style>
  <w:style w:type="paragraph" w:styleId="28">
    <w:name w:val="footer"/>
    <w:basedOn w:val="1"/>
    <w:link w:val="68"/>
    <w:qFormat/>
    <w:uiPriority w:val="99"/>
    <w:pPr>
      <w:tabs>
        <w:tab w:val="center" w:pos="4153"/>
        <w:tab w:val="right" w:pos="8306"/>
      </w:tabs>
      <w:snapToGrid w:val="0"/>
      <w:jc w:val="left"/>
    </w:pPr>
    <w:rPr>
      <w:sz w:val="18"/>
      <w:szCs w:val="18"/>
    </w:rPr>
  </w:style>
  <w:style w:type="paragraph" w:styleId="29">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footnote text"/>
    <w:basedOn w:val="1"/>
    <w:qFormat/>
    <w:uiPriority w:val="0"/>
    <w:pPr>
      <w:snapToGrid w:val="0"/>
      <w:jc w:val="left"/>
    </w:pPr>
    <w:rPr>
      <w:sz w:val="18"/>
    </w:r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6"/>
    <w:next w:val="16"/>
    <w:link w:val="202"/>
    <w:semiHidden/>
    <w:qFormat/>
    <w:uiPriority w:val="0"/>
    <w:pPr>
      <w:widowControl/>
      <w:spacing w:afterLines="50"/>
    </w:pPr>
    <w:rPr>
      <w:b/>
      <w:bCs/>
      <w:kern w:val="0"/>
      <w:sz w:val="24"/>
      <w:szCs w:val="20"/>
    </w:rPr>
  </w:style>
  <w:style w:type="paragraph" w:styleId="42">
    <w:name w:val="Body Text First Indent 2"/>
    <w:basedOn w:val="20"/>
    <w:link w:val="204"/>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basedOn w:val="45"/>
    <w:qFormat/>
    <w:uiPriority w:val="0"/>
    <w:rPr>
      <w:sz w:val="21"/>
      <w:szCs w:val="21"/>
    </w:rPr>
  </w:style>
  <w:style w:type="character" w:customStyle="1" w:styleId="52">
    <w:name w:val="标题 1 字符"/>
    <w:link w:val="2"/>
    <w:qFormat/>
    <w:uiPriority w:val="0"/>
    <w:rPr>
      <w:rFonts w:eastAsia="仿宋_GB2312"/>
      <w:b/>
      <w:kern w:val="44"/>
      <w:sz w:val="44"/>
      <w:lang w:val="en-US" w:eastAsia="zh-CN" w:bidi="ar-SA"/>
    </w:rPr>
  </w:style>
  <w:style w:type="character" w:customStyle="1" w:styleId="53">
    <w:name w:val="正文缩进 字符"/>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3"/>
    <w:qFormat/>
    <w:uiPriority w:val="0"/>
    <w:rPr>
      <w:rFonts w:ascii="Arial" w:hAnsi="Arial" w:eastAsia="黑体"/>
      <w:b/>
      <w:kern w:val="2"/>
      <w:sz w:val="32"/>
      <w:lang w:val="en-US" w:eastAsia="zh-CN" w:bidi="ar-SA"/>
    </w:rPr>
  </w:style>
  <w:style w:type="character" w:customStyle="1" w:styleId="56">
    <w:name w:val="标题 3 字符"/>
    <w:link w:val="5"/>
    <w:qFormat/>
    <w:uiPriority w:val="0"/>
    <w:rPr>
      <w:rFonts w:eastAsia="仿宋_GB2312"/>
      <w:b/>
      <w:kern w:val="2"/>
      <w:sz w:val="32"/>
      <w:lang w:val="en-US" w:eastAsia="zh-CN" w:bidi="ar-SA"/>
    </w:rPr>
  </w:style>
  <w:style w:type="character" w:customStyle="1" w:styleId="57">
    <w:name w:val="标题 4 字符"/>
    <w:link w:val="6"/>
    <w:qFormat/>
    <w:uiPriority w:val="0"/>
    <w:rPr>
      <w:rFonts w:ascii="Arial" w:hAnsi="Arial" w:eastAsia="黑体"/>
      <w:b/>
      <w:kern w:val="2"/>
      <w:sz w:val="28"/>
      <w:lang w:val="en-US" w:eastAsia="zh-CN" w:bidi="ar-SA"/>
    </w:rPr>
  </w:style>
  <w:style w:type="character" w:customStyle="1" w:styleId="58">
    <w:name w:val="标题 5 字符"/>
    <w:link w:val="7"/>
    <w:qFormat/>
    <w:uiPriority w:val="0"/>
    <w:rPr>
      <w:rFonts w:eastAsia="宋体"/>
      <w:sz w:val="24"/>
      <w:lang w:val="en-US" w:eastAsia="zh-CN" w:bidi="ar-SA"/>
    </w:rPr>
  </w:style>
  <w:style w:type="character" w:customStyle="1" w:styleId="59">
    <w:name w:val="标题 6 字符"/>
    <w:link w:val="8"/>
    <w:qFormat/>
    <w:uiPriority w:val="0"/>
    <w:rPr>
      <w:rFonts w:ascii="宋体" w:hAnsi="Arial" w:eastAsia="宋体"/>
      <w:sz w:val="24"/>
      <w:lang w:val="en-US" w:eastAsia="zh-CN" w:bidi="ar-SA"/>
    </w:rPr>
  </w:style>
  <w:style w:type="character" w:customStyle="1" w:styleId="60">
    <w:name w:val="标题 7 字符"/>
    <w:link w:val="9"/>
    <w:qFormat/>
    <w:uiPriority w:val="0"/>
    <w:rPr>
      <w:rFonts w:ascii="宋体" w:hAnsi="Arial" w:eastAsia="宋体"/>
      <w:b/>
      <w:sz w:val="24"/>
      <w:lang w:val="en-US" w:eastAsia="zh-CN" w:bidi="ar-SA"/>
    </w:rPr>
  </w:style>
  <w:style w:type="character" w:customStyle="1" w:styleId="61">
    <w:name w:val="标题 8 字符"/>
    <w:link w:val="10"/>
    <w:qFormat/>
    <w:uiPriority w:val="0"/>
    <w:rPr>
      <w:rFonts w:ascii="Arial" w:hAnsi="Arial" w:eastAsia="黑体"/>
      <w:sz w:val="24"/>
      <w:lang w:val="en-US" w:eastAsia="zh-CN" w:bidi="ar-SA"/>
    </w:rPr>
  </w:style>
  <w:style w:type="character" w:customStyle="1" w:styleId="62">
    <w:name w:val="标题 9 字符"/>
    <w:link w:val="11"/>
    <w:qFormat/>
    <w:uiPriority w:val="0"/>
    <w:rPr>
      <w:rFonts w:ascii="Arial" w:hAnsi="Arial" w:eastAsia="黑体"/>
      <w:sz w:val="24"/>
      <w:lang w:val="en-US" w:eastAsia="zh-CN" w:bidi="ar-SA"/>
    </w:rPr>
  </w:style>
  <w:style w:type="character" w:customStyle="1" w:styleId="63">
    <w:name w:val="纯文本 字符"/>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字符"/>
    <w:link w:val="20"/>
    <w:qFormat/>
    <w:uiPriority w:val="0"/>
    <w:rPr>
      <w:rFonts w:eastAsia="宋体"/>
      <w:kern w:val="2"/>
      <w:sz w:val="21"/>
      <w:szCs w:val="24"/>
      <w:lang w:val="en-US" w:eastAsia="zh-CN" w:bidi="ar-SA"/>
    </w:rPr>
  </w:style>
  <w:style w:type="character" w:customStyle="1" w:styleId="66">
    <w:name w:val="日期 字符"/>
    <w:link w:val="25"/>
    <w:qFormat/>
    <w:uiPriority w:val="0"/>
    <w:rPr>
      <w:rFonts w:ascii="楷体_GB2312" w:eastAsia="楷体_GB2312"/>
      <w:b/>
      <w:kern w:val="2"/>
      <w:sz w:val="28"/>
      <w:lang w:val="en-US" w:eastAsia="zh-CN" w:bidi="ar-SA"/>
    </w:rPr>
  </w:style>
  <w:style w:type="character" w:customStyle="1" w:styleId="67">
    <w:name w:val="页眉 字符"/>
    <w:link w:val="29"/>
    <w:qFormat/>
    <w:uiPriority w:val="0"/>
    <w:rPr>
      <w:rFonts w:eastAsia="宋体"/>
      <w:kern w:val="2"/>
      <w:sz w:val="18"/>
      <w:szCs w:val="18"/>
      <w:lang w:val="en-US" w:eastAsia="zh-CN" w:bidi="ar-SA"/>
    </w:rPr>
  </w:style>
  <w:style w:type="character" w:customStyle="1" w:styleId="68">
    <w:name w:val="页脚 字符"/>
    <w:link w:val="28"/>
    <w:qFormat/>
    <w:locked/>
    <w:uiPriority w:val="99"/>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6"/>
    <w:qFormat/>
    <w:uiPriority w:val="0"/>
    <w:rPr>
      <w:rFonts w:eastAsia="宋体"/>
      <w:kern w:val="2"/>
      <w:sz w:val="21"/>
      <w:szCs w:val="24"/>
      <w:lang w:val="en-US" w:eastAsia="zh-CN" w:bidi="ar-SA"/>
    </w:rPr>
  </w:style>
  <w:style w:type="character" w:customStyle="1" w:styleId="72">
    <w:name w:val="正文文本 2 字符"/>
    <w:link w:val="35"/>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字符"/>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字符"/>
    <w:link w:val="40"/>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字符"/>
    <w:basedOn w:val="45"/>
    <w:link w:val="27"/>
    <w:semiHidden/>
    <w:qFormat/>
    <w:uiPriority w:val="0"/>
    <w:rPr>
      <w:kern w:val="2"/>
      <w:sz w:val="18"/>
      <w:szCs w:val="18"/>
    </w:rPr>
  </w:style>
  <w:style w:type="character" w:customStyle="1" w:styleId="200">
    <w:name w:val="正文文本缩进 3 字符"/>
    <w:basedOn w:val="45"/>
    <w:link w:val="33"/>
    <w:qFormat/>
    <w:uiPriority w:val="0"/>
    <w:rPr>
      <w:kern w:val="2"/>
      <w:sz w:val="16"/>
      <w:szCs w:val="16"/>
    </w:rPr>
  </w:style>
  <w:style w:type="character" w:customStyle="1" w:styleId="201">
    <w:name w:val="HTML 预设格式 字符"/>
    <w:basedOn w:val="45"/>
    <w:link w:val="37"/>
    <w:qFormat/>
    <w:uiPriority w:val="0"/>
    <w:rPr>
      <w:rFonts w:ascii="黑体" w:hAnsi="Courier New" w:eastAsia="黑体" w:cs="Courier New"/>
    </w:rPr>
  </w:style>
  <w:style w:type="character" w:customStyle="1" w:styleId="202">
    <w:name w:val="批注主题 字符"/>
    <w:basedOn w:val="168"/>
    <w:link w:val="41"/>
    <w:semiHidden/>
    <w:qFormat/>
    <w:uiPriority w:val="0"/>
    <w:rPr>
      <w:rFonts w:eastAsia="宋体"/>
      <w:b/>
      <w:bCs/>
      <w:kern w:val="2"/>
      <w:sz w:val="24"/>
      <w:szCs w:val="24"/>
      <w:lang w:val="en-US" w:eastAsia="zh-CN" w:bidi="ar-SA"/>
    </w:rPr>
  </w:style>
  <w:style w:type="character" w:customStyle="1" w:styleId="203">
    <w:name w:val="正文文本首行缩进 字符"/>
    <w:basedOn w:val="163"/>
    <w:link w:val="18"/>
    <w:qFormat/>
    <w:uiPriority w:val="0"/>
    <w:rPr>
      <w:rFonts w:eastAsia="仿宋_GB2312"/>
      <w:kern w:val="2"/>
      <w:sz w:val="21"/>
      <w:szCs w:val="24"/>
      <w:lang w:val="en-US" w:eastAsia="zh-CN" w:bidi="ar-SA"/>
    </w:rPr>
  </w:style>
  <w:style w:type="character" w:customStyle="1" w:styleId="204">
    <w:name w:val="正文文本首行缩进 2 字符"/>
    <w:basedOn w:val="65"/>
    <w:link w:val="42"/>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5"/>
    <w:qFormat/>
    <w:uiPriority w:val="0"/>
    <w:rPr>
      <w:rFonts w:hint="eastAsia" w:ascii="宋体" w:hAnsi="宋体" w:eastAsia="宋体" w:cs="宋体"/>
      <w:color w:val="000000"/>
      <w:sz w:val="22"/>
      <w:szCs w:val="22"/>
      <w:u w:val="none"/>
    </w:rPr>
  </w:style>
  <w:style w:type="character" w:customStyle="1" w:styleId="267">
    <w:name w:val="font11"/>
    <w:basedOn w:val="45"/>
    <w:qFormat/>
    <w:uiPriority w:val="0"/>
    <w:rPr>
      <w:rFonts w:hint="eastAsia" w:ascii="宋体" w:hAnsi="宋体" w:eastAsia="宋体" w:cs="宋体"/>
      <w:color w:val="FF0000"/>
      <w:sz w:val="22"/>
      <w:szCs w:val="22"/>
      <w:u w:val="none"/>
    </w:rPr>
  </w:style>
  <w:style w:type="character" w:customStyle="1" w:styleId="268">
    <w:name w:val="font41"/>
    <w:basedOn w:val="45"/>
    <w:qFormat/>
    <w:uiPriority w:val="0"/>
    <w:rPr>
      <w:rFonts w:hint="default" w:ascii="等线" w:hAnsi="等线" w:eastAsia="等线" w:cs="等线"/>
      <w:color w:val="FF0000"/>
      <w:sz w:val="22"/>
      <w:szCs w:val="22"/>
      <w:u w:val="none"/>
    </w:rPr>
  </w:style>
  <w:style w:type="character" w:customStyle="1" w:styleId="269">
    <w:name w:val="font21"/>
    <w:basedOn w:val="45"/>
    <w:qFormat/>
    <w:uiPriority w:val="0"/>
    <w:rPr>
      <w:rFonts w:hint="default" w:ascii="等线" w:hAnsi="等线" w:eastAsia="等线" w:cs="等线"/>
      <w:color w:val="000000"/>
      <w:sz w:val="22"/>
      <w:szCs w:val="22"/>
      <w:u w:val="none"/>
    </w:rPr>
  </w:style>
  <w:style w:type="character" w:customStyle="1" w:styleId="270">
    <w:name w:val="font51"/>
    <w:basedOn w:val="45"/>
    <w:qFormat/>
    <w:uiPriority w:val="0"/>
    <w:rPr>
      <w:rFonts w:hint="default" w:ascii="等线" w:hAnsi="等线" w:eastAsia="等线" w:cs="等线"/>
      <w:color w:val="FF0000"/>
      <w:sz w:val="22"/>
      <w:szCs w:val="22"/>
      <w:u w:val="none"/>
    </w:rPr>
  </w:style>
  <w:style w:type="character" w:customStyle="1" w:styleId="271">
    <w:name w:val="font61"/>
    <w:basedOn w:val="45"/>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5"/>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5"/>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字符"/>
    <w:link w:val="14"/>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51396</Words>
  <Characters>54849</Characters>
  <Lines>432</Lines>
  <Paragraphs>121</Paragraphs>
  <TotalTime>13</TotalTime>
  <ScaleCrop>false</ScaleCrop>
  <LinksUpToDate>false</LinksUpToDate>
  <CharactersWithSpaces>58162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2023-05-03T08:04:00Z</dcterms:created>
  <dc:creator>USER</dc:creator>
  <cp:lastModifiedBy>Hzh</cp:lastModifiedBy>
  <cp:lastPrinted>2023-05-02T00:43:00Z</cp:lastPrinted>
  <dcterms:modified xsi:type="dcterms:W3CDTF">2023-05-03T09:32:28Z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AE793DD0AC6D46BFB81CC8B8A50BB3F8_13</vt:lpwstr>
  </property>
</Properties>
</file>