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绍兴市人民医院（吻合类）腔镜血管闭合器械采购项目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SXRMYY-2023-19</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r>
        <w:rPr>
          <w:rFonts w:hint="eastAsia" w:ascii="仿宋" w:hAnsi="仿宋" w:eastAsia="仿宋" w:cs="仿宋"/>
          <w:sz w:val="28"/>
          <w:u w:val="single"/>
        </w:rPr>
        <w:t>202</w:t>
      </w:r>
      <w:r>
        <w:rPr>
          <w:rFonts w:ascii="仿宋" w:hAnsi="仿宋" w:eastAsia="仿宋" w:cs="仿宋"/>
          <w:sz w:val="28"/>
          <w:u w:val="single"/>
        </w:rPr>
        <w:t>3</w:t>
      </w:r>
      <w:r>
        <w:rPr>
          <w:rFonts w:hint="eastAsia" w:ascii="仿宋" w:hAnsi="仿宋" w:eastAsia="仿宋" w:cs="仿宋"/>
          <w:sz w:val="28"/>
        </w:rPr>
        <w:t>年</w:t>
      </w:r>
      <w:r>
        <w:rPr>
          <w:rFonts w:ascii="仿宋" w:hAnsi="仿宋" w:eastAsia="仿宋" w:cs="仿宋"/>
          <w:sz w:val="28"/>
          <w:u w:val="single"/>
        </w:rPr>
        <w:t>5</w:t>
      </w:r>
      <w:r>
        <w:rPr>
          <w:rFonts w:hint="eastAsia" w:ascii="仿宋" w:hAnsi="仿宋" w:eastAsia="仿宋" w:cs="仿宋"/>
          <w:sz w:val="28"/>
        </w:rPr>
        <w:t>月</w:t>
      </w:r>
    </w:p>
    <w:p>
      <w:pPr>
        <w:jc w:val="center"/>
        <w:rPr>
          <w:rFonts w:ascii="仿宋" w:hAnsi="仿宋" w:eastAsia="仿宋" w:cs="仿宋"/>
          <w:b/>
          <w:sz w:val="52"/>
          <w:szCs w:val="52"/>
        </w:rPr>
      </w:pPr>
    </w:p>
    <w:p>
      <w:pPr>
        <w:jc w:val="center"/>
        <w:rPr>
          <w:rFonts w:ascii="仿宋" w:hAnsi="仿宋" w:eastAsia="仿宋" w:cs="仿宋"/>
          <w:b/>
          <w:sz w:val="52"/>
          <w:szCs w:val="52"/>
        </w:rPr>
      </w:pP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2"/>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4"/>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4"/>
        <w:rPr>
          <w:rFonts w:ascii="仿宋" w:hAnsi="仿宋" w:cs="仿宋"/>
        </w:rPr>
      </w:pPr>
      <w:bookmarkStart w:id="0" w:name="_Toc104885739"/>
      <w:bookmarkStart w:id="1" w:name="_Hlk113894197"/>
      <w:bookmarkStart w:id="2" w:name="_Hlk132273255"/>
      <w:bookmarkStart w:id="3"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hint="eastAsia" w:ascii="仿宋" w:hAnsi="仿宋" w:eastAsia="仿宋" w:cs="仿宋"/>
          <w:bCs/>
          <w:sz w:val="24"/>
          <w:u w:val="single"/>
        </w:rPr>
        <w:t>SXRMYY-2023-19</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159"/>
        <w:gridCol w:w="651"/>
        <w:gridCol w:w="657"/>
        <w:gridCol w:w="1159"/>
        <w:gridCol w:w="1165"/>
        <w:gridCol w:w="1453"/>
        <w:gridCol w:w="1741"/>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jc w:val="center"/>
              <w:rPr>
                <w:rFonts w:ascii="仿宋" w:hAnsi="仿宋" w:eastAsia="仿宋" w:cs="仿宋"/>
                <w:szCs w:val="21"/>
              </w:rPr>
            </w:pPr>
            <w:r>
              <w:rPr>
                <w:rFonts w:hint="eastAsia" w:ascii="仿宋" w:hAnsi="仿宋" w:eastAsia="仿宋" w:cs="仿宋"/>
                <w:szCs w:val="21"/>
              </w:rPr>
              <w:t>标段号</w:t>
            </w:r>
          </w:p>
        </w:tc>
        <w:tc>
          <w:tcPr>
            <w:tcW w:w="616" w:type="pct"/>
            <w:vAlign w:val="center"/>
          </w:tcPr>
          <w:p>
            <w:pPr>
              <w:jc w:val="center"/>
              <w:rPr>
                <w:rFonts w:ascii="仿宋" w:hAnsi="仿宋" w:eastAsia="仿宋" w:cs="仿宋"/>
                <w:szCs w:val="21"/>
              </w:rPr>
            </w:pPr>
            <w:r>
              <w:rPr>
                <w:rFonts w:hint="eastAsia" w:ascii="仿宋" w:hAnsi="仿宋" w:eastAsia="仿宋" w:cs="仿宋"/>
                <w:szCs w:val="21"/>
              </w:rPr>
              <w:t>产品名称</w:t>
            </w:r>
          </w:p>
        </w:tc>
        <w:tc>
          <w:tcPr>
            <w:tcW w:w="346" w:type="pct"/>
            <w:vAlign w:val="center"/>
          </w:tcPr>
          <w:p>
            <w:pPr>
              <w:jc w:val="center"/>
              <w:rPr>
                <w:rFonts w:ascii="仿宋" w:hAnsi="仿宋" w:eastAsia="仿宋" w:cs="仿宋"/>
                <w:szCs w:val="21"/>
              </w:rPr>
            </w:pPr>
            <w:r>
              <w:rPr>
                <w:rFonts w:hint="eastAsia" w:ascii="仿宋" w:hAnsi="仿宋" w:eastAsia="仿宋" w:cs="仿宋"/>
                <w:szCs w:val="21"/>
              </w:rPr>
              <w:t>规格</w:t>
            </w:r>
          </w:p>
        </w:tc>
        <w:tc>
          <w:tcPr>
            <w:tcW w:w="349" w:type="pct"/>
            <w:vAlign w:val="center"/>
          </w:tcPr>
          <w:p>
            <w:pPr>
              <w:jc w:val="center"/>
              <w:rPr>
                <w:rFonts w:ascii="仿宋" w:hAnsi="仿宋" w:eastAsia="仿宋" w:cs="仿宋"/>
                <w:szCs w:val="21"/>
              </w:rPr>
            </w:pPr>
            <w:r>
              <w:rPr>
                <w:rFonts w:hint="eastAsia" w:ascii="仿宋" w:hAnsi="仿宋" w:eastAsia="仿宋" w:cs="仿宋"/>
                <w:szCs w:val="21"/>
              </w:rPr>
              <w:t>单位</w:t>
            </w:r>
          </w:p>
        </w:tc>
        <w:tc>
          <w:tcPr>
            <w:tcW w:w="616"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9"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72"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c>
          <w:tcPr>
            <w:tcW w:w="925" w:type="pct"/>
            <w:vAlign w:val="center"/>
          </w:tcPr>
          <w:p>
            <w:pPr>
              <w:jc w:val="center"/>
              <w:rPr>
                <w:rFonts w:hint="eastAsia" w:ascii="仿宋" w:hAnsi="仿宋" w:eastAsia="仿宋" w:cs="仿宋"/>
                <w:szCs w:val="21"/>
              </w:rPr>
            </w:pPr>
            <w:r>
              <w:rPr>
                <w:rFonts w:hint="eastAsia" w:ascii="仿宋" w:hAnsi="仿宋" w:eastAsia="仿宋" w:cs="仿宋"/>
                <w:szCs w:val="21"/>
              </w:rPr>
              <w:t>适配</w:t>
            </w:r>
          </w:p>
        </w:tc>
        <w:tc>
          <w:tcPr>
            <w:tcW w:w="368" w:type="pct"/>
            <w:vAlign w:val="center"/>
          </w:tcPr>
          <w:p>
            <w:pPr>
              <w:jc w:val="center"/>
              <w:rPr>
                <w:rFonts w:ascii="仿宋" w:hAnsi="仿宋" w:eastAsia="仿宋" w:cs="仿宋"/>
                <w:szCs w:val="21"/>
              </w:rPr>
            </w:pPr>
            <w:r>
              <w:rPr>
                <w:rFonts w:hint="eastAsia" w:ascii="仿宋" w:hAnsi="仿宋" w:eastAsia="仿宋" w:cs="仿宋"/>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jc w:val="center"/>
              <w:rPr>
                <w:rFonts w:ascii="仿宋" w:hAnsi="仿宋" w:eastAsia="仿宋" w:cs="仿宋"/>
                <w:szCs w:val="21"/>
              </w:rPr>
            </w:pPr>
            <w:r>
              <w:rPr>
                <w:rFonts w:hint="eastAsia" w:ascii="仿宋" w:hAnsi="仿宋" w:eastAsia="仿宋" w:cs="仿宋"/>
                <w:szCs w:val="21"/>
              </w:rPr>
              <w:t>1</w:t>
            </w:r>
          </w:p>
        </w:tc>
        <w:tc>
          <w:tcPr>
            <w:tcW w:w="616" w:type="pct"/>
            <w:vAlign w:val="center"/>
          </w:tcPr>
          <w:p>
            <w:pPr>
              <w:jc w:val="center"/>
              <w:rPr>
                <w:rFonts w:ascii="仿宋" w:hAnsi="仿宋" w:eastAsia="仿宋" w:cs="仿宋"/>
                <w:szCs w:val="16"/>
              </w:rPr>
            </w:pPr>
            <w:r>
              <w:rPr>
                <w:rFonts w:hint="eastAsia" w:ascii="仿宋" w:hAnsi="仿宋" w:eastAsia="仿宋" w:cs="仿宋"/>
                <w:szCs w:val="16"/>
              </w:rPr>
              <w:t>弯形小钳口开放手术闭合器/分割器</w:t>
            </w:r>
          </w:p>
        </w:tc>
        <w:tc>
          <w:tcPr>
            <w:tcW w:w="346" w:type="pct"/>
            <w:vAlign w:val="center"/>
          </w:tcPr>
          <w:p>
            <w:pPr>
              <w:jc w:val="center"/>
              <w:rPr>
                <w:rFonts w:ascii="仿宋" w:hAnsi="仿宋" w:eastAsia="仿宋" w:cs="仿宋"/>
                <w:szCs w:val="16"/>
              </w:rPr>
            </w:pPr>
            <w:r>
              <w:rPr>
                <w:rFonts w:hint="eastAsia" w:ascii="仿宋" w:hAnsi="仿宋" w:eastAsia="仿宋" w:cs="仿宋"/>
                <w:szCs w:val="16"/>
              </w:rPr>
              <w:t xml:space="preserve">5mm  </w:t>
            </w:r>
          </w:p>
        </w:tc>
        <w:tc>
          <w:tcPr>
            <w:tcW w:w="349" w:type="pct"/>
            <w:vAlign w:val="center"/>
          </w:tcPr>
          <w:p>
            <w:pPr>
              <w:jc w:val="center"/>
              <w:rPr>
                <w:rFonts w:ascii="仿宋" w:hAnsi="仿宋" w:eastAsia="仿宋" w:cs="仿宋"/>
                <w:szCs w:val="16"/>
              </w:rPr>
            </w:pPr>
            <w:r>
              <w:rPr>
                <w:rFonts w:hint="eastAsia" w:ascii="仿宋" w:hAnsi="仿宋" w:eastAsia="仿宋" w:cs="仿宋"/>
                <w:szCs w:val="16"/>
              </w:rPr>
              <w:t>把</w:t>
            </w:r>
          </w:p>
        </w:tc>
        <w:tc>
          <w:tcPr>
            <w:tcW w:w="616" w:type="pct"/>
            <w:vAlign w:val="center"/>
          </w:tcPr>
          <w:p>
            <w:pPr>
              <w:jc w:val="center"/>
              <w:rPr>
                <w:rFonts w:ascii="仿宋" w:hAnsi="仿宋" w:eastAsia="仿宋" w:cs="仿宋"/>
                <w:szCs w:val="16"/>
              </w:rPr>
            </w:pPr>
            <w:r>
              <w:rPr>
                <w:rFonts w:hint="eastAsia" w:ascii="仿宋" w:hAnsi="仿宋" w:eastAsia="仿宋" w:cs="仿宋"/>
                <w:szCs w:val="16"/>
              </w:rPr>
              <w:t>11200</w:t>
            </w:r>
          </w:p>
        </w:tc>
        <w:tc>
          <w:tcPr>
            <w:tcW w:w="619" w:type="pct"/>
            <w:vAlign w:val="center"/>
          </w:tcPr>
          <w:p>
            <w:pPr>
              <w:jc w:val="center"/>
              <w:rPr>
                <w:rFonts w:ascii="仿宋" w:hAnsi="仿宋" w:eastAsia="仿宋" w:cs="仿宋"/>
                <w:szCs w:val="16"/>
              </w:rPr>
            </w:pPr>
            <w:r>
              <w:rPr>
                <w:rFonts w:hint="eastAsia" w:ascii="仿宋" w:hAnsi="仿宋" w:eastAsia="仿宋" w:cs="仿宋"/>
                <w:szCs w:val="16"/>
              </w:rPr>
              <w:t>20</w:t>
            </w:r>
          </w:p>
        </w:tc>
        <w:tc>
          <w:tcPr>
            <w:tcW w:w="772" w:type="pct"/>
            <w:vAlign w:val="center"/>
          </w:tcPr>
          <w:p>
            <w:pPr>
              <w:jc w:val="center"/>
              <w:rPr>
                <w:rFonts w:hint="default" w:ascii="仿宋" w:hAnsi="仿宋" w:eastAsia="仿宋" w:cs="仿宋"/>
                <w:szCs w:val="16"/>
                <w:lang w:val="en-US" w:eastAsia="zh-CN"/>
              </w:rPr>
            </w:pPr>
            <w:r>
              <w:rPr>
                <w:rFonts w:hint="eastAsia" w:ascii="仿宋" w:hAnsi="仿宋" w:eastAsia="仿宋" w:cs="仿宋"/>
                <w:szCs w:val="16"/>
                <w:lang w:val="en-US" w:eastAsia="zh-CN"/>
              </w:rPr>
              <w:t>224000</w:t>
            </w:r>
          </w:p>
        </w:tc>
        <w:tc>
          <w:tcPr>
            <w:tcW w:w="925" w:type="pct"/>
            <w:vMerge w:val="restart"/>
            <w:vAlign w:val="center"/>
          </w:tcPr>
          <w:p>
            <w:pPr>
              <w:jc w:val="center"/>
              <w:rPr>
                <w:rFonts w:hint="eastAsia" w:ascii="仿宋" w:hAnsi="仿宋" w:eastAsia="仿宋"/>
                <w:kern w:val="0"/>
                <w:szCs w:val="16"/>
              </w:rPr>
            </w:pPr>
            <w:r>
              <w:rPr>
                <w:rFonts w:hint="eastAsia" w:ascii="仿宋" w:hAnsi="仿宋" w:eastAsia="仿宋"/>
                <w:kern w:val="0"/>
                <w:szCs w:val="16"/>
              </w:rPr>
              <w:t>须</w:t>
            </w:r>
            <w:r>
              <w:rPr>
                <w:rFonts w:hint="eastAsia" w:ascii="仿宋" w:hAnsi="仿宋" w:eastAsia="仿宋" w:cs="仿宋"/>
                <w:szCs w:val="16"/>
              </w:rPr>
              <w:t>与本院高频电外科手术系统（能量平台）科惠ForceTriad、VLFT10GEN配套</w:t>
            </w:r>
          </w:p>
        </w:tc>
        <w:tc>
          <w:tcPr>
            <w:tcW w:w="368" w:type="pct"/>
            <w:vAlign w:val="center"/>
          </w:tcPr>
          <w:p>
            <w:pPr>
              <w:jc w:val="center"/>
              <w:rPr>
                <w:rFonts w:ascii="仿宋" w:hAnsi="仿宋" w:eastAsia="仿宋" w:cs="仿宋"/>
                <w:szCs w:val="16"/>
              </w:rPr>
            </w:pPr>
            <w:r>
              <w:rPr>
                <w:rFonts w:hint="eastAsia" w:ascii="仿宋" w:hAnsi="仿宋" w:eastAsia="仿宋"/>
                <w:kern w:val="0"/>
                <w:szCs w:val="16"/>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jc w:val="center"/>
              <w:rPr>
                <w:rFonts w:ascii="仿宋" w:hAnsi="仿宋" w:eastAsia="仿宋" w:cs="仿宋"/>
                <w:szCs w:val="21"/>
              </w:rPr>
            </w:pPr>
            <w:r>
              <w:rPr>
                <w:rFonts w:hint="eastAsia" w:ascii="仿宋" w:hAnsi="仿宋" w:eastAsia="仿宋" w:cs="仿宋"/>
                <w:szCs w:val="21"/>
              </w:rPr>
              <w:t>2</w:t>
            </w:r>
          </w:p>
        </w:tc>
        <w:tc>
          <w:tcPr>
            <w:tcW w:w="616" w:type="pct"/>
            <w:vAlign w:val="center"/>
          </w:tcPr>
          <w:p>
            <w:pPr>
              <w:jc w:val="center"/>
              <w:rPr>
                <w:rFonts w:ascii="仿宋" w:hAnsi="仿宋" w:eastAsia="仿宋" w:cs="Arial"/>
                <w:szCs w:val="16"/>
              </w:rPr>
            </w:pPr>
            <w:r>
              <w:rPr>
                <w:rFonts w:hint="eastAsia" w:ascii="仿宋" w:hAnsi="仿宋" w:eastAsia="仿宋" w:cs="仿宋"/>
                <w:szCs w:val="16"/>
              </w:rPr>
              <w:t>一次性使用弯头闭合切割手术器械（腔镜）</w:t>
            </w:r>
          </w:p>
        </w:tc>
        <w:tc>
          <w:tcPr>
            <w:tcW w:w="346" w:type="pct"/>
            <w:vAlign w:val="center"/>
          </w:tcPr>
          <w:p>
            <w:pPr>
              <w:jc w:val="center"/>
              <w:rPr>
                <w:rFonts w:ascii="仿宋" w:hAnsi="仿宋" w:eastAsia="仿宋" w:cs="Arial"/>
                <w:szCs w:val="16"/>
              </w:rPr>
            </w:pPr>
            <w:r>
              <w:rPr>
                <w:rFonts w:hint="eastAsia" w:ascii="仿宋" w:hAnsi="仿宋" w:eastAsia="仿宋" w:cs="仿宋"/>
                <w:szCs w:val="16"/>
              </w:rPr>
              <w:t xml:space="preserve">5mm </w:t>
            </w:r>
          </w:p>
        </w:tc>
        <w:tc>
          <w:tcPr>
            <w:tcW w:w="349" w:type="pct"/>
            <w:vAlign w:val="center"/>
          </w:tcPr>
          <w:p>
            <w:pPr>
              <w:jc w:val="center"/>
              <w:rPr>
                <w:rFonts w:ascii="仿宋" w:hAnsi="仿宋" w:eastAsia="仿宋" w:cs="Arial"/>
                <w:szCs w:val="16"/>
              </w:rPr>
            </w:pPr>
            <w:r>
              <w:rPr>
                <w:rFonts w:hint="eastAsia" w:ascii="仿宋" w:hAnsi="仿宋" w:eastAsia="仿宋" w:cs="仿宋"/>
                <w:szCs w:val="16"/>
              </w:rPr>
              <w:t>把</w:t>
            </w:r>
          </w:p>
        </w:tc>
        <w:tc>
          <w:tcPr>
            <w:tcW w:w="616" w:type="pct"/>
            <w:vAlign w:val="center"/>
          </w:tcPr>
          <w:p>
            <w:pPr>
              <w:jc w:val="center"/>
              <w:rPr>
                <w:rFonts w:ascii="仿宋" w:hAnsi="仿宋" w:eastAsia="仿宋" w:cs="Arial"/>
                <w:szCs w:val="16"/>
              </w:rPr>
            </w:pPr>
            <w:r>
              <w:rPr>
                <w:rFonts w:hint="eastAsia" w:ascii="仿宋" w:hAnsi="仿宋" w:eastAsia="仿宋" w:cs="仿宋"/>
                <w:szCs w:val="16"/>
              </w:rPr>
              <w:t>14000</w:t>
            </w:r>
          </w:p>
        </w:tc>
        <w:tc>
          <w:tcPr>
            <w:tcW w:w="619" w:type="pct"/>
            <w:vAlign w:val="center"/>
          </w:tcPr>
          <w:p>
            <w:pPr>
              <w:jc w:val="center"/>
              <w:rPr>
                <w:rFonts w:ascii="仿宋" w:hAnsi="仿宋" w:eastAsia="仿宋"/>
                <w:szCs w:val="16"/>
              </w:rPr>
            </w:pPr>
            <w:r>
              <w:rPr>
                <w:rFonts w:hint="eastAsia" w:ascii="仿宋" w:hAnsi="仿宋" w:eastAsia="仿宋" w:cs="仿宋"/>
                <w:szCs w:val="16"/>
              </w:rPr>
              <w:t>20</w:t>
            </w:r>
          </w:p>
        </w:tc>
        <w:tc>
          <w:tcPr>
            <w:tcW w:w="772" w:type="pct"/>
            <w:vAlign w:val="center"/>
          </w:tcPr>
          <w:p>
            <w:pPr>
              <w:jc w:val="center"/>
              <w:rPr>
                <w:rFonts w:hint="default" w:ascii="仿宋" w:hAnsi="仿宋" w:eastAsia="仿宋" w:cs="Arial"/>
                <w:szCs w:val="16"/>
                <w:lang w:val="en-US" w:eastAsia="zh-CN"/>
              </w:rPr>
            </w:pPr>
            <w:r>
              <w:rPr>
                <w:rFonts w:hint="eastAsia" w:ascii="仿宋" w:hAnsi="仿宋" w:eastAsia="仿宋" w:cs="仿宋"/>
                <w:szCs w:val="16"/>
                <w:lang w:val="en-US" w:eastAsia="zh-CN"/>
              </w:rPr>
              <w:t>280000</w:t>
            </w:r>
          </w:p>
        </w:tc>
        <w:tc>
          <w:tcPr>
            <w:tcW w:w="925" w:type="pct"/>
            <w:vMerge w:val="continue"/>
            <w:vAlign w:val="center"/>
          </w:tcPr>
          <w:p>
            <w:pPr>
              <w:jc w:val="center"/>
              <w:rPr>
                <w:rFonts w:hint="eastAsia" w:ascii="仿宋" w:hAnsi="仿宋" w:eastAsia="仿宋"/>
                <w:kern w:val="0"/>
                <w:szCs w:val="16"/>
              </w:rPr>
            </w:pPr>
          </w:p>
        </w:tc>
        <w:tc>
          <w:tcPr>
            <w:tcW w:w="368" w:type="pct"/>
            <w:vAlign w:val="center"/>
          </w:tcPr>
          <w:p>
            <w:pPr>
              <w:jc w:val="center"/>
              <w:rPr>
                <w:rFonts w:ascii="仿宋" w:hAnsi="仿宋" w:eastAsia="仿宋" w:cs="仿宋"/>
                <w:szCs w:val="16"/>
              </w:rPr>
            </w:pPr>
            <w:r>
              <w:rPr>
                <w:rFonts w:hint="eastAsia" w:ascii="仿宋" w:hAnsi="仿宋" w:eastAsia="仿宋"/>
                <w:kern w:val="0"/>
                <w:szCs w:val="16"/>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616" w:type="pct"/>
            <w:vAlign w:val="center"/>
          </w:tcPr>
          <w:p>
            <w:pPr>
              <w:jc w:val="center"/>
              <w:rPr>
                <w:rFonts w:hint="default" w:ascii="仿宋" w:hAnsi="仿宋" w:eastAsia="仿宋"/>
                <w:kern w:val="0"/>
                <w:szCs w:val="16"/>
                <w:lang w:val="en-US" w:eastAsia="zh-CN"/>
              </w:rPr>
            </w:pPr>
            <w:r>
              <w:rPr>
                <w:rFonts w:hint="eastAsia" w:ascii="仿宋" w:hAnsi="仿宋" w:eastAsia="仿宋" w:cs="仿宋"/>
                <w:szCs w:val="16"/>
              </w:rPr>
              <w:t>一次性使用组织闭合器械</w:t>
            </w:r>
            <w:r>
              <w:rPr>
                <w:rFonts w:hint="eastAsia" w:ascii="仿宋" w:hAnsi="仿宋" w:eastAsia="仿宋" w:cs="仿宋"/>
                <w:szCs w:val="16"/>
                <w:lang w:eastAsia="zh-CN"/>
              </w:rPr>
              <w:t>（</w:t>
            </w:r>
            <w:r>
              <w:rPr>
                <w:rFonts w:hint="eastAsia" w:ascii="仿宋" w:hAnsi="仿宋" w:eastAsia="仿宋" w:cs="仿宋"/>
                <w:szCs w:val="16"/>
                <w:lang w:val="en-US" w:eastAsia="zh-CN"/>
              </w:rPr>
              <w:t>腔镜）</w:t>
            </w:r>
          </w:p>
        </w:tc>
        <w:tc>
          <w:tcPr>
            <w:tcW w:w="346" w:type="pct"/>
            <w:vAlign w:val="center"/>
          </w:tcPr>
          <w:p>
            <w:pPr>
              <w:jc w:val="center"/>
              <w:rPr>
                <w:rFonts w:hint="eastAsia" w:ascii="仿宋" w:hAnsi="仿宋" w:eastAsia="仿宋"/>
                <w:kern w:val="0"/>
                <w:szCs w:val="16"/>
              </w:rPr>
            </w:pPr>
            <w:r>
              <w:rPr>
                <w:rFonts w:hint="eastAsia" w:ascii="仿宋" w:hAnsi="仿宋" w:eastAsia="仿宋" w:cs="仿宋"/>
                <w:szCs w:val="16"/>
              </w:rPr>
              <w:t xml:space="preserve">5mm </w:t>
            </w:r>
          </w:p>
        </w:tc>
        <w:tc>
          <w:tcPr>
            <w:tcW w:w="349" w:type="pct"/>
            <w:vAlign w:val="center"/>
          </w:tcPr>
          <w:p>
            <w:pPr>
              <w:jc w:val="center"/>
              <w:rPr>
                <w:rFonts w:hint="eastAsia" w:ascii="仿宋" w:hAnsi="仿宋" w:eastAsia="仿宋"/>
                <w:kern w:val="0"/>
                <w:szCs w:val="16"/>
              </w:rPr>
            </w:pPr>
            <w:r>
              <w:rPr>
                <w:rFonts w:hint="eastAsia" w:ascii="仿宋" w:hAnsi="仿宋" w:eastAsia="仿宋" w:cs="仿宋"/>
                <w:szCs w:val="16"/>
              </w:rPr>
              <w:t>把</w:t>
            </w:r>
          </w:p>
        </w:tc>
        <w:tc>
          <w:tcPr>
            <w:tcW w:w="616" w:type="pct"/>
            <w:vAlign w:val="center"/>
          </w:tcPr>
          <w:p>
            <w:pPr>
              <w:jc w:val="center"/>
              <w:rPr>
                <w:rFonts w:hint="eastAsia" w:ascii="仿宋" w:hAnsi="仿宋" w:eastAsia="仿宋"/>
                <w:kern w:val="0"/>
                <w:szCs w:val="16"/>
              </w:rPr>
            </w:pPr>
            <w:r>
              <w:rPr>
                <w:rFonts w:hint="eastAsia" w:ascii="仿宋" w:hAnsi="仿宋" w:eastAsia="仿宋" w:cs="仿宋"/>
                <w:szCs w:val="16"/>
              </w:rPr>
              <w:t>7300</w:t>
            </w:r>
          </w:p>
        </w:tc>
        <w:tc>
          <w:tcPr>
            <w:tcW w:w="619" w:type="pct"/>
            <w:vAlign w:val="center"/>
          </w:tcPr>
          <w:p>
            <w:pPr>
              <w:jc w:val="center"/>
              <w:rPr>
                <w:rFonts w:hint="eastAsia" w:ascii="仿宋" w:hAnsi="仿宋" w:eastAsia="仿宋"/>
                <w:kern w:val="0"/>
                <w:szCs w:val="16"/>
              </w:rPr>
            </w:pPr>
            <w:r>
              <w:rPr>
                <w:rFonts w:hint="eastAsia" w:ascii="仿宋" w:hAnsi="仿宋" w:eastAsia="仿宋" w:cs="仿宋"/>
                <w:szCs w:val="16"/>
              </w:rPr>
              <w:t>20</w:t>
            </w:r>
          </w:p>
        </w:tc>
        <w:tc>
          <w:tcPr>
            <w:tcW w:w="772" w:type="pct"/>
            <w:vAlign w:val="center"/>
          </w:tcPr>
          <w:p>
            <w:pPr>
              <w:jc w:val="center"/>
              <w:rPr>
                <w:rFonts w:hint="eastAsia" w:ascii="仿宋" w:hAnsi="仿宋" w:eastAsia="仿宋"/>
                <w:kern w:val="0"/>
                <w:szCs w:val="16"/>
              </w:rPr>
            </w:pPr>
            <w:r>
              <w:rPr>
                <w:rFonts w:hint="eastAsia" w:ascii="仿宋" w:hAnsi="仿宋" w:eastAsia="仿宋" w:cs="仿宋"/>
                <w:szCs w:val="16"/>
              </w:rPr>
              <w:t>146000</w:t>
            </w:r>
          </w:p>
        </w:tc>
        <w:tc>
          <w:tcPr>
            <w:tcW w:w="925" w:type="pct"/>
            <w:vMerge w:val="continue"/>
            <w:vAlign w:val="center"/>
          </w:tcPr>
          <w:p>
            <w:pPr>
              <w:jc w:val="center"/>
              <w:rPr>
                <w:rFonts w:hint="eastAsia" w:ascii="仿宋" w:hAnsi="仿宋" w:eastAsia="仿宋"/>
                <w:kern w:val="0"/>
                <w:szCs w:val="16"/>
              </w:rPr>
            </w:pPr>
          </w:p>
        </w:tc>
        <w:tc>
          <w:tcPr>
            <w:tcW w:w="368" w:type="pct"/>
            <w:vAlign w:val="center"/>
          </w:tcPr>
          <w:p>
            <w:pPr>
              <w:jc w:val="center"/>
              <w:rPr>
                <w:rFonts w:hint="eastAsia" w:ascii="仿宋" w:hAnsi="仿宋" w:eastAsia="仿宋"/>
                <w:kern w:val="0"/>
                <w:szCs w:val="16"/>
              </w:rPr>
            </w:pPr>
            <w:r>
              <w:rPr>
                <w:rFonts w:hint="eastAsia" w:ascii="仿宋" w:hAnsi="仿宋" w:eastAsia="仿宋"/>
                <w:kern w:val="0"/>
                <w:szCs w:val="16"/>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jc w:val="center"/>
              <w:rPr>
                <w:rFonts w:ascii="仿宋" w:hAnsi="仿宋" w:eastAsia="仿宋" w:cs="仿宋"/>
                <w:szCs w:val="21"/>
              </w:rPr>
            </w:pPr>
            <w:r>
              <w:rPr>
                <w:rFonts w:ascii="仿宋" w:hAnsi="仿宋" w:eastAsia="仿宋" w:cs="仿宋"/>
                <w:szCs w:val="21"/>
              </w:rPr>
              <w:t>4</w:t>
            </w:r>
          </w:p>
        </w:tc>
        <w:tc>
          <w:tcPr>
            <w:tcW w:w="616" w:type="pct"/>
            <w:vAlign w:val="center"/>
          </w:tcPr>
          <w:p>
            <w:pPr>
              <w:jc w:val="center"/>
              <w:rPr>
                <w:rFonts w:hint="default" w:ascii="仿宋" w:hAnsi="仿宋" w:eastAsia="仿宋" w:cs="Arial"/>
                <w:szCs w:val="16"/>
                <w:lang w:val="en-US" w:eastAsia="zh-CN"/>
              </w:rPr>
            </w:pPr>
            <w:r>
              <w:rPr>
                <w:rFonts w:hint="eastAsia" w:ascii="仿宋" w:hAnsi="仿宋" w:eastAsia="仿宋" w:cs="仿宋"/>
                <w:szCs w:val="16"/>
              </w:rPr>
              <w:t>一次性使用组织闭合器械</w:t>
            </w:r>
          </w:p>
        </w:tc>
        <w:tc>
          <w:tcPr>
            <w:tcW w:w="346" w:type="pct"/>
            <w:vAlign w:val="center"/>
          </w:tcPr>
          <w:p>
            <w:pPr>
              <w:jc w:val="center"/>
              <w:rPr>
                <w:rFonts w:ascii="仿宋" w:hAnsi="仿宋" w:eastAsia="仿宋" w:cs="Arial"/>
                <w:szCs w:val="16"/>
              </w:rPr>
            </w:pPr>
            <w:r>
              <w:rPr>
                <w:rFonts w:hint="eastAsia" w:ascii="仿宋" w:hAnsi="仿宋" w:eastAsia="仿宋" w:cs="仿宋"/>
                <w:szCs w:val="16"/>
              </w:rPr>
              <w:t>10mm</w:t>
            </w:r>
          </w:p>
        </w:tc>
        <w:tc>
          <w:tcPr>
            <w:tcW w:w="349" w:type="pct"/>
            <w:vAlign w:val="center"/>
          </w:tcPr>
          <w:p>
            <w:pPr>
              <w:jc w:val="center"/>
              <w:rPr>
                <w:rFonts w:ascii="仿宋" w:hAnsi="仿宋" w:eastAsia="仿宋" w:cs="Arial"/>
                <w:szCs w:val="16"/>
              </w:rPr>
            </w:pPr>
            <w:r>
              <w:rPr>
                <w:rFonts w:hint="eastAsia" w:ascii="仿宋" w:hAnsi="仿宋" w:eastAsia="仿宋" w:cs="仿宋"/>
                <w:szCs w:val="16"/>
              </w:rPr>
              <w:t>把</w:t>
            </w:r>
          </w:p>
        </w:tc>
        <w:tc>
          <w:tcPr>
            <w:tcW w:w="616" w:type="pct"/>
            <w:vAlign w:val="center"/>
          </w:tcPr>
          <w:p>
            <w:pPr>
              <w:jc w:val="center"/>
              <w:rPr>
                <w:rFonts w:ascii="仿宋" w:hAnsi="仿宋" w:eastAsia="仿宋" w:cs="Arial"/>
                <w:szCs w:val="16"/>
              </w:rPr>
            </w:pPr>
            <w:r>
              <w:rPr>
                <w:rFonts w:hint="eastAsia" w:ascii="仿宋" w:hAnsi="仿宋" w:eastAsia="仿宋" w:cs="仿宋"/>
                <w:szCs w:val="16"/>
              </w:rPr>
              <w:t>6600</w:t>
            </w:r>
          </w:p>
        </w:tc>
        <w:tc>
          <w:tcPr>
            <w:tcW w:w="619" w:type="pct"/>
            <w:vAlign w:val="center"/>
          </w:tcPr>
          <w:p>
            <w:pPr>
              <w:jc w:val="center"/>
              <w:rPr>
                <w:rFonts w:ascii="仿宋" w:hAnsi="仿宋" w:eastAsia="仿宋"/>
                <w:szCs w:val="16"/>
              </w:rPr>
            </w:pPr>
            <w:r>
              <w:rPr>
                <w:rFonts w:hint="eastAsia" w:ascii="仿宋" w:hAnsi="仿宋" w:eastAsia="仿宋" w:cs="仿宋"/>
                <w:szCs w:val="16"/>
              </w:rPr>
              <w:t>153</w:t>
            </w:r>
          </w:p>
        </w:tc>
        <w:tc>
          <w:tcPr>
            <w:tcW w:w="772" w:type="pct"/>
            <w:vAlign w:val="center"/>
          </w:tcPr>
          <w:p>
            <w:pPr>
              <w:jc w:val="center"/>
              <w:rPr>
                <w:rFonts w:ascii="仿宋" w:hAnsi="仿宋" w:eastAsia="仿宋" w:cs="Arial"/>
                <w:szCs w:val="16"/>
              </w:rPr>
            </w:pPr>
            <w:r>
              <w:rPr>
                <w:rFonts w:hint="eastAsia" w:ascii="仿宋" w:hAnsi="仿宋" w:eastAsia="仿宋" w:cs="仿宋"/>
                <w:szCs w:val="16"/>
              </w:rPr>
              <w:t>1009800</w:t>
            </w:r>
          </w:p>
        </w:tc>
        <w:tc>
          <w:tcPr>
            <w:tcW w:w="925" w:type="pct"/>
            <w:vMerge w:val="continue"/>
            <w:vAlign w:val="center"/>
          </w:tcPr>
          <w:p>
            <w:pPr>
              <w:jc w:val="center"/>
              <w:rPr>
                <w:rFonts w:hint="eastAsia" w:ascii="仿宋" w:hAnsi="仿宋" w:eastAsia="仿宋"/>
                <w:kern w:val="0"/>
                <w:szCs w:val="16"/>
              </w:rPr>
            </w:pPr>
          </w:p>
        </w:tc>
        <w:tc>
          <w:tcPr>
            <w:tcW w:w="368" w:type="pct"/>
            <w:vAlign w:val="center"/>
          </w:tcPr>
          <w:p>
            <w:pPr>
              <w:jc w:val="center"/>
              <w:rPr>
                <w:rFonts w:ascii="仿宋" w:hAnsi="仿宋" w:eastAsia="仿宋" w:cs="仿宋"/>
                <w:szCs w:val="16"/>
              </w:rPr>
            </w:pPr>
            <w:r>
              <w:rPr>
                <w:rFonts w:hint="eastAsia" w:ascii="仿宋" w:hAnsi="仿宋" w:eastAsia="仿宋"/>
                <w:kern w:val="0"/>
                <w:szCs w:val="16"/>
              </w:rPr>
              <w:t>2年</w:t>
            </w:r>
          </w:p>
        </w:tc>
      </w:tr>
    </w:tbl>
    <w:p>
      <w:pPr>
        <w:spacing w:line="360" w:lineRule="auto"/>
        <w:rPr>
          <w:rFonts w:ascii="仿宋" w:hAnsi="仿宋" w:eastAsia="仿宋" w:cs="仿宋"/>
          <w:b/>
          <w:bCs/>
          <w:sz w:val="24"/>
          <w:szCs w:val="24"/>
        </w:rPr>
      </w:pPr>
      <w:r>
        <w:rPr>
          <w:rFonts w:hint="eastAsia" w:ascii="仿宋" w:hAnsi="仿宋" w:eastAsia="仿宋" w:cs="仿宋"/>
          <w:b/>
          <w:bCs/>
          <w:sz w:val="24"/>
          <w:szCs w:val="24"/>
        </w:rPr>
        <w:t>必备要求（若不满足，作无效投标处理）：1、2、3、4标段所提供的产品须与医院现有高频电外科手术系统（能量平台）科惠ForceTriad、VLFT10GEN配套，提供佐证材料（是否适配由评审专家组认定）。</w:t>
      </w:r>
    </w:p>
    <w:p>
      <w:pPr>
        <w:spacing w:line="360" w:lineRule="auto"/>
        <w:ind w:left="480"/>
        <w:rPr>
          <w:rFonts w:ascii="仿宋" w:hAnsi="仿宋" w:eastAsia="仿宋" w:cs="仿宋"/>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left="48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kern w:val="0"/>
          <w:sz w:val="24"/>
        </w:rPr>
      </w:pPr>
      <w:r>
        <w:rPr>
          <w:rFonts w:hint="eastAsia" w:ascii="仿宋" w:hAnsi="仿宋" w:eastAsia="仿宋" w:cs="仿宋"/>
          <w:kern w:val="0"/>
          <w:sz w:val="24"/>
        </w:rPr>
        <w:t>3.本项目不允许联合体投标，不接受公益一类事业单位投标。</w:t>
      </w:r>
    </w:p>
    <w:p>
      <w:pPr>
        <w:spacing w:line="360" w:lineRule="auto"/>
        <w:ind w:firstLine="48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注：</w:t>
      </w:r>
    </w:p>
    <w:p>
      <w:pPr>
        <w:spacing w:line="360" w:lineRule="auto"/>
        <w:ind w:firstLine="480"/>
        <w:rPr>
          <w:rFonts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kern w:val="0"/>
          <w:sz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kern w:val="0"/>
          <w:sz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3</w:t>
      </w:r>
      <w:r>
        <w:rPr>
          <w:rFonts w:hint="eastAsia" w:ascii="仿宋" w:hAnsi="仿宋" w:eastAsia="仿宋" w:cs="仿宋"/>
          <w:bCs/>
          <w:sz w:val="24"/>
          <w:highlight w:val="yellow"/>
        </w:rPr>
        <w:t>年</w:t>
      </w:r>
      <w:r>
        <w:rPr>
          <w:rFonts w:ascii="仿宋" w:hAnsi="仿宋" w:eastAsia="仿宋" w:cs="仿宋"/>
          <w:bCs/>
          <w:sz w:val="24"/>
          <w:highlight w:val="yellow"/>
        </w:rPr>
        <w:t>6</w:t>
      </w:r>
      <w:r>
        <w:rPr>
          <w:rFonts w:hint="eastAsia" w:ascii="仿宋" w:hAnsi="仿宋" w:eastAsia="仿宋" w:cs="仿宋"/>
          <w:bCs/>
          <w:sz w:val="24"/>
          <w:highlight w:val="yellow"/>
        </w:rPr>
        <w:t>月</w:t>
      </w:r>
      <w:r>
        <w:rPr>
          <w:rFonts w:ascii="仿宋" w:hAnsi="仿宋" w:eastAsia="仿宋" w:cs="仿宋"/>
          <w:bCs/>
          <w:sz w:val="24"/>
          <w:highlight w:val="yellow"/>
        </w:rPr>
        <w:t xml:space="preserve"> </w:t>
      </w:r>
      <w:r>
        <w:rPr>
          <w:rFonts w:hint="eastAsia" w:ascii="仿宋" w:hAnsi="仿宋" w:eastAsia="仿宋" w:cs="仿宋"/>
          <w:bCs/>
          <w:sz w:val="24"/>
          <w:highlight w:val="yellow"/>
        </w:rPr>
        <w:t>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w:t>
      </w:r>
      <w:r>
        <w:rPr>
          <w:rFonts w:ascii="仿宋" w:hAnsi="仿宋" w:eastAsia="仿宋" w:cs="仿宋"/>
          <w:sz w:val="24"/>
        </w:rPr>
        <w:t>3</w:t>
      </w:r>
      <w:r>
        <w:rPr>
          <w:rFonts w:hint="eastAsia" w:ascii="仿宋" w:hAnsi="仿宋" w:eastAsia="仿宋" w:cs="仿宋"/>
          <w:sz w:val="24"/>
        </w:rPr>
        <w:t>00元，售后不退，请在投标前缴纳至以下账户（需备注项目名称和报名单位（可简称））：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名 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        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3</w:t>
      </w:r>
      <w:r>
        <w:rPr>
          <w:rFonts w:hint="eastAsia" w:ascii="仿宋" w:hAnsi="仿宋" w:eastAsia="仿宋" w:cs="仿宋"/>
          <w:sz w:val="24"/>
          <w:highlight w:val="yellow"/>
          <w:u w:val="single"/>
        </w:rPr>
        <w:t>年</w:t>
      </w:r>
      <w:r>
        <w:rPr>
          <w:rFonts w:ascii="仿宋" w:hAnsi="仿宋" w:eastAsia="仿宋" w:cs="仿宋"/>
          <w:sz w:val="24"/>
          <w:highlight w:val="yellow"/>
          <w:u w:val="single"/>
        </w:rPr>
        <w:t>6</w:t>
      </w:r>
      <w:r>
        <w:rPr>
          <w:rFonts w:hint="eastAsia" w:ascii="仿宋" w:hAnsi="仿宋" w:eastAsia="仿宋" w:cs="仿宋"/>
          <w:sz w:val="24"/>
          <w:highlight w:val="yellow"/>
          <w:u w:val="single"/>
        </w:rPr>
        <w:t>月</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日9时</w:t>
      </w:r>
      <w:r>
        <w:rPr>
          <w:rFonts w:ascii="仿宋" w:hAnsi="仿宋" w:eastAsia="仿宋" w:cs="仿宋"/>
          <w:sz w:val="24"/>
          <w:highlight w:val="yellow"/>
          <w:u w:val="single"/>
        </w:rPr>
        <w:t>30</w:t>
      </w:r>
      <w:r>
        <w:rPr>
          <w:rFonts w:hint="eastAsia" w:ascii="仿宋" w:hAnsi="仿宋" w:eastAsia="仿宋" w:cs="仿宋"/>
          <w:sz w:val="24"/>
          <w:highlight w:val="yellow"/>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7"/>
      <w:bookmarkEnd w:id="5"/>
      <w:bookmarkStart w:id="6" w:name="_Hlt10553106"/>
      <w:bookmarkEnd w:id="6"/>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4"/>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hint="eastAsia" w:ascii="仿宋" w:hAnsi="仿宋" w:eastAsia="仿宋" w:cs="仿宋"/>
          <w:kern w:val="0"/>
          <w:sz w:val="24"/>
          <w:u w:val="single"/>
        </w:rPr>
        <w:t>15830792@qq.com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0575-88558890</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3</w:t>
      </w:r>
      <w:r>
        <w:rPr>
          <w:rFonts w:hint="eastAsia" w:ascii="仿宋" w:hAnsi="仿宋" w:eastAsia="仿宋" w:cs="仿宋"/>
          <w:kern w:val="0"/>
          <w:sz w:val="24"/>
          <w:highlight w:val="yellow"/>
          <w:u w:val="single"/>
        </w:rPr>
        <w:t>年</w:t>
      </w:r>
      <w:r>
        <w:rPr>
          <w:rFonts w:ascii="仿宋" w:hAnsi="仿宋" w:eastAsia="仿宋" w:cs="仿宋"/>
          <w:kern w:val="0"/>
          <w:sz w:val="24"/>
          <w:highlight w:val="yellow"/>
          <w:u w:val="single"/>
        </w:rPr>
        <w:t>5</w:t>
      </w:r>
      <w:r>
        <w:rPr>
          <w:rFonts w:hint="eastAsia" w:ascii="仿宋" w:hAnsi="仿宋" w:eastAsia="仿宋" w:cs="仿宋"/>
          <w:kern w:val="0"/>
          <w:sz w:val="24"/>
          <w:highlight w:val="yellow"/>
          <w:u w:val="single"/>
        </w:rPr>
        <w:t>月</w:t>
      </w:r>
      <w:r>
        <w:rPr>
          <w:rFonts w:ascii="仿宋" w:hAnsi="仿宋" w:eastAsia="仿宋" w:cs="仿宋"/>
          <w:kern w:val="0"/>
          <w:sz w:val="24"/>
          <w:highlight w:val="yellow"/>
          <w:u w:val="single"/>
        </w:rPr>
        <w:t xml:space="preserve"> </w:t>
      </w:r>
      <w:r>
        <w:rPr>
          <w:rFonts w:hint="eastAsia" w:ascii="仿宋" w:hAnsi="仿宋" w:eastAsia="仿宋" w:cs="仿宋"/>
          <w:kern w:val="0"/>
          <w:sz w:val="24"/>
          <w:highlight w:val="yellow"/>
          <w:u w:val="single"/>
        </w:rPr>
        <w:t>日</w:t>
      </w:r>
      <w:bookmarkEnd w:id="1"/>
      <w:bookmarkEnd w:id="4"/>
      <w:bookmarkStart w:id="7" w:name="_Toc104885740"/>
    </w:p>
    <w:bookmarkEnd w:id="2"/>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3"/>
      <w:bookmarkEnd w:id="7"/>
      <w:bookmarkStart w:id="8"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绍兴市人民医院（吻合类）腔镜血管闭合器械采购项目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color w:val="FF0000"/>
                <w:sz w:val="24"/>
                <w:u w:val="single"/>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是否演示：</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w:t>
            </w:r>
            <w:r>
              <w:rPr>
                <w:rFonts w:hint="eastAsia" w:ascii="仿宋" w:hAnsi="仿宋" w:eastAsia="仿宋" w:cs="仿宋"/>
                <w:b/>
                <w:sz w:val="24"/>
                <w:u w:val="single"/>
              </w:rPr>
              <w:t>四</w:t>
            </w:r>
            <w:r>
              <w:rPr>
                <w:rFonts w:hint="eastAsia" w:ascii="仿宋" w:hAnsi="仿宋" w:eastAsia="仿宋" w:cs="仿宋"/>
                <w:b/>
                <w:sz w:val="24"/>
              </w:rPr>
              <w:t>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服务类中标金额（万元）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3.2本次项目设定上限价，不另设上限价以预算价作为上限价。（各分标项之间的预算金额不能互相调整）。</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pPr>
        <w:snapToGrid w:val="0"/>
        <w:spacing w:line="440" w:lineRule="exact"/>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pPr>
        <w:pStyle w:val="9"/>
        <w:widowControl w:val="0"/>
        <w:numPr>
          <w:ilvl w:val="0"/>
          <w:numId w:val="0"/>
        </w:numPr>
        <w:spacing w:afterLines="0" w:line="440" w:lineRule="exact"/>
        <w:rPr>
          <w:rFonts w:ascii="仿宋" w:hAnsi="仿宋" w:eastAsia="仿宋" w:cs="仿宋"/>
        </w:rPr>
      </w:pPr>
      <w:r>
        <w:rPr>
          <w:rFonts w:ascii="仿宋" w:hAnsi="仿宋" w:eastAsia="仿宋" w:cs="仿宋"/>
        </w:rPr>
        <w:t>5</w:t>
      </w:r>
      <w:r>
        <w:rPr>
          <w:rFonts w:hint="eastAsia" w:ascii="仿宋" w:hAnsi="仿宋" w:eastAsia="仿宋" w:cs="仿宋"/>
        </w:rPr>
        <w:t>.1采购人如对采购文件进行澄清、补充、变更的，或者在投标截止时间前规定时间内，招标人需要对采购文件进行补充或修改的，采购人将会通过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2.2.1评分对应表；</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2.2.3技术响应表（供应商在技术响应表中，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2.2.5项目实施方案；</w:t>
      </w:r>
    </w:p>
    <w:p>
      <w:pPr>
        <w:snapToGrid w:val="0"/>
        <w:spacing w:line="440" w:lineRule="exact"/>
        <w:jc w:val="left"/>
        <w:rPr>
          <w:rFonts w:ascii="仿宋" w:hAnsi="仿宋" w:eastAsia="仿宋" w:cs="仿宋"/>
          <w:sz w:val="24"/>
        </w:rPr>
      </w:pPr>
      <w:r>
        <w:rPr>
          <w:rFonts w:hint="eastAsia" w:ascii="仿宋" w:hAnsi="仿宋" w:eastAsia="仿宋" w:cs="仿宋"/>
          <w:sz w:val="24"/>
        </w:rPr>
        <w:t>2.2.6项目实施人员清单；</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2.2.7备品备件及供选择的配套零部件清单（</w:t>
      </w:r>
      <w:r>
        <w:rPr>
          <w:rFonts w:hint="eastAsia" w:ascii="仿宋" w:hAnsi="仿宋" w:eastAsia="仿宋" w:cs="仿宋"/>
          <w:szCs w:val="20"/>
        </w:rPr>
        <w:t>如有，</w:t>
      </w:r>
      <w:r>
        <w:rPr>
          <w:rFonts w:hint="eastAsia" w:ascii="仿宋" w:hAnsi="仿宋" w:eastAsia="仿宋" w:cs="仿宋"/>
          <w:szCs w:val="20"/>
          <w:lang w:val="zh-CN"/>
        </w:rPr>
        <w:t>格式自拟）；</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2.2.8消耗品、维修零配件及其价格清单（</w:t>
      </w:r>
      <w:r>
        <w:rPr>
          <w:rFonts w:hint="eastAsia" w:ascii="仿宋" w:hAnsi="仿宋" w:eastAsia="仿宋" w:cs="仿宋"/>
          <w:szCs w:val="20"/>
        </w:rPr>
        <w:t>如有）</w:t>
      </w:r>
      <w:r>
        <w:rPr>
          <w:rFonts w:hint="eastAsia" w:ascii="仿宋" w:hAnsi="仿宋" w:eastAsia="仿宋" w:cs="仿宋"/>
          <w:szCs w:val="20"/>
          <w:lang w:val="zh-CN"/>
        </w:rPr>
        <w:t>；</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rPr>
        <w:t>2.2.9类似业绩一览表（附业绩证明材料）（如有）；</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sz w:val="24"/>
        </w:rPr>
      </w:pPr>
      <w:r>
        <w:rPr>
          <w:rFonts w:hint="eastAsia" w:ascii="仿宋" w:hAnsi="仿宋" w:eastAsia="仿宋" w:cs="仿宋"/>
          <w:sz w:val="24"/>
        </w:rPr>
        <w:t>2.2.12其他供应商认为需要提供的材料，如供应商简介等，格式自拟。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9"/>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1" w:name="_Toc104885744"/>
    </w:p>
    <w:p>
      <w:pPr>
        <w:pStyle w:val="9"/>
        <w:numPr>
          <w:ilvl w:val="0"/>
          <w:numId w:val="0"/>
        </w:numPr>
        <w:spacing w:afterLines="0" w:line="440" w:lineRule="atLeast"/>
        <w:jc w:val="center"/>
        <w:rPr>
          <w:rFonts w:ascii="仿宋" w:hAnsi="仿宋" w:eastAsia="仿宋" w:cs="仿宋"/>
          <w:b/>
          <w:bCs/>
          <w:sz w:val="32"/>
          <w:szCs w:val="22"/>
        </w:rPr>
      </w:pPr>
    </w:p>
    <w:p>
      <w:pPr>
        <w:pStyle w:val="9"/>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6"/>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w:t>
      </w:r>
      <w:r>
        <w:rPr>
          <w:rFonts w:ascii="仿宋" w:hAnsi="仿宋" w:eastAsia="仿宋" w:cs="仿宋"/>
          <w:sz w:val="24"/>
        </w:rPr>
        <w:t>1</w:t>
      </w:r>
      <w:r>
        <w:rPr>
          <w:rFonts w:hint="eastAsia" w:ascii="仿宋" w:hAnsi="仿宋" w:eastAsia="仿宋" w:cs="仿宋"/>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1.设备（材料）要求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sz w:val="24"/>
        </w:rPr>
      </w:pPr>
      <w:r>
        <w:rPr>
          <w:rFonts w:hint="eastAsia" w:ascii="仿宋" w:hAnsi="仿宋" w:eastAsia="仿宋"/>
          <w:sz w:val="24"/>
        </w:rPr>
        <w:t>1.6所有货物到现场安装使用前，招标人将进行抽样检验或试验。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招标人保留在签约时调整部分方案及定购设备数量和服务的权力，投标人应对系统方案中设备和服务明细报价，按投标单价不变的前提下进行调整，双方不得拒绝。</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如遇本次招标没有涉及的设备或服务时，由中标人提供申请，招标人确认后实施。</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3.安装及调试、验收</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sz w:val="24"/>
        </w:rPr>
      </w:pPr>
      <w:r>
        <w:rPr>
          <w:rFonts w:hint="eastAsia" w:ascii="仿宋" w:hAnsi="仿宋" w:eastAsia="仿宋"/>
          <w:sz w:val="24"/>
        </w:rPr>
        <w:t>3.1中标人负责设备的安装、调试。</w:t>
      </w:r>
    </w:p>
    <w:p>
      <w:pPr>
        <w:tabs>
          <w:tab w:val="left" w:pos="1365"/>
        </w:tabs>
        <w:spacing w:line="440" w:lineRule="exact"/>
        <w:jc w:val="left"/>
        <w:rPr>
          <w:rFonts w:ascii="仿宋" w:hAnsi="仿宋" w:eastAsia="仿宋"/>
          <w:sz w:val="24"/>
        </w:rPr>
      </w:pPr>
      <w:r>
        <w:rPr>
          <w:rFonts w:hint="eastAsia" w:ascii="仿宋" w:hAnsi="仿宋" w:eastAsia="仿宋"/>
          <w:sz w:val="24"/>
        </w:rPr>
        <w:t>3.2调试所需专用工具设施物料由中标人自备、自费运到现场，完工后自费搬走。</w:t>
      </w:r>
    </w:p>
    <w:p>
      <w:pPr>
        <w:tabs>
          <w:tab w:val="left" w:pos="1365"/>
        </w:tabs>
        <w:spacing w:line="440" w:lineRule="exact"/>
        <w:jc w:val="left"/>
        <w:rPr>
          <w:rFonts w:ascii="仿宋" w:hAnsi="仿宋" w:eastAsia="仿宋"/>
          <w:sz w:val="24"/>
        </w:rPr>
      </w:pPr>
      <w:r>
        <w:rPr>
          <w:rFonts w:hint="eastAsia" w:ascii="仿宋" w:hAnsi="仿宋" w:eastAsia="仿宋"/>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sz w:val="24"/>
        </w:rPr>
      </w:pPr>
      <w:r>
        <w:rPr>
          <w:rFonts w:hint="eastAsia" w:ascii="仿宋" w:hAnsi="仿宋" w:eastAsia="仿宋"/>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sz w:val="24"/>
        </w:rPr>
      </w:pPr>
      <w:r>
        <w:rPr>
          <w:rFonts w:hint="eastAsia" w:ascii="仿宋" w:hAnsi="仿宋" w:eastAsia="仿宋"/>
          <w:sz w:val="24"/>
        </w:rPr>
        <w:t>3.5所有的招标设备应按照国家有关技术标准在制造厂检查和试验合格，以表明其运行性能、安全性能以及设备材料和结构在电气、机械上的完整性。</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4.技术培训</w:t>
      </w:r>
    </w:p>
    <w:p>
      <w:pPr>
        <w:spacing w:line="440" w:lineRule="exact"/>
        <w:rPr>
          <w:rFonts w:ascii="仿宋" w:hAnsi="仿宋" w:eastAsia="仿宋"/>
          <w:sz w:val="24"/>
        </w:rPr>
      </w:pPr>
      <w:r>
        <w:rPr>
          <w:rFonts w:hint="eastAsia" w:ascii="仿宋" w:hAnsi="仿宋" w:eastAsia="仿宋"/>
          <w:sz w:val="24"/>
        </w:rPr>
        <w:t>4.1中标人须对招标人的技术人员培训。投标人须在投标文件中提供详细的培训计划，包括培训内容、培训时间、培训费用等。</w:t>
      </w:r>
    </w:p>
    <w:p>
      <w:pPr>
        <w:spacing w:line="440" w:lineRule="exact"/>
        <w:rPr>
          <w:rFonts w:ascii="仿宋" w:hAnsi="仿宋" w:eastAsia="仿宋"/>
          <w:sz w:val="24"/>
        </w:rPr>
      </w:pPr>
      <w:r>
        <w:rPr>
          <w:rFonts w:hint="eastAsia" w:ascii="仿宋" w:hAnsi="仿宋" w:eastAsia="仿宋"/>
          <w:sz w:val="24"/>
        </w:rPr>
        <w:t>4.2中标人提供的负责培训的人员应具备同类设备五年以上的经验。</w:t>
      </w:r>
    </w:p>
    <w:p>
      <w:pPr>
        <w:spacing w:line="440" w:lineRule="exact"/>
        <w:rPr>
          <w:rFonts w:ascii="仿宋" w:hAnsi="仿宋" w:eastAsia="仿宋"/>
          <w:sz w:val="24"/>
        </w:rPr>
      </w:pPr>
      <w:r>
        <w:rPr>
          <w:rFonts w:hint="eastAsia" w:ascii="仿宋" w:hAnsi="仿宋" w:eastAsia="仿宋"/>
          <w:sz w:val="24"/>
        </w:rPr>
        <w:t>4.3技术培训费用应包含在投标总价中。</w:t>
      </w:r>
    </w:p>
    <w:p>
      <w:pPr>
        <w:spacing w:line="440" w:lineRule="exact"/>
        <w:rPr>
          <w:rFonts w:ascii="仿宋" w:hAnsi="仿宋" w:eastAsia="仿宋"/>
          <w:sz w:val="24"/>
        </w:rPr>
      </w:pPr>
      <w:r>
        <w:rPr>
          <w:rFonts w:hint="eastAsia" w:ascii="仿宋" w:hAnsi="仿宋" w:eastAsia="仿宋"/>
          <w:sz w:val="24"/>
        </w:rPr>
        <w:t>4.4技术培训至少应包括下列内容：</w:t>
      </w:r>
    </w:p>
    <w:p>
      <w:pPr>
        <w:spacing w:line="440" w:lineRule="exact"/>
        <w:rPr>
          <w:rFonts w:ascii="仿宋" w:hAnsi="仿宋" w:eastAsia="仿宋"/>
          <w:sz w:val="24"/>
        </w:rPr>
      </w:pPr>
      <w:r>
        <w:rPr>
          <w:rFonts w:hint="eastAsia" w:ascii="仿宋" w:hAnsi="仿宋" w:eastAsia="仿宋"/>
          <w:sz w:val="24"/>
        </w:rPr>
        <w:t>4.4.1原理、构成和功能的描述。</w:t>
      </w:r>
    </w:p>
    <w:p>
      <w:pPr>
        <w:spacing w:line="440" w:lineRule="exact"/>
        <w:rPr>
          <w:rFonts w:ascii="仿宋" w:hAnsi="仿宋" w:eastAsia="仿宋"/>
          <w:sz w:val="24"/>
        </w:rPr>
      </w:pPr>
      <w:r>
        <w:rPr>
          <w:rFonts w:hint="eastAsia" w:ascii="仿宋" w:hAnsi="仿宋" w:eastAsia="仿宋"/>
          <w:sz w:val="24"/>
        </w:rPr>
        <w:t>4.4.2常见故障的处理或排除。</w:t>
      </w:r>
    </w:p>
    <w:p>
      <w:pPr>
        <w:spacing w:line="440" w:lineRule="exact"/>
        <w:rPr>
          <w:rFonts w:ascii="仿宋" w:hAnsi="仿宋" w:eastAsia="仿宋"/>
          <w:sz w:val="24"/>
        </w:rPr>
      </w:pPr>
      <w:r>
        <w:rPr>
          <w:rFonts w:hint="eastAsia" w:ascii="仿宋" w:hAnsi="仿宋" w:eastAsia="仿宋"/>
          <w:sz w:val="24"/>
        </w:rPr>
        <w:t>4.4.3各系统部件（设备）的检查、调整和维护。</w:t>
      </w:r>
    </w:p>
    <w:p>
      <w:pPr>
        <w:spacing w:line="440" w:lineRule="exact"/>
        <w:rPr>
          <w:rFonts w:ascii="仿宋" w:hAnsi="仿宋" w:eastAsia="仿宋"/>
          <w:sz w:val="24"/>
        </w:rPr>
      </w:pPr>
      <w:r>
        <w:rPr>
          <w:rFonts w:hint="eastAsia" w:ascii="仿宋" w:hAnsi="仿宋" w:eastAsia="仿宋"/>
          <w:sz w:val="24"/>
        </w:rPr>
        <w:t>4.4.4对使用者关于设备基本操作技能的培训。</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5.售后服务</w:t>
      </w:r>
    </w:p>
    <w:p>
      <w:pPr>
        <w:pStyle w:val="10"/>
        <w:spacing w:line="440" w:lineRule="exact"/>
        <w:ind w:firstLine="0"/>
        <w:rPr>
          <w:rFonts w:ascii="仿宋" w:hAnsi="仿宋" w:eastAsia="仿宋"/>
          <w:sz w:val="24"/>
        </w:rPr>
      </w:pPr>
      <w:r>
        <w:rPr>
          <w:rFonts w:hint="eastAsia" w:ascii="仿宋" w:hAnsi="仿宋" w:eastAsia="仿宋"/>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5.2中标人必须有可靠的售后服务保障包括但不限于在</w:t>
      </w:r>
      <w:r>
        <w:rPr>
          <w:rFonts w:hint="eastAsia" w:ascii="仿宋" w:hAnsi="仿宋" w:eastAsia="仿宋"/>
          <w:b/>
          <w:sz w:val="24"/>
          <w:u w:val="single"/>
        </w:rPr>
        <w:t>绍兴附近</w:t>
      </w:r>
      <w:r>
        <w:rPr>
          <w:rFonts w:hint="eastAsia" w:ascii="仿宋" w:hAnsi="仿宋" w:eastAsia="仿宋"/>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kern w:val="0"/>
          <w:sz w:val="24"/>
          <w:u w:val="wave"/>
        </w:rPr>
      </w:pPr>
      <w:r>
        <w:rPr>
          <w:rFonts w:hint="eastAsia" w:ascii="仿宋" w:hAnsi="仿宋" w:eastAsia="仿宋"/>
          <w:b/>
          <w:sz w:val="24"/>
        </w:rPr>
        <w:t>6.服务要求</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6.1设备保修期内（各标项内已有要求的除外），如出现故障，中标人在接到电话6小时内到达采购人指定地点。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sz w:val="24"/>
        </w:rPr>
      </w:pPr>
      <w:r>
        <w:rPr>
          <w:rFonts w:hint="eastAsia" w:ascii="仿宋" w:hAnsi="仿宋" w:eastAsia="仿宋"/>
          <w:b/>
          <w:sz w:val="24"/>
        </w:rPr>
        <w:t>7.项目实施人员费用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4" w:name="_Toc151354173"/>
      <w:r>
        <w:rPr>
          <w:rFonts w:hint="eastAsia" w:ascii="仿宋" w:hAnsi="仿宋" w:eastAsia="仿宋"/>
          <w:b/>
          <w:sz w:val="24"/>
        </w:rPr>
        <w:t>8.招标项目名称及数量：</w:t>
      </w:r>
    </w:p>
    <w:bookmarkEnd w:id="14"/>
    <w:p>
      <w:pPr>
        <w:snapToGrid w:val="0"/>
        <w:spacing w:line="440" w:lineRule="exact"/>
        <w:jc w:val="left"/>
        <w:rPr>
          <w:rFonts w:ascii="仿宋" w:hAnsi="仿宋" w:eastAsia="仿宋"/>
          <w:b/>
          <w:sz w:val="24"/>
        </w:rPr>
      </w:pPr>
      <w:r>
        <w:rPr>
          <w:rFonts w:hint="eastAsia" w:ascii="仿宋" w:hAnsi="仿宋" w:eastAsia="仿宋"/>
          <w:b/>
          <w:sz w:val="24"/>
        </w:rPr>
        <w:t>绍兴市人民医院（吻合类）腔镜血管闭合器械采购项目</w:t>
      </w:r>
    </w:p>
    <w:p>
      <w:pPr>
        <w:snapToGrid w:val="0"/>
        <w:spacing w:line="440" w:lineRule="exact"/>
        <w:jc w:val="left"/>
        <w:rPr>
          <w:rFonts w:ascii="仿宋" w:hAnsi="仿宋" w:eastAsia="仿宋"/>
          <w:b/>
          <w:sz w:val="24"/>
        </w:rPr>
      </w:pPr>
      <w:r>
        <w:rPr>
          <w:rFonts w:hint="eastAsia" w:ascii="仿宋" w:hAnsi="仿宋" w:eastAsia="仿宋"/>
          <w:b/>
          <w:sz w:val="24"/>
        </w:rPr>
        <w:t>一、标段名称、预算金额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p>
    <w:p>
      <w:pPr>
        <w:snapToGrid w:val="0"/>
        <w:spacing w:line="440" w:lineRule="exact"/>
        <w:jc w:val="left"/>
        <w:rPr>
          <w:rFonts w:ascii="仿宋" w:hAnsi="仿宋" w:eastAsia="仿宋"/>
          <w:bCs/>
          <w:sz w:val="24"/>
        </w:rPr>
      </w:pPr>
      <w:bookmarkStart w:id="15" w:name="_Toc104885747"/>
      <w:r>
        <w:rPr>
          <w:rFonts w:hint="eastAsia" w:ascii="仿宋" w:hAnsi="仿宋" w:eastAsia="仿宋"/>
          <w:bCs/>
          <w:sz w:val="24"/>
        </w:rPr>
        <w:t>1.产品投标单价高于医院上限单价的作无效投标处理。</w:t>
      </w:r>
    </w:p>
    <w:p>
      <w:pPr>
        <w:snapToGrid w:val="0"/>
        <w:spacing w:line="440" w:lineRule="exact"/>
        <w:jc w:val="lef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jc w:val="left"/>
        <w:rPr>
          <w:rFonts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jc w:val="lef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jc w:val="lef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jc w:val="lef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jc w:val="left"/>
        <w:rPr>
          <w:rFonts w:ascii="仿宋" w:hAnsi="仿宋" w:eastAsia="仿宋"/>
          <w:bCs/>
          <w:sz w:val="24"/>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left"/>
        <w:rPr>
          <w:rFonts w:ascii="仿宋" w:hAnsi="仿宋" w:eastAsia="仿宋"/>
          <w:bCs/>
          <w:sz w:val="24"/>
        </w:rPr>
      </w:pPr>
      <w:r>
        <w:rPr>
          <w:rFonts w:ascii="仿宋" w:hAnsi="仿宋" w:eastAsia="仿宋"/>
          <w:bCs/>
          <w:sz w:val="24"/>
        </w:rPr>
        <w:t>9.</w:t>
      </w:r>
      <w:r>
        <w:rPr>
          <w:rFonts w:hint="eastAsia" w:ascii="仿宋" w:hAnsi="仿宋" w:eastAsia="仿宋"/>
          <w:bCs/>
          <w:sz w:val="24"/>
        </w:rPr>
        <w:t>投标时需提供样品（可与投标文件一起递交）。</w:t>
      </w:r>
    </w:p>
    <w:p>
      <w:pPr>
        <w:snapToGrid w:val="0"/>
        <w:spacing w:line="440" w:lineRule="exact"/>
        <w:jc w:val="left"/>
        <w:rPr>
          <w:rFonts w:ascii="仿宋" w:hAnsi="仿宋" w:eastAsia="仿宋"/>
          <w:bCs/>
          <w:sz w:val="24"/>
        </w:rPr>
      </w:pPr>
      <w:r>
        <w:rPr>
          <w:rFonts w:hint="eastAsia" w:ascii="仿宋" w:hAnsi="仿宋" w:eastAsia="仿宋"/>
          <w:bCs/>
          <w:sz w:val="24"/>
        </w:rPr>
        <w:t>1</w:t>
      </w:r>
      <w:r>
        <w:rPr>
          <w:rFonts w:ascii="仿宋" w:hAnsi="仿宋" w:eastAsia="仿宋"/>
          <w:bCs/>
          <w:sz w:val="24"/>
        </w:rPr>
        <w:t>0.</w:t>
      </w:r>
      <w:r>
        <w:rPr>
          <w:rFonts w:hint="eastAsia" w:ascii="仿宋" w:hAnsi="仿宋" w:eastAsia="仿宋"/>
          <w:bCs/>
          <w:sz w:val="24"/>
        </w:rPr>
        <w:t>1、2、3、4标段所提供的产品须与医院现有高频电外科手术系统（能量平台）科惠ForceTriad、VLFT10GEN配套相匹配，提供佐证材料（是否适配由评审专家组认定）。</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pPr>
        <w:spacing w:line="440" w:lineRule="exact"/>
        <w:jc w:val="left"/>
        <w:rPr>
          <w:rFonts w:ascii="仿宋" w:hAnsi="仿宋" w:eastAsia="仿宋"/>
          <w:b/>
          <w:sz w:val="24"/>
        </w:rPr>
      </w:pPr>
      <w:r>
        <w:rPr>
          <w:rFonts w:hint="eastAsia" w:ascii="仿宋" w:hAnsi="仿宋" w:eastAsia="仿宋"/>
          <w:b/>
          <w:sz w:val="24"/>
        </w:rPr>
        <w:t>1.合同</w:t>
      </w:r>
      <w:bookmarkStart w:id="16" w:name="OLE_LINK1"/>
      <w:r>
        <w:rPr>
          <w:rFonts w:hint="eastAsia" w:ascii="仿宋" w:hAnsi="仿宋" w:eastAsia="仿宋"/>
          <w:b/>
          <w:sz w:val="24"/>
        </w:rPr>
        <w:t>范围</w:t>
      </w:r>
      <w:bookmarkEnd w:id="16"/>
    </w:p>
    <w:p>
      <w:pPr>
        <w:spacing w:line="440" w:lineRule="exact"/>
        <w:ind w:firstLine="480" w:firstLineChars="200"/>
        <w:jc w:val="left"/>
        <w:rPr>
          <w:rFonts w:ascii="仿宋" w:hAnsi="仿宋" w:eastAsia="仿宋"/>
          <w:sz w:val="24"/>
        </w:rPr>
      </w:pPr>
      <w:r>
        <w:rPr>
          <w:rFonts w:hint="eastAsia" w:ascii="仿宋" w:hAnsi="仿宋" w:eastAsia="仿宋" w:cs="仿宋_GB2312"/>
          <w:sz w:val="24"/>
        </w:rPr>
        <w:t>本合同条款适用与本次采购活动。项目实施范围详见附件——招标文件和投标文件及补充文件、采购设计图、承诺书等。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rPr>
        <w:t>2.1.1交货地点：用户指定地点。</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szCs w:val="24"/>
        </w:rPr>
        <w:t>2.1.2</w:t>
      </w:r>
      <w:r>
        <w:rPr>
          <w:rFonts w:hint="eastAsia" w:ascii="仿宋" w:hAnsi="仿宋" w:eastAsia="仿宋"/>
        </w:rPr>
        <w:t>到货期：按标项内具体要求执行。</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sz w:val="24"/>
        </w:rPr>
      </w:pPr>
      <w:r>
        <w:rPr>
          <w:rFonts w:hint="eastAsia" w:ascii="仿宋" w:hAnsi="仿宋" w:eastAsia="仿宋"/>
          <w:sz w:val="24"/>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 xml:space="preserve">8.2 </w:t>
      </w:r>
      <w:r>
        <w:rPr>
          <w:rFonts w:hint="eastAsia" w:ascii="仿宋" w:hAnsi="仿宋" w:eastAsia="仿宋"/>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sz w:val="24"/>
        </w:rPr>
      </w:pPr>
      <w:r>
        <w:rPr>
          <w:rFonts w:hint="eastAsia" w:ascii="仿宋" w:hAnsi="仿宋" w:eastAsia="仿宋"/>
          <w:sz w:val="24"/>
        </w:rPr>
        <w:t>8.3招标人在规定时间无正当理由拒签合同者，以招标违约处理，并赔偿中标人由此造成的直接经济损失。</w:t>
      </w:r>
    </w:p>
    <w:p>
      <w:pPr>
        <w:spacing w:line="440" w:lineRule="exact"/>
        <w:jc w:val="left"/>
        <w:rPr>
          <w:rFonts w:ascii="仿宋" w:hAnsi="仿宋" w:eastAsia="仿宋"/>
          <w:b/>
          <w:sz w:val="24"/>
        </w:rPr>
      </w:pPr>
      <w:r>
        <w:rPr>
          <w:rFonts w:hint="eastAsia" w:ascii="仿宋" w:hAnsi="仿宋" w:eastAsia="仿宋"/>
          <w:b/>
          <w:sz w:val="24"/>
        </w:rPr>
        <w:t>9.不可抗力</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bookmarkStart w:id="17" w:name="_Toc104885748"/>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7"/>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15"/>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序号</w:t>
            </w:r>
          </w:p>
        </w:tc>
        <w:tc>
          <w:tcPr>
            <w:tcW w:w="1415"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058"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根据投标人提供的企业介绍对比打分，包括企业管理制度、运营情况及效率及配套服务能力等，优得10.0-7.1分，良得7.0－4.1分，一般得4.0－0分。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投标人资信(3分)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2020</w:t>
            </w:r>
            <w:r>
              <w:rPr>
                <w:rFonts w:hint="eastAsia" w:ascii="仿宋" w:hAnsi="仿宋" w:eastAsia="仿宋"/>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415"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产品质量、性能、先进性、品规完整性等(2</w:t>
            </w:r>
            <w:r>
              <w:rPr>
                <w:rFonts w:ascii="仿宋" w:hAnsi="仿宋" w:eastAsia="仿宋"/>
                <w:szCs w:val="21"/>
              </w:rPr>
              <w:t>5</w:t>
            </w:r>
            <w:r>
              <w:rPr>
                <w:rFonts w:hint="eastAsia" w:ascii="仿宋" w:hAnsi="仿宋" w:eastAsia="仿宋"/>
                <w:szCs w:val="21"/>
              </w:rPr>
              <w:t>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415"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提供样品，根据样品品质比较打分。优得10.0-7.1分，良得7.0－4.1分，一般得4.0－0分。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41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供应服务能力承诺(6分)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实现电子订单接收及配送，提供相关佐证材料的得2.0分，不提供相关材料不得分。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7058" w:type="dxa"/>
            <w:tcBorders>
              <w:top w:val="single" w:color="auto" w:sz="4" w:space="0"/>
              <w:left w:val="single" w:color="auto" w:sz="4" w:space="0"/>
              <w:bottom w:val="single" w:color="auto" w:sz="4" w:space="0"/>
              <w:right w:val="single" w:color="auto" w:sz="4" w:space="0"/>
            </w:tcBorders>
            <w:noWrap/>
            <w:vAlign w:val="center"/>
          </w:tcPr>
          <w:p>
            <w:pPr>
              <w:ind w:left="-107" w:leftChars="-51" w:right="-113" w:rightChars="-54" w:firstLine="105" w:firstLineChars="50"/>
              <w:jc w:val="left"/>
              <w:rPr>
                <w:rFonts w:ascii="仿宋" w:hAnsi="仿宋" w:eastAsia="仿宋"/>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7058" w:type="dxa"/>
            <w:tcBorders>
              <w:top w:val="single" w:color="auto" w:sz="4" w:space="0"/>
              <w:left w:val="single" w:color="auto" w:sz="4" w:space="0"/>
              <w:bottom w:val="single" w:color="auto" w:sz="4" w:space="0"/>
              <w:right w:val="single" w:color="auto" w:sz="4" w:space="0"/>
            </w:tcBorders>
            <w:noWrap/>
            <w:vAlign w:val="center"/>
          </w:tcPr>
          <w:p>
            <w:pPr>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能满足应急或突发事件的需要得1.0分，不提供相关承诺不得分。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r>
              <w:rPr>
                <w:rFonts w:hint="eastAsia" w:ascii="仿宋" w:hAnsi="仿宋" w:eastAsia="仿宋"/>
                <w:szCs w:val="21"/>
              </w:rPr>
              <w:t xml:space="preserve">  7</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其他优惠条件</w:t>
            </w:r>
            <w:r>
              <w:rPr>
                <w:rFonts w:ascii="仿宋" w:hAnsi="仿宋" w:eastAsia="仿宋" w:cs="仿宋"/>
                <w:szCs w:val="21"/>
              </w:rPr>
              <w:t>7</w:t>
            </w:r>
            <w:r>
              <w:rPr>
                <w:rFonts w:hint="eastAsia" w:ascii="仿宋" w:hAnsi="仿宋" w:eastAsia="仿宋" w:cs="仿宋"/>
                <w:szCs w:val="21"/>
              </w:rPr>
              <w:t>分</w:t>
            </w:r>
          </w:p>
        </w:tc>
        <w:tc>
          <w:tcPr>
            <w:tcW w:w="7058"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根据投标人提供的其他实质性优惠条件如优惠的力度大小、可行性、合规性、对采购人是否具有实际意义等进行综合评审，优得7.0-5.1分，良得5.0－3.1分，一般得3.0－0分。不提供相关承诺不得分。</w:t>
            </w:r>
          </w:p>
        </w:tc>
      </w:tr>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18"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r>
        <w:rPr>
          <w:rFonts w:hint="eastAsia" w:ascii="仿宋" w:hAnsi="仿宋" w:cs="仿宋"/>
          <w:sz w:val="40"/>
          <w:szCs w:val="36"/>
        </w:rPr>
        <w:t>第六章投标文件格式附件</w:t>
      </w:r>
      <w:bookmarkEnd w:id="18"/>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招标文件中关于申请人资格要求的下列条件：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 xml:space="preserve">1、符合《中华人民共和国政府采购法》第二十二条的规定： </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 年 月 日</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19" w:name="_Toc64369789"/>
      <w:r>
        <w:rPr>
          <w:rFonts w:hint="eastAsia" w:ascii="仿宋" w:hAnsi="仿宋" w:eastAsia="仿宋" w:cs="仿宋"/>
        </w:rPr>
        <w:t>1.评分对应表……………………………………………………………………（页码）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9"/>
    </w:p>
    <w:p>
      <w:pPr>
        <w:pStyle w:val="38"/>
        <w:spacing w:line="360" w:lineRule="auto"/>
        <w:ind w:firstLine="0" w:firstLineChars="0"/>
        <w:jc w:val="left"/>
        <w:rPr>
          <w:rFonts w:ascii="仿宋" w:hAnsi="仿宋" w:eastAsia="仿宋" w:cs="仿宋"/>
        </w:rPr>
      </w:pPr>
      <w:bookmarkStart w:id="20" w:name="_Toc64369790"/>
      <w:r>
        <w:rPr>
          <w:rFonts w:hint="eastAsia" w:ascii="仿宋" w:hAnsi="仿宋" w:eastAsia="仿宋" w:cs="仿宋"/>
        </w:rPr>
        <w:t>3.技术响应表……………………………………………………………………（页码）</w:t>
      </w:r>
      <w:bookmarkEnd w:id="20"/>
    </w:p>
    <w:p>
      <w:pPr>
        <w:pStyle w:val="38"/>
        <w:spacing w:line="360" w:lineRule="auto"/>
        <w:ind w:firstLine="0" w:firstLineChars="0"/>
        <w:jc w:val="left"/>
        <w:rPr>
          <w:rFonts w:ascii="仿宋" w:hAnsi="仿宋" w:eastAsia="仿宋" w:cs="仿宋"/>
        </w:rPr>
      </w:pPr>
      <w:bookmarkStart w:id="21" w:name="_Toc64369791"/>
      <w:r>
        <w:rPr>
          <w:rFonts w:hint="eastAsia" w:ascii="仿宋" w:hAnsi="仿宋" w:eastAsia="仿宋" w:cs="仿宋"/>
        </w:rPr>
        <w:t>4.商务响应表……………………………………………………………………（页码）</w:t>
      </w:r>
      <w:bookmarkEnd w:id="21"/>
    </w:p>
    <w:p>
      <w:pPr>
        <w:pStyle w:val="38"/>
        <w:spacing w:line="360" w:lineRule="auto"/>
        <w:ind w:firstLine="0" w:firstLineChars="0"/>
        <w:jc w:val="left"/>
        <w:rPr>
          <w:rFonts w:ascii="仿宋" w:hAnsi="仿宋" w:eastAsia="仿宋" w:cs="仿宋"/>
        </w:rPr>
      </w:pPr>
      <w:bookmarkStart w:id="22"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22"/>
    </w:p>
    <w:p>
      <w:pPr>
        <w:pStyle w:val="38"/>
        <w:spacing w:line="360" w:lineRule="auto"/>
        <w:ind w:firstLine="0" w:firstLineChars="0"/>
        <w:jc w:val="left"/>
        <w:rPr>
          <w:rFonts w:ascii="仿宋" w:hAnsi="仿宋" w:eastAsia="仿宋" w:cs="仿宋"/>
        </w:rPr>
      </w:pPr>
      <w:bookmarkStart w:id="23"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23"/>
    </w:p>
    <w:p>
      <w:pPr>
        <w:pStyle w:val="38"/>
        <w:spacing w:line="360" w:lineRule="auto"/>
        <w:ind w:firstLine="0" w:firstLineChars="0"/>
        <w:jc w:val="left"/>
        <w:rPr>
          <w:rFonts w:ascii="仿宋" w:hAnsi="仿宋" w:eastAsia="仿宋" w:cs="仿宋"/>
        </w:rPr>
      </w:pPr>
      <w:bookmarkStart w:id="24"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8"/>
        <w:spacing w:line="360" w:lineRule="auto"/>
        <w:ind w:firstLine="0" w:firstLineChars="0"/>
        <w:jc w:val="left"/>
        <w:rPr>
          <w:rFonts w:ascii="仿宋" w:hAnsi="仿宋" w:eastAsia="仿宋" w:cs="仿宋"/>
        </w:rPr>
      </w:pPr>
      <w:bookmarkStart w:id="25"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bookmarkStart w:id="26" w:name="_Toc64369796"/>
      <w:r>
        <w:rPr>
          <w:rFonts w:hint="eastAsia" w:ascii="仿宋" w:hAnsi="仿宋" w:eastAsia="仿宋" w:cs="仿宋"/>
        </w:rPr>
        <w:t>9.类似业绩一览表（附业绩证明材料）</w:t>
      </w:r>
      <w:r>
        <w:rPr>
          <w:rFonts w:hint="eastAsia" w:ascii="仿宋" w:hAnsi="仿宋" w:eastAsia="仿宋" w:cs="仿宋"/>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6"/>
    </w:p>
    <w:p>
      <w:pPr>
        <w:pStyle w:val="38"/>
        <w:spacing w:line="360" w:lineRule="auto"/>
        <w:ind w:firstLine="0" w:firstLineChars="0"/>
        <w:jc w:val="left"/>
        <w:rPr>
          <w:rFonts w:ascii="仿宋" w:hAnsi="仿宋" w:eastAsia="仿宋" w:cs="仿宋"/>
        </w:rPr>
      </w:pPr>
      <w:bookmarkStart w:id="27"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7"/>
    </w:p>
    <w:p>
      <w:pPr>
        <w:pStyle w:val="38"/>
        <w:spacing w:line="360" w:lineRule="auto"/>
        <w:ind w:firstLine="0" w:firstLineChars="0"/>
        <w:jc w:val="left"/>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8"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8"/>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156" w:afterLines="50"/>
        <w:jc w:val="left"/>
        <w:rPr>
          <w:rFonts w:ascii="仿宋" w:hAnsi="仿宋" w:eastAsia="仿宋" w:cs="仿宋"/>
          <w:sz w:val="30"/>
          <w:szCs w:val="30"/>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11"/>
        <w:snapToGrid w:val="0"/>
        <w:rPr>
          <w:rFonts w:ascii="仿宋" w:hAnsi="仿宋" w:eastAsia="仿宋" w:cs="仿宋"/>
          <w:kern w:val="0"/>
          <w:sz w:val="30"/>
          <w:szCs w:val="30"/>
          <w:u w:val="single"/>
        </w:rPr>
      </w:pPr>
      <w:r>
        <w:rPr>
          <w:rFonts w:hint="eastAsia" w:ascii="仿宋" w:hAnsi="仿宋" w:eastAsia="仿宋" w:cs="仿宋"/>
          <w:sz w:val="30"/>
          <w:szCs w:val="30"/>
        </w:rPr>
        <w:t>供应商全称（公章）：标段编号：</w:t>
      </w:r>
    </w:p>
    <w:p>
      <w:pPr>
        <w:pStyle w:val="11"/>
        <w:snapToGrid w:val="0"/>
        <w:rPr>
          <w:rFonts w:ascii="仿宋" w:hAnsi="仿宋" w:eastAsia="仿宋" w:cs="仿宋"/>
          <w:sz w:val="30"/>
          <w:szCs w:val="30"/>
        </w:rPr>
      </w:pPr>
      <w:r>
        <w:rPr>
          <w:rFonts w:hint="eastAsia" w:ascii="仿宋" w:hAnsi="仿宋" w:eastAsia="仿宋" w:cs="仿宋"/>
          <w:sz w:val="30"/>
          <w:szCs w:val="30"/>
        </w:rPr>
        <w:t>货物部分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服务部分（如有）</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9" w:name="_Toc64369804"/>
      <w:bookmarkEnd w:id="29"/>
      <w:bookmarkStart w:id="30" w:name="_Toc64369805"/>
      <w:bookmarkEnd w:id="30"/>
      <w:bookmarkStart w:id="31" w:name="_Toc64369812"/>
      <w:bookmarkEnd w:id="31"/>
      <w:bookmarkStart w:id="32" w:name="_Toc64369809"/>
      <w:bookmarkEnd w:id="32"/>
      <w:bookmarkStart w:id="33" w:name="_Toc64369807"/>
      <w:bookmarkEnd w:id="33"/>
      <w:bookmarkStart w:id="34" w:name="_Toc64369808"/>
      <w:bookmarkEnd w:id="34"/>
      <w:bookmarkStart w:id="35" w:name="_Toc64369811"/>
      <w:bookmarkEnd w:id="35"/>
      <w:bookmarkStart w:id="36" w:name="_Toc64369810"/>
      <w:bookmarkEnd w:id="36"/>
      <w:bookmarkStart w:id="37" w:name="_Toc64369806"/>
      <w:bookmarkEnd w:id="37"/>
      <w:bookmarkStart w:id="38" w:name="_Toc64369813"/>
      <w:bookmarkEnd w:id="38"/>
      <w:bookmarkStart w:id="39" w:name="_Toc64369814"/>
      <w:bookmarkEnd w:id="39"/>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11"/>
        <w:snapToGrid w:val="0"/>
        <w:ind w:firstLine="300" w:firstLineChars="100"/>
        <w:rPr>
          <w:rFonts w:ascii="仿宋" w:hAnsi="仿宋" w:eastAsia="仿宋" w:cs="仿宋"/>
          <w:sz w:val="30"/>
          <w:szCs w:val="30"/>
        </w:rPr>
      </w:pPr>
      <w:r>
        <w:rPr>
          <w:rFonts w:hint="eastAsia" w:ascii="仿宋" w:hAnsi="仿宋" w:eastAsia="仿宋" w:cs="仿宋"/>
          <w:sz w:val="30"/>
          <w:szCs w:val="30"/>
        </w:rPr>
        <w:t>供应商全称（公章）：</w:t>
      </w:r>
    </w:p>
    <w:p>
      <w:pPr>
        <w:pStyle w:val="11"/>
        <w:snapToGrid w:val="0"/>
        <w:ind w:firstLine="300" w:firstLineChars="100"/>
        <w:rPr>
          <w:rFonts w:ascii="仿宋" w:hAnsi="仿宋" w:eastAsia="仿宋" w:cs="仿宋"/>
          <w:sz w:val="30"/>
          <w:szCs w:val="30"/>
          <w:u w:val="single"/>
        </w:rPr>
      </w:pPr>
      <w:r>
        <w:rPr>
          <w:rFonts w:hint="eastAsia" w:ascii="仿宋" w:hAnsi="仿宋" w:eastAsia="仿宋" w:cs="仿宋"/>
          <w:sz w:val="30"/>
          <w:szCs w:val="30"/>
        </w:rPr>
        <w:t>标段编号：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佐证材料</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3"/>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3</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商务响应表</w:t>
      </w:r>
    </w:p>
    <w:p>
      <w:pPr>
        <w:snapToGrid w:val="0"/>
        <w:spacing w:before="50" w:after="156" w:afterLines="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4" w:name="_Toc64369819"/>
            <w:r>
              <w:rPr>
                <w:rFonts w:hint="eastAsia" w:ascii="仿宋" w:hAnsi="仿宋" w:eastAsia="仿宋" w:cs="仿宋"/>
                <w:spacing w:val="20"/>
                <w:sz w:val="28"/>
                <w:szCs w:val="28"/>
              </w:rPr>
              <w:t>供货期及供货地点</w:t>
            </w:r>
            <w:bookmarkEnd w:id="4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20"/>
            <w:r>
              <w:rPr>
                <w:rFonts w:hint="eastAsia" w:ascii="仿宋" w:hAnsi="仿宋" w:eastAsia="仿宋" w:cs="仿宋"/>
                <w:spacing w:val="20"/>
                <w:sz w:val="28"/>
                <w:szCs w:val="28"/>
              </w:rPr>
              <w:t>质保期</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4"/>
            <w:r>
              <w:rPr>
                <w:rFonts w:hint="eastAsia" w:ascii="仿宋" w:hAnsi="仿宋" w:eastAsia="仿宋" w:cs="仿宋"/>
                <w:spacing w:val="20"/>
                <w:sz w:val="28"/>
                <w:szCs w:val="28"/>
              </w:rPr>
              <w:t>…</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4</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注：在填写时，如本表格不适合投标单位的实际情况，可根据本表格式自行划表填写。</w:t>
      </w:r>
    </w:p>
    <w:p>
      <w:pPr>
        <w:pStyle w:val="11"/>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5</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6</w:t>
      </w:r>
      <w:r>
        <w:rPr>
          <w:rFonts w:hint="eastAsia" w:ascii="仿宋" w:hAnsi="仿宋" w:eastAsia="仿宋" w:cs="仿宋"/>
          <w:b/>
          <w:bCs/>
          <w:sz w:val="30"/>
          <w:szCs w:val="30"/>
        </w:rPr>
        <w:t>（如有）：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43"/>
        <w:gridCol w:w="1710"/>
        <w:gridCol w:w="1078"/>
        <w:gridCol w:w="30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86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0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70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027"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86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注：投标人可按上述的格式自行编制，须随表提交相应的采购文件要求证明材料并注明页码。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7</w:t>
      </w:r>
      <w:r>
        <w:rPr>
          <w:rFonts w:hint="eastAsia" w:ascii="仿宋" w:hAnsi="仿宋" w:eastAsia="仿宋" w:cs="仿宋"/>
          <w:b/>
          <w:bCs/>
          <w:sz w:val="30"/>
          <w:szCs w:val="30"/>
        </w:rPr>
        <w:t>：报价文件封面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8</w:t>
      </w:r>
      <w:r>
        <w:rPr>
          <w:rFonts w:hint="eastAsia" w:ascii="仿宋" w:hAnsi="仿宋" w:eastAsia="仿宋" w:cs="仿宋"/>
          <w:b/>
          <w:bCs/>
          <w:sz w:val="30"/>
          <w:szCs w:val="30"/>
        </w:rPr>
        <w:t>：报价文件目录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47" w:name="_Toc64369825"/>
      <w:r>
        <w:rPr>
          <w:rFonts w:hint="eastAsia" w:ascii="仿宋" w:hAnsi="仿宋" w:eastAsia="仿宋" w:cs="仿宋"/>
        </w:rPr>
        <w:t>目录</w:t>
      </w:r>
      <w:bookmarkEnd w:id="4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9</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1559"/>
        <w:gridCol w:w="1276"/>
        <w:gridCol w:w="1276"/>
        <w:gridCol w:w="992"/>
        <w:gridCol w:w="1276"/>
        <w:gridCol w:w="1276"/>
        <w:gridCol w:w="992"/>
        <w:gridCol w:w="1276"/>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rPr>
            </w:pPr>
            <w:r>
              <w:rPr>
                <w:rFonts w:ascii="仿宋" w:hAnsi="仿宋" w:eastAsia="仿宋" w:cs="Arial"/>
                <w:color w:val="000000"/>
              </w:rPr>
              <w:t xml:space="preserve">1 </w:t>
            </w:r>
          </w:p>
        </w:tc>
        <w:tc>
          <w:tcPr>
            <w:tcW w:w="1559" w:type="dxa"/>
            <w:tcBorders>
              <w:top w:val="single" w:color="auto" w:sz="4" w:space="0"/>
              <w:left w:val="single" w:color="auto" w:sz="4" w:space="0"/>
              <w:right w:val="single" w:color="auto" w:sz="4" w:space="0"/>
            </w:tcBorders>
            <w:noWrap/>
            <w:vAlign w:val="center"/>
          </w:tcPr>
          <w:p>
            <w:pPr>
              <w:ind w:firstLine="110" w:firstLineChars="50"/>
              <w:jc w:val="center"/>
              <w:rPr>
                <w:rFonts w:ascii="仿宋" w:hAnsi="仿宋" w:eastAsia="仿宋" w:cs="宋体"/>
                <w:kern w:val="0"/>
                <w:sz w:val="22"/>
                <w:szCs w:val="18"/>
              </w:rPr>
            </w:pPr>
            <w:r>
              <w:rPr>
                <w:rFonts w:hint="eastAsia" w:ascii="仿宋" w:hAnsi="仿宋" w:eastAsia="仿宋" w:cs="仿宋"/>
                <w:color w:val="000000"/>
                <w:sz w:val="22"/>
                <w:szCs w:val="18"/>
              </w:rPr>
              <w:t>弯形小钳口开放手术闭合器/分割器</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szCs w:val="16"/>
              </w:rPr>
            </w:pPr>
            <w:r>
              <w:rPr>
                <w:rFonts w:hint="eastAsia" w:ascii="仿宋" w:hAnsi="仿宋" w:eastAsia="仿宋" w:cs="仿宋"/>
                <w:szCs w:val="16"/>
              </w:rPr>
              <w:t xml:space="preserve">5mm  </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把</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11200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20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2</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1559"/>
        <w:gridCol w:w="1276"/>
        <w:gridCol w:w="1276"/>
        <w:gridCol w:w="992"/>
        <w:gridCol w:w="1276"/>
        <w:gridCol w:w="1276"/>
        <w:gridCol w:w="992"/>
        <w:gridCol w:w="1276"/>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rPr>
            </w:pPr>
            <w:r>
              <w:rPr>
                <w:rFonts w:ascii="仿宋" w:hAnsi="仿宋" w:eastAsia="仿宋" w:cs="Arial"/>
                <w:color w:val="000000"/>
              </w:rPr>
              <w:t xml:space="preserve">2 </w:t>
            </w:r>
          </w:p>
        </w:tc>
        <w:tc>
          <w:tcPr>
            <w:tcW w:w="1559" w:type="dxa"/>
            <w:tcBorders>
              <w:top w:val="single" w:color="auto" w:sz="4" w:space="0"/>
              <w:left w:val="single" w:color="auto" w:sz="4" w:space="0"/>
              <w:right w:val="single" w:color="auto" w:sz="4" w:space="0"/>
            </w:tcBorders>
            <w:noWrap/>
            <w:vAlign w:val="center"/>
          </w:tcPr>
          <w:p>
            <w:pPr>
              <w:ind w:firstLine="110" w:firstLineChars="50"/>
              <w:jc w:val="center"/>
              <w:rPr>
                <w:rFonts w:ascii="仿宋" w:hAnsi="仿宋" w:eastAsia="仿宋" w:cs="宋体"/>
                <w:kern w:val="0"/>
                <w:sz w:val="22"/>
                <w:szCs w:val="18"/>
              </w:rPr>
            </w:pPr>
            <w:r>
              <w:rPr>
                <w:rFonts w:hint="eastAsia" w:ascii="仿宋" w:hAnsi="仿宋" w:eastAsia="仿宋" w:cs="仿宋"/>
                <w:color w:val="000000"/>
                <w:sz w:val="22"/>
                <w:szCs w:val="18"/>
              </w:rPr>
              <w:t>一次性使用弯头闭合切割手术器械（腔镜）</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szCs w:val="16"/>
              </w:rPr>
            </w:pPr>
            <w:r>
              <w:rPr>
                <w:rFonts w:hint="eastAsia" w:ascii="仿宋" w:hAnsi="仿宋" w:eastAsia="仿宋" w:cs="仿宋"/>
                <w:szCs w:val="16"/>
              </w:rPr>
              <w:t xml:space="preserve">5mm </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把</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14000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20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3</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1559"/>
        <w:gridCol w:w="1276"/>
        <w:gridCol w:w="1276"/>
        <w:gridCol w:w="992"/>
        <w:gridCol w:w="1276"/>
        <w:gridCol w:w="1276"/>
        <w:gridCol w:w="992"/>
        <w:gridCol w:w="1276"/>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rPr>
            </w:pPr>
            <w:r>
              <w:rPr>
                <w:rFonts w:ascii="仿宋" w:hAnsi="仿宋" w:eastAsia="仿宋" w:cs="Arial"/>
                <w:color w:val="000000"/>
              </w:rPr>
              <w:t>3</w:t>
            </w:r>
          </w:p>
        </w:tc>
        <w:tc>
          <w:tcPr>
            <w:tcW w:w="1559" w:type="dxa"/>
            <w:tcBorders>
              <w:top w:val="single" w:color="auto" w:sz="4" w:space="0"/>
              <w:left w:val="single" w:color="auto" w:sz="4" w:space="0"/>
              <w:right w:val="single" w:color="auto" w:sz="4" w:space="0"/>
            </w:tcBorders>
            <w:noWrap/>
            <w:vAlign w:val="center"/>
          </w:tcPr>
          <w:p>
            <w:pPr>
              <w:ind w:firstLine="110" w:firstLineChars="50"/>
              <w:jc w:val="center"/>
              <w:rPr>
                <w:rFonts w:hint="default" w:ascii="仿宋" w:hAnsi="仿宋" w:eastAsia="仿宋" w:cs="宋体"/>
                <w:kern w:val="0"/>
                <w:sz w:val="22"/>
                <w:szCs w:val="18"/>
                <w:lang w:val="en-US" w:eastAsia="zh-CN"/>
              </w:rPr>
            </w:pPr>
            <w:r>
              <w:rPr>
                <w:rFonts w:hint="eastAsia" w:ascii="仿宋" w:hAnsi="仿宋" w:eastAsia="仿宋" w:cs="仿宋"/>
                <w:color w:val="000000"/>
                <w:sz w:val="22"/>
                <w:szCs w:val="18"/>
              </w:rPr>
              <w:t>一次性使用组织闭合器械</w:t>
            </w:r>
            <w:bookmarkStart w:id="49" w:name="_GoBack"/>
            <w:r>
              <w:rPr>
                <w:rFonts w:hint="eastAsia" w:ascii="仿宋" w:hAnsi="仿宋" w:eastAsia="仿宋" w:cs="仿宋"/>
                <w:color w:val="000000"/>
                <w:sz w:val="22"/>
                <w:szCs w:val="18"/>
                <w:lang w:eastAsia="zh-CN"/>
              </w:rPr>
              <w:t>（</w:t>
            </w:r>
            <w:r>
              <w:rPr>
                <w:rFonts w:hint="eastAsia" w:ascii="仿宋" w:hAnsi="仿宋" w:eastAsia="仿宋" w:cs="仿宋"/>
                <w:color w:val="000000"/>
                <w:sz w:val="22"/>
                <w:szCs w:val="18"/>
                <w:lang w:val="en-US" w:eastAsia="zh-CN"/>
              </w:rPr>
              <w:t>腔镜）</w:t>
            </w:r>
            <w:bookmarkEnd w:id="49"/>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szCs w:val="16"/>
              </w:rPr>
            </w:pPr>
            <w:r>
              <w:rPr>
                <w:rFonts w:hint="eastAsia" w:ascii="仿宋" w:hAnsi="仿宋" w:eastAsia="仿宋" w:cs="仿宋"/>
                <w:szCs w:val="16"/>
              </w:rPr>
              <w:t xml:space="preserve">5mm </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把</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7300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20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4</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1559"/>
        <w:gridCol w:w="1276"/>
        <w:gridCol w:w="1276"/>
        <w:gridCol w:w="992"/>
        <w:gridCol w:w="1276"/>
        <w:gridCol w:w="1276"/>
        <w:gridCol w:w="992"/>
        <w:gridCol w:w="1276"/>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rPr>
            </w:pPr>
            <w:r>
              <w:rPr>
                <w:rFonts w:ascii="仿宋" w:hAnsi="仿宋" w:eastAsia="仿宋" w:cs="Arial"/>
                <w:color w:val="000000"/>
              </w:rPr>
              <w:t>4</w:t>
            </w:r>
          </w:p>
        </w:tc>
        <w:tc>
          <w:tcPr>
            <w:tcW w:w="1559" w:type="dxa"/>
            <w:tcBorders>
              <w:top w:val="single" w:color="auto" w:sz="4" w:space="0"/>
              <w:left w:val="single" w:color="auto" w:sz="4" w:space="0"/>
              <w:right w:val="single" w:color="auto" w:sz="4" w:space="0"/>
            </w:tcBorders>
            <w:noWrap/>
            <w:vAlign w:val="center"/>
          </w:tcPr>
          <w:p>
            <w:pPr>
              <w:ind w:firstLine="110" w:firstLineChars="50"/>
              <w:jc w:val="center"/>
              <w:rPr>
                <w:rFonts w:ascii="仿宋" w:hAnsi="仿宋" w:eastAsia="仿宋" w:cs="宋体"/>
                <w:kern w:val="0"/>
                <w:sz w:val="22"/>
                <w:szCs w:val="18"/>
              </w:rPr>
            </w:pPr>
            <w:r>
              <w:rPr>
                <w:rFonts w:hint="eastAsia" w:ascii="仿宋" w:hAnsi="仿宋" w:eastAsia="仿宋" w:cs="仿宋"/>
                <w:color w:val="000000"/>
                <w:sz w:val="22"/>
                <w:szCs w:val="18"/>
              </w:rPr>
              <w:t>一次性使用组织闭合器械</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szCs w:val="16"/>
              </w:rPr>
            </w:pPr>
            <w:r>
              <w:rPr>
                <w:rFonts w:hint="eastAsia" w:ascii="仿宋" w:hAnsi="仿宋" w:eastAsia="仿宋" w:cs="仿宋"/>
                <w:szCs w:val="16"/>
              </w:rPr>
              <w:t>10mm</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把</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6600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16"/>
              </w:rPr>
            </w:pPr>
            <w:r>
              <w:rPr>
                <w:rFonts w:hint="eastAsia" w:ascii="仿宋" w:hAnsi="仿宋" w:eastAsia="仿宋" w:cs="仿宋"/>
                <w:szCs w:val="16"/>
              </w:rPr>
              <w:t>153</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4"/>
        <w:rPr>
          <w:rFonts w:ascii="仿宋" w:hAnsi="仿宋" w:cs="仿宋"/>
        </w:rPr>
      </w:pPr>
      <w:bookmarkStart w:id="48" w:name="_Toc104885750"/>
      <w:r>
        <w:rPr>
          <w:rFonts w:hint="eastAsia" w:ascii="仿宋" w:hAnsi="仿宋" w:cs="仿宋"/>
        </w:rPr>
        <w:t>第七章询问、质疑及投诉</w:t>
      </w:r>
      <w:bookmarkEnd w:id="48"/>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16"/>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6"/>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6"/>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6"/>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21</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绍兴市人民医院（吻合类）腔镜血管闭合器械采购项目（</w:t>
    </w:r>
    <w:r>
      <w:t>SXRMYY-2023-19</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绍兴市人民医院（吻合类）腔镜血管闭合器械采购项目（</w:t>
    </w:r>
    <w:r>
      <w:t>SXRMYY-2023-19</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绍兴市人民医院（吻合类）腔镜血管闭合器械采购项目（</w:t>
    </w:r>
    <w:r>
      <w:t>SXRMYY-2023-19</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6895"/>
    <w:rsid w:val="000A7032"/>
    <w:rsid w:val="000A79DB"/>
    <w:rsid w:val="000A7D8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967D3"/>
    <w:rsid w:val="001A3912"/>
    <w:rsid w:val="001A3ADC"/>
    <w:rsid w:val="001B1941"/>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75AA1"/>
    <w:rsid w:val="002806F3"/>
    <w:rsid w:val="0028657C"/>
    <w:rsid w:val="002870FB"/>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013A"/>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B6744"/>
    <w:rsid w:val="004C0368"/>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5731"/>
    <w:rsid w:val="00626070"/>
    <w:rsid w:val="00631611"/>
    <w:rsid w:val="0065285F"/>
    <w:rsid w:val="00654086"/>
    <w:rsid w:val="006630D0"/>
    <w:rsid w:val="00672AB9"/>
    <w:rsid w:val="00674F22"/>
    <w:rsid w:val="00680069"/>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07BC"/>
    <w:rsid w:val="00B3104B"/>
    <w:rsid w:val="00B3393B"/>
    <w:rsid w:val="00B43174"/>
    <w:rsid w:val="00B55440"/>
    <w:rsid w:val="00B55A04"/>
    <w:rsid w:val="00B6650D"/>
    <w:rsid w:val="00B70008"/>
    <w:rsid w:val="00B77BBD"/>
    <w:rsid w:val="00B804CD"/>
    <w:rsid w:val="00B82522"/>
    <w:rsid w:val="00B92777"/>
    <w:rsid w:val="00BA0271"/>
    <w:rsid w:val="00BA6C0E"/>
    <w:rsid w:val="00BB29AA"/>
    <w:rsid w:val="00BB49F2"/>
    <w:rsid w:val="00BB5530"/>
    <w:rsid w:val="00BD34BE"/>
    <w:rsid w:val="00BD4E62"/>
    <w:rsid w:val="00BE2BAB"/>
    <w:rsid w:val="00BF2551"/>
    <w:rsid w:val="00BF5722"/>
    <w:rsid w:val="00C02E6D"/>
    <w:rsid w:val="00C10584"/>
    <w:rsid w:val="00C1426C"/>
    <w:rsid w:val="00C20448"/>
    <w:rsid w:val="00C23A17"/>
    <w:rsid w:val="00C25D05"/>
    <w:rsid w:val="00C331A1"/>
    <w:rsid w:val="00C37BD7"/>
    <w:rsid w:val="00C41DAC"/>
    <w:rsid w:val="00C45125"/>
    <w:rsid w:val="00C51A7D"/>
    <w:rsid w:val="00C53249"/>
    <w:rsid w:val="00C72528"/>
    <w:rsid w:val="00C73532"/>
    <w:rsid w:val="00C743E4"/>
    <w:rsid w:val="00C83107"/>
    <w:rsid w:val="00C90293"/>
    <w:rsid w:val="00C902A8"/>
    <w:rsid w:val="00C94E0D"/>
    <w:rsid w:val="00C9524E"/>
    <w:rsid w:val="00CB1954"/>
    <w:rsid w:val="00CC33BD"/>
    <w:rsid w:val="00CC7E8C"/>
    <w:rsid w:val="00CD0064"/>
    <w:rsid w:val="00CD6A95"/>
    <w:rsid w:val="00CD6AF7"/>
    <w:rsid w:val="00CE1A43"/>
    <w:rsid w:val="00CE1B29"/>
    <w:rsid w:val="00CE5E68"/>
    <w:rsid w:val="00D003B5"/>
    <w:rsid w:val="00D03CE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C10A7"/>
    <w:rsid w:val="00DC1165"/>
    <w:rsid w:val="00DC4842"/>
    <w:rsid w:val="00DD46C2"/>
    <w:rsid w:val="00DD6933"/>
    <w:rsid w:val="00DD71D6"/>
    <w:rsid w:val="00DD7C52"/>
    <w:rsid w:val="00DF0C5B"/>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7A21"/>
    <w:rsid w:val="016676A3"/>
    <w:rsid w:val="01AA4412"/>
    <w:rsid w:val="01B020A8"/>
    <w:rsid w:val="02106DC3"/>
    <w:rsid w:val="025662AB"/>
    <w:rsid w:val="029B352B"/>
    <w:rsid w:val="03DA597A"/>
    <w:rsid w:val="03FB08B3"/>
    <w:rsid w:val="045A4101"/>
    <w:rsid w:val="04DF6DDD"/>
    <w:rsid w:val="04E21788"/>
    <w:rsid w:val="05BB70CB"/>
    <w:rsid w:val="05CA23B0"/>
    <w:rsid w:val="05D57D43"/>
    <w:rsid w:val="06CB62A6"/>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5985AE3"/>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BC6E21"/>
    <w:rsid w:val="3E5F71BC"/>
    <w:rsid w:val="3E6B371F"/>
    <w:rsid w:val="40F92C38"/>
    <w:rsid w:val="41410DFB"/>
    <w:rsid w:val="41DC2D21"/>
    <w:rsid w:val="41E37861"/>
    <w:rsid w:val="41F043C5"/>
    <w:rsid w:val="420057D5"/>
    <w:rsid w:val="42DA58EF"/>
    <w:rsid w:val="42F2004C"/>
    <w:rsid w:val="42FC5332"/>
    <w:rsid w:val="4319030C"/>
    <w:rsid w:val="438B1109"/>
    <w:rsid w:val="440525B4"/>
    <w:rsid w:val="445144FB"/>
    <w:rsid w:val="44641089"/>
    <w:rsid w:val="449C4333"/>
    <w:rsid w:val="48730530"/>
    <w:rsid w:val="48BC0134"/>
    <w:rsid w:val="48DF137D"/>
    <w:rsid w:val="49B900C8"/>
    <w:rsid w:val="49FB55B2"/>
    <w:rsid w:val="4A6D6C6D"/>
    <w:rsid w:val="4A8F44DC"/>
    <w:rsid w:val="4B432979"/>
    <w:rsid w:val="4E3D3E73"/>
    <w:rsid w:val="4ECC42D1"/>
    <w:rsid w:val="51492D6D"/>
    <w:rsid w:val="517662E3"/>
    <w:rsid w:val="51B939A4"/>
    <w:rsid w:val="532A2A37"/>
    <w:rsid w:val="5346796B"/>
    <w:rsid w:val="535278B5"/>
    <w:rsid w:val="543146F8"/>
    <w:rsid w:val="55BD38B0"/>
    <w:rsid w:val="56E46343"/>
    <w:rsid w:val="571B13F2"/>
    <w:rsid w:val="57462FE6"/>
    <w:rsid w:val="57E655D5"/>
    <w:rsid w:val="57FB365A"/>
    <w:rsid w:val="59502697"/>
    <w:rsid w:val="59E807A2"/>
    <w:rsid w:val="5A79155C"/>
    <w:rsid w:val="5BC713AA"/>
    <w:rsid w:val="5C7335C4"/>
    <w:rsid w:val="5C7D23C0"/>
    <w:rsid w:val="5C982996"/>
    <w:rsid w:val="5D081B2B"/>
    <w:rsid w:val="5F7268F8"/>
    <w:rsid w:val="60F635C7"/>
    <w:rsid w:val="61566C51"/>
    <w:rsid w:val="61DF02F6"/>
    <w:rsid w:val="63FB4E0D"/>
    <w:rsid w:val="64665646"/>
    <w:rsid w:val="65293EFC"/>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rPr>
      <w:szCs w:val="24"/>
    </w:rPr>
  </w:style>
  <w:style w:type="paragraph" w:styleId="8">
    <w:name w:val="List Number 2"/>
    <w:basedOn w:val="1"/>
    <w:qFormat/>
    <w:uiPriority w:val="0"/>
    <w:pPr>
      <w:widowControl/>
      <w:tabs>
        <w:tab w:val="left" w:pos="1697"/>
      </w:tabs>
      <w:spacing w:afterLines="50"/>
      <w:ind w:left="1697" w:hanging="420"/>
      <w:jc w:val="left"/>
    </w:pPr>
    <w:rPr>
      <w:kern w:val="0"/>
      <w:sz w:val="24"/>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ind w:firstLine="420"/>
    </w:pPr>
    <w:rPr>
      <w:rFonts w:ascii="Calibri" w:hAnsi="Calibri"/>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rPr>
      <w:rFonts w:ascii="宋体"/>
    </w:rPr>
  </w:style>
  <w:style w:type="paragraph" w:styleId="17">
    <w:name w:val="Date"/>
    <w:basedOn w:val="1"/>
    <w:next w:val="1"/>
    <w:qFormat/>
    <w:uiPriority w:val="0"/>
    <w:pPr>
      <w:ind w:left="2500" w:leftChars="2500"/>
    </w:pPr>
  </w:style>
  <w:style w:type="paragraph" w:styleId="18">
    <w:name w:val="Balloon Text"/>
    <w:basedOn w:val="1"/>
    <w:link w:val="44"/>
    <w:semiHidden/>
    <w:unhideWhenUsed/>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39"/>
  </w:style>
  <w:style w:type="paragraph" w:styleId="22">
    <w:name w:val="toc 2"/>
    <w:basedOn w:val="1"/>
    <w:next w:val="1"/>
    <w:qFormat/>
    <w:uiPriority w:val="39"/>
    <w:pPr>
      <w:ind w:left="42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4">
    <w:name w:val="annotation subject"/>
    <w:basedOn w:val="12"/>
    <w:next w:val="12"/>
    <w:qFormat/>
    <w:uiPriority w:val="0"/>
    <w:rPr>
      <w:b/>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6"/>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8"/>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47</Pages>
  <Words>22023</Words>
  <Characters>23456</Characters>
  <Lines>182</Lines>
  <Paragraphs>51</Paragraphs>
  <TotalTime>105</TotalTime>
  <ScaleCrop>false</ScaleCrop>
  <LinksUpToDate>false</LinksUpToDate>
  <CharactersWithSpaces>24211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2023-04-13T02:15:00Z</dcterms:created>
  <dc:creator>admin8</dc:creator>
  <cp:lastModifiedBy>user</cp:lastModifiedBy>
  <cp:lastPrinted>2023-02-13T08:01:00Z</cp:lastPrinted>
  <dcterms:modified xsi:type="dcterms:W3CDTF">2023-05-24T02:59:34Z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E835DF5864B9408092D9A9031EF22656</vt:lpwstr>
  </property>
</Properties>
</file>