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绍兴市人民医院</w:t>
      </w:r>
    </w:p>
    <w:p>
      <w:pPr>
        <w:jc w:val="center"/>
        <w:outlineLvl w:val="0"/>
        <w:rPr>
          <w:rFonts w:ascii="隶书" w:eastAsia="隶书"/>
          <w:sz w:val="44"/>
        </w:rPr>
      </w:pPr>
      <w:r>
        <w:rPr>
          <w:rFonts w:hint="eastAsia" w:ascii="隶书" w:hAnsi="Arial" w:eastAsia="隶书" w:cs="Arial"/>
          <w:b/>
          <w:spacing w:val="-12"/>
          <w:sz w:val="48"/>
          <w:szCs w:val="48"/>
        </w:rPr>
        <w:t>无机盐年度采购项目（第二次重招）</w:t>
      </w:r>
    </w:p>
    <w:p>
      <w:pPr>
        <w:outlineLvl w:val="0"/>
        <w:rPr>
          <w:rFonts w:ascii="隶书" w:eastAsia="隶书"/>
          <w:sz w:val="44"/>
        </w:rPr>
      </w:pPr>
    </w:p>
    <w:p>
      <w:pPr>
        <w:pStyle w:val="51"/>
      </w:pPr>
    </w:p>
    <w:p>
      <w:pPr>
        <w:pStyle w:val="51"/>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rPr>
          <w:rFonts w:ascii="隶书" w:eastAsia="隶书"/>
          <w:b/>
          <w:sz w:val="28"/>
          <w:szCs w:val="28"/>
        </w:rPr>
      </w:pPr>
    </w:p>
    <w:p>
      <w:pPr>
        <w:jc w:val="center"/>
        <w:rPr>
          <w:rFonts w:eastAsia="隶书"/>
          <w:sz w:val="20"/>
          <w:szCs w:val="6"/>
        </w:rPr>
      </w:pPr>
      <w:r>
        <w:rPr>
          <w:rFonts w:hint="eastAsia" w:ascii="隶书" w:eastAsia="隶书"/>
          <w:b/>
          <w:sz w:val="28"/>
          <w:szCs w:val="28"/>
        </w:rPr>
        <w:t>招标编号:HCZB-2023-FA004</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098142945"/>
              </w:rPr>
              <w:t>监督单</w:t>
            </w:r>
            <w:r>
              <w:rPr>
                <w:rFonts w:hint="eastAsia" w:ascii="仿宋" w:hAnsi="仿宋" w:eastAsia="仿宋" w:cs="仿宋"/>
                <w:spacing w:val="1"/>
                <w:kern w:val="0"/>
                <w:sz w:val="28"/>
                <w:szCs w:val="28"/>
                <w:fitText w:val="1680" w:id="209814294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rPr>
          <w:rFonts w:ascii="仿宋" w:hAnsi="仿宋" w:eastAsia="仿宋" w:cs="仿宋"/>
          <w:sz w:val="28"/>
        </w:rPr>
      </w:pPr>
    </w:p>
    <w:p>
      <w:pPr>
        <w:rPr>
          <w:rFonts w:ascii="仿宋" w:hAnsi="仿宋" w:eastAsia="仿宋" w:cs="仿宋"/>
          <w:sz w:val="28"/>
        </w:rPr>
      </w:pPr>
    </w:p>
    <w:p>
      <w:pPr>
        <w:jc w:val="center"/>
        <w:rPr>
          <w:rFonts w:ascii="仿宋" w:hAnsi="仿宋" w:eastAsia="仿宋" w:cs="仿宋"/>
          <w:sz w:val="28"/>
        </w:rPr>
      </w:pPr>
      <w:r>
        <w:rPr>
          <w:rFonts w:hint="eastAsia" w:ascii="仿宋" w:hAnsi="仿宋" w:eastAsia="仿宋" w:cs="仿宋"/>
          <w:sz w:val="28"/>
        </w:rPr>
        <w:t>二零二三年 六月</w:t>
      </w:r>
    </w:p>
    <w:p>
      <w:r>
        <w:rPr>
          <w:rFonts w:ascii="仿宋_GB2312" w:eastAsia="仿宋_GB2312"/>
          <w:b/>
          <w:sz w:val="44"/>
          <w:szCs w:val="44"/>
        </w:rPr>
        <w:br w:type="page"/>
      </w: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9"/>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项目编号：HCZB-2023-FA004</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项目名称：绍兴市人民医院无机盐年度采购项目（第二次重招）</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预算金额（元）：250000</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最高限价（元）：247000</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标项名称:绍兴市人民医院无机盐年度采购项目（第二次重招）</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预算金额（元）:250000</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9"/>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9"/>
              <w:spacing w:afterLines="0" w:line="440" w:lineRule="exact"/>
              <w:ind w:firstLine="480"/>
              <w:rPr>
                <w:rFonts w:ascii="仿宋_GB2312" w:hAnsi="新宋体" w:eastAsia="仿宋_GB2312"/>
                <w:szCs w:val="24"/>
              </w:rPr>
            </w:pPr>
            <w:r>
              <w:rPr>
                <w:rFonts w:hint="eastAsia" w:ascii="仿宋_GB2312" w:hAnsi="MS Gothic" w:eastAsia="仿宋_GB2312" w:cs="Arial"/>
              </w:rPr>
              <w:sym w:font="Wingdings" w:char="00A8"/>
            </w:r>
            <w:r>
              <w:rPr>
                <w:rFonts w:hint="eastAsia" w:ascii="仿宋_GB2312" w:hAnsi="仿宋" w:eastAsia="仿宋_GB2312"/>
              </w:rPr>
              <w:t>无；</w:t>
            </w:r>
          </w:p>
          <w:p>
            <w:pPr>
              <w:spacing w:line="360" w:lineRule="auto"/>
              <w:ind w:firstLine="420" w:firstLineChars="200"/>
              <w:rPr>
                <w:rFonts w:ascii="仿宋_GB2312" w:hAnsi="仿宋" w:eastAsia="仿宋_GB2312"/>
                <w:sz w:val="24"/>
              </w:rPr>
            </w:pPr>
            <w:r>
              <w:rPr>
                <w:rFonts w:hint="eastAsia" w:ascii="仿宋_GB2312" w:hAnsi="MS Gothic" w:eastAsia="仿宋_GB2312" w:cs="Arial"/>
              </w:rPr>
              <w:sym w:font="Wingdings" w:char="00FE"/>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Cs w:val="21"/>
                </w:rPr>
                <w:id w:val="725337177"/>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9"/>
              <w:numPr>
                <w:ilvl w:val="0"/>
                <w:numId w:val="7"/>
              </w:numPr>
              <w:spacing w:afterLines="0" w:line="440" w:lineRule="exact"/>
              <w:ind w:firstLine="480"/>
              <w:rPr>
                <w:rFonts w:ascii="仿宋_GB2312" w:hAnsi="新宋体" w:eastAsia="仿宋_GB2312"/>
                <w:szCs w:val="24"/>
                <w:u w:val="single"/>
              </w:rPr>
            </w:pPr>
            <w:r>
              <w:rPr>
                <w:rFonts w:hint="eastAsia" w:ascii="仿宋_GB2312" w:hAnsi="新宋体" w:eastAsia="仿宋_GB2312"/>
                <w:szCs w:val="24"/>
              </w:rPr>
              <w:t>本项目的特定资格要求：</w:t>
            </w:r>
            <w:r>
              <w:rPr>
                <w:rFonts w:hint="eastAsia" w:ascii="仿宋" w:hAnsi="仿宋" w:eastAsia="仿宋" w:cs="仿宋"/>
              </w:rPr>
              <w:t>1、提供投标人该投标产品的《产品生产许可证》； 2、投标人提供该投标产品的《危险化学品经营许可证》、《道路运输经营许可证》及《押运人员押运证》；若是委托第三方运输，则需出具《委托合同》，第三方的《道路运输经营许可证》、及《押运人员押运证》。</w:t>
            </w:r>
          </w:p>
          <w:p>
            <w:pPr>
              <w:pStyle w:val="69"/>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rPr>
            </w:pPr>
            <w:r>
              <w:rPr>
                <w:rFonts w:hint="eastAsia" w:ascii="仿宋" w:eastAsia="仿宋" w:cs="Arial"/>
                <w:sz w:val="24"/>
              </w:rPr>
              <w:t>四、获取招标文件时间、地点及方式：</w:t>
            </w:r>
          </w:p>
          <w:p>
            <w:pPr>
              <w:spacing w:line="480" w:lineRule="exact"/>
              <w:ind w:firstLine="540" w:firstLineChars="225"/>
              <w:rPr>
                <w:rFonts w:ascii="仿宋" w:eastAsia="仿宋" w:cs="Arial"/>
                <w:sz w:val="24"/>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2023</w:t>
            </w:r>
            <w:r>
              <w:rPr>
                <w:rFonts w:hint="eastAsia" w:ascii="仿宋" w:hAnsi="仿宋" w:eastAsia="仿宋" w:cs="Arial"/>
                <w:sz w:val="24"/>
              </w:rPr>
              <w:t>年</w:t>
            </w:r>
            <w:r>
              <w:rPr>
                <w:rFonts w:hint="eastAsia" w:ascii="仿宋" w:eastAsia="仿宋"/>
                <w:sz w:val="24"/>
                <w:u w:val="single"/>
              </w:rPr>
              <w:t xml:space="preserve"> 7</w:t>
            </w:r>
            <w:r>
              <w:rPr>
                <w:rFonts w:hint="eastAsia" w:ascii="仿宋" w:eastAsia="仿宋"/>
                <w:sz w:val="24"/>
              </w:rPr>
              <w:t>月</w:t>
            </w:r>
            <w:r>
              <w:rPr>
                <w:rFonts w:hint="eastAsia" w:ascii="仿宋" w:eastAsia="仿宋"/>
                <w:sz w:val="24"/>
                <w:u w:val="single"/>
              </w:rPr>
              <w:t xml:space="preserve"> 6 </w:t>
            </w:r>
            <w:r>
              <w:rPr>
                <w:rFonts w:hint="eastAsia" w:ascii="仿宋" w:eastAsia="仿宋"/>
                <w:sz w:val="24"/>
              </w:rPr>
              <w:t>日</w:t>
            </w:r>
            <w:r>
              <w:rPr>
                <w:rFonts w:hint="eastAsia" w:ascii="仿宋" w:hAnsi="仿宋" w:eastAsia="仿宋" w:cs="Arial"/>
                <w:sz w:val="24"/>
              </w:rPr>
              <w:t>上午8:30—11:30；</w:t>
            </w:r>
            <w:r>
              <w:rPr>
                <w:rFonts w:hint="eastAsia" w:ascii="仿宋" w:eastAsia="仿宋" w:cs="Arial"/>
                <w:sz w:val="24"/>
              </w:rPr>
              <w:t>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eastAsia="仿宋" w:cs="Arial"/>
                <w:sz w:val="24"/>
              </w:rPr>
            </w:pPr>
            <w:r>
              <w:rPr>
                <w:rFonts w:hint="eastAsia" w:ascii="仿宋" w:eastAsia="仿宋" w:cs="Arial"/>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2023</w:t>
            </w:r>
            <w:r>
              <w:rPr>
                <w:rFonts w:hint="eastAsia" w:ascii="仿宋" w:eastAsia="仿宋"/>
                <w:sz w:val="24"/>
              </w:rPr>
              <w:t>年</w:t>
            </w:r>
            <w:r>
              <w:rPr>
                <w:rFonts w:hint="eastAsia" w:ascii="仿宋" w:eastAsia="仿宋"/>
                <w:sz w:val="24"/>
                <w:u w:val="single"/>
              </w:rPr>
              <w:t xml:space="preserve">  7</w:t>
            </w:r>
            <w:r>
              <w:rPr>
                <w:rFonts w:hint="eastAsia" w:ascii="仿宋" w:eastAsia="仿宋"/>
                <w:sz w:val="24"/>
              </w:rPr>
              <w:t>月</w:t>
            </w:r>
            <w:r>
              <w:rPr>
                <w:rFonts w:hint="eastAsia" w:ascii="仿宋" w:eastAsia="仿宋"/>
                <w:sz w:val="24"/>
                <w:u w:val="single"/>
              </w:rPr>
              <w:t xml:space="preserve"> 6</w:t>
            </w:r>
            <w:r>
              <w:rPr>
                <w:rFonts w:hint="eastAsia" w:ascii="仿宋" w:eastAsia="仿宋"/>
                <w:sz w:val="24"/>
              </w:rPr>
              <w:t>日</w:t>
            </w:r>
            <w:r>
              <w:rPr>
                <w:rFonts w:hint="eastAsia" w:ascii="仿宋" w:eastAsia="仿宋"/>
                <w:sz w:val="24"/>
                <w:u w:val="single"/>
              </w:rPr>
              <w:t xml:space="preserve"> 14:30</w:t>
            </w:r>
            <w:r>
              <w:rPr>
                <w:rFonts w:hint="eastAsia" w:ascii="仿宋" w:eastAsia="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eastAsia="仿宋"/>
                <w:sz w:val="24"/>
              </w:rPr>
              <w:t>，</w:t>
            </w:r>
            <w:r>
              <w:rPr>
                <w:rFonts w:hint="eastAsia" w:ascii="仿宋" w:eastAsia="仿宋"/>
                <w:b/>
                <w:bCs/>
                <w:sz w:val="24"/>
              </w:rPr>
              <w:t>未获取招标文件送达</w:t>
            </w:r>
            <w:r>
              <w:rPr>
                <w:rFonts w:hint="eastAsia" w:ascii="仿宋" w:eastAsia="仿宋"/>
                <w:sz w:val="24"/>
              </w:rPr>
              <w:t>或逾期送达不予接收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ascii="仿宋" w:eastAsia="仿宋"/>
                <w:sz w:val="24"/>
              </w:rPr>
            </w:pPr>
            <w:r>
              <w:rPr>
                <w:rFonts w:hint="eastAsia" w:ascii="仿宋" w:eastAsia="仿宋"/>
                <w:sz w:val="24"/>
              </w:rPr>
              <w:t>（1）采用邮寄方式，邮寄公司建议采用EMS或顺丰（包裹外包装上请注明投标单位名称、项目名称、联系人、联系电话等信息，以便工作人员接收登记工作），接收截止时间为</w:t>
            </w:r>
            <w:r>
              <w:rPr>
                <w:rFonts w:hint="eastAsia" w:ascii="仿宋" w:eastAsia="仿宋"/>
                <w:sz w:val="24"/>
                <w:u w:val="single"/>
              </w:rPr>
              <w:t>2023</w:t>
            </w:r>
            <w:r>
              <w:rPr>
                <w:rFonts w:hint="eastAsia" w:ascii="仿宋" w:eastAsia="仿宋"/>
                <w:sz w:val="24"/>
              </w:rPr>
              <w:t>年</w:t>
            </w:r>
            <w:r>
              <w:rPr>
                <w:rFonts w:hint="eastAsia" w:ascii="仿宋" w:eastAsia="仿宋"/>
                <w:sz w:val="24"/>
                <w:u w:val="single"/>
              </w:rPr>
              <w:t xml:space="preserve">  7</w:t>
            </w:r>
            <w:r>
              <w:rPr>
                <w:rFonts w:hint="eastAsia" w:ascii="仿宋" w:eastAsia="仿宋"/>
                <w:sz w:val="24"/>
              </w:rPr>
              <w:t>月</w:t>
            </w:r>
            <w:r>
              <w:rPr>
                <w:rFonts w:hint="eastAsia" w:ascii="仿宋" w:eastAsia="仿宋"/>
                <w:sz w:val="24"/>
                <w:u w:val="single"/>
              </w:rPr>
              <w:t xml:space="preserve">   6</w:t>
            </w:r>
            <w:r>
              <w:rPr>
                <w:rFonts w:hint="eastAsia" w:ascii="仿宋" w:eastAsia="仿宋"/>
                <w:sz w:val="24"/>
              </w:rPr>
              <w:t>日</w:t>
            </w:r>
            <w:r>
              <w:rPr>
                <w:rFonts w:hint="eastAsia" w:ascii="仿宋" w:eastAsia="仿宋"/>
                <w:sz w:val="24"/>
                <w:u w:val="single"/>
              </w:rPr>
              <w:t xml:space="preserve"> 14:30</w:t>
            </w:r>
            <w:r>
              <w:rPr>
                <w:rFonts w:hint="eastAsia" w:ascii="仿宋" w:eastAsia="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eastAsia="仿宋"/>
                <w:sz w:val="24"/>
              </w:rPr>
              <w:t>联系人：毕龙梅   电话：15068545458  </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rPr>
              <w:t>2023</w:t>
            </w:r>
            <w:r>
              <w:rPr>
                <w:rFonts w:hint="eastAsia" w:ascii="仿宋" w:eastAsia="仿宋"/>
                <w:sz w:val="24"/>
              </w:rPr>
              <w:t>年</w:t>
            </w:r>
            <w:r>
              <w:rPr>
                <w:rFonts w:hint="eastAsia" w:ascii="仿宋" w:eastAsia="仿宋"/>
                <w:sz w:val="24"/>
                <w:u w:val="single"/>
              </w:rPr>
              <w:t xml:space="preserve">  7 </w:t>
            </w:r>
            <w:r>
              <w:rPr>
                <w:rFonts w:hint="eastAsia" w:ascii="仿宋" w:eastAsia="仿宋"/>
                <w:sz w:val="24"/>
              </w:rPr>
              <w:t>月</w:t>
            </w:r>
            <w:r>
              <w:rPr>
                <w:rFonts w:hint="eastAsia" w:ascii="仿宋" w:eastAsia="仿宋"/>
                <w:sz w:val="24"/>
                <w:u w:val="single"/>
              </w:rPr>
              <w:t xml:space="preserve"> 6 </w:t>
            </w:r>
            <w:r>
              <w:rPr>
                <w:rFonts w:hint="eastAsia" w:ascii="仿宋" w:eastAsia="仿宋"/>
                <w:sz w:val="24"/>
              </w:rPr>
              <w:t>日</w:t>
            </w:r>
            <w:r>
              <w:rPr>
                <w:rFonts w:hint="eastAsia" w:ascii="仿宋" w:eastAsia="仿宋"/>
                <w:sz w:val="24"/>
                <w:u w:val="single"/>
              </w:rPr>
              <w:t xml:space="preserve"> 14:30</w:t>
            </w:r>
            <w:r>
              <w:rPr>
                <w:rFonts w:hint="eastAsia" w:ascii="仿宋" w:eastAsia="仿宋"/>
                <w:sz w:val="24"/>
              </w:rPr>
              <w:t>时以前将投标文件密封送交</w:t>
            </w:r>
            <w:r>
              <w:rPr>
                <w:rFonts w:hint="eastAsia" w:ascii="仿宋" w:hAnsi="仿宋" w:eastAsia="仿宋" w:cs="仿宋"/>
                <w:kern w:val="0"/>
                <w:sz w:val="24"/>
              </w:rPr>
              <w:t>，</w:t>
            </w:r>
            <w:r>
              <w:rPr>
                <w:rFonts w:hint="eastAsia" w:ascii="仿宋" w:eastAsia="仿宋"/>
                <w:b/>
                <w:bCs/>
                <w:sz w:val="24"/>
              </w:rPr>
              <w:t>未获取招标文件送达</w:t>
            </w:r>
            <w:r>
              <w:rPr>
                <w:rFonts w:hint="eastAsia" w:ascii="仿宋" w:eastAsia="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7"/>
            <w:bookmarkEnd w:id="0"/>
            <w:bookmarkStart w:id="1" w:name="_Hlt10553106"/>
            <w:bookmarkEnd w:id="1"/>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fldChar w:fldCharType="begin"/>
            </w:r>
            <w:r>
              <w:instrText xml:space="preserve"> HYPERLINK "http://www.sxrmyy.cn/" </w:instrText>
            </w:r>
            <w:r>
              <w:fldChar w:fldCharType="separate"/>
            </w:r>
            <w:r>
              <w:rPr>
                <w:rStyle w:val="49"/>
                <w:rFonts w:hint="eastAsia"/>
              </w:rPr>
              <w:t>h</w:t>
            </w:r>
            <w:r>
              <w:rPr>
                <w:rStyle w:val="49"/>
                <w:rFonts w:hint="eastAsia" w:ascii="仿宋" w:hAnsi="仿宋" w:eastAsia="仿宋" w:cs="仿宋"/>
                <w:spacing w:val="-4"/>
                <w:sz w:val="24"/>
              </w:rPr>
              <w:t>ttp://www.sxrmyy.cn/</w:t>
            </w:r>
            <w:r>
              <w:rPr>
                <w:rStyle w:val="49"/>
                <w:rFonts w:hint="eastAsia" w:ascii="仿宋" w:hAnsi="仿宋" w:eastAsia="仿宋" w:cs="仿宋"/>
                <w:spacing w:val="-4"/>
                <w:sz w:val="24"/>
              </w:rPr>
              <w:fldChar w:fldCharType="end"/>
            </w:r>
          </w:p>
          <w:p>
            <w:pPr>
              <w:spacing w:line="440" w:lineRule="exact"/>
              <w:ind w:firstLine="464" w:firstLineChars="200"/>
              <w:jc w:val="left"/>
              <w:rPr>
                <w:rFonts w:ascii="仿宋_GB2312" w:hAnsi="新宋体" w:eastAsia="仿宋_GB2312"/>
              </w:rPr>
            </w:pPr>
            <w:r>
              <w:rPr>
                <w:rFonts w:hint="eastAsia" w:ascii="仿宋" w:hAnsi="仿宋" w:eastAsia="仿宋" w:cs="仿宋"/>
                <w:spacing w:val="-4"/>
                <w:sz w:val="24"/>
              </w:rPr>
              <w:t>八、采购公告期限：本</w:t>
            </w:r>
            <w:r>
              <w:rPr>
                <w:rFonts w:hint="eastAsia" w:ascii="仿宋" w:eastAsia="仿宋"/>
                <w:spacing w:val="-4"/>
                <w:sz w:val="24"/>
              </w:rPr>
              <w:t>公告发布之日起五个工作日。</w:t>
            </w:r>
          </w:p>
          <w:p>
            <w:pPr>
              <w:pStyle w:val="69"/>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九、其他事宜</w:t>
            </w:r>
          </w:p>
          <w:p>
            <w:pPr>
              <w:pStyle w:val="69"/>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r>
              <w:rPr>
                <w:rFonts w:hint="eastAsia" w:ascii="仿宋" w:hAnsi="仿宋" w:eastAsia="仿宋" w:cs="仿宋"/>
                <w:szCs w:val="24"/>
              </w:rPr>
              <w:t>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项目联系人（询问）： 王永胜</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rPr>
              <w:t>0575-88558839</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rPr>
              <w:t>沈少卿</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rPr>
              <w:t>0575-88558836</w:t>
            </w:r>
            <w:r>
              <w:rPr>
                <w:rFonts w:hint="eastAsia" w:ascii="仿宋" w:hAnsi="仿宋" w:eastAsia="仿宋" w:cs="仿宋"/>
                <w:szCs w:val="24"/>
              </w:rPr>
              <w:t>　　　   </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质疑联系人：詹栋炯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9"/>
              <w:widowControl w:val="0"/>
              <w:spacing w:afterLines="0" w:line="312" w:lineRule="auto"/>
              <w:ind w:firstLine="480"/>
              <w:rPr>
                <w:rFonts w:ascii="仿宋" w:hAnsi="仿宋" w:eastAsia="仿宋" w:cs="仿宋"/>
                <w:szCs w:val="24"/>
              </w:rPr>
            </w:pPr>
          </w:p>
          <w:p>
            <w:pPr>
              <w:pStyle w:val="69"/>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9146" w:type="dxa"/>
            <w:vAlign w:val="center"/>
          </w:tcPr>
          <w:p>
            <w:pPr>
              <w:rPr>
                <w:rFonts w:ascii="仿宋_GB2312" w:hAnsi="新宋体" w:eastAsia="仿宋_GB2312"/>
              </w:rPr>
            </w:pPr>
          </w:p>
        </w:tc>
      </w:tr>
    </w:tbl>
    <w:p>
      <w:pPr>
        <w:widowControl/>
        <w:jc w:val="right"/>
        <w:rPr>
          <w:rFonts w:ascii="仿宋_GB2312" w:hAnsi="新宋体" w:eastAsia="仿宋_GB2312"/>
          <w:kern w:val="0"/>
          <w:sz w:val="24"/>
        </w:rPr>
      </w:pPr>
      <w:r>
        <w:rPr>
          <w:rFonts w:hint="eastAsia" w:ascii="仿宋_GB2312" w:hAnsi="新宋体" w:eastAsia="仿宋_GB2312"/>
          <w:kern w:val="0"/>
          <w:sz w:val="24"/>
        </w:rPr>
        <w:t xml:space="preserve">公告时间：2023年 6月 </w:t>
      </w:r>
      <w:r>
        <w:rPr>
          <w:rFonts w:hint="eastAsia" w:ascii="仿宋_GB2312" w:hAnsi="新宋体" w:eastAsia="仿宋_GB2312"/>
          <w:kern w:val="0"/>
          <w:sz w:val="24"/>
          <w:lang w:val="en-US" w:eastAsia="zh-CN"/>
        </w:rPr>
        <w:t xml:space="preserve">15 </w:t>
      </w:r>
      <w:bookmarkStart w:id="171" w:name="_GoBack"/>
      <w:bookmarkEnd w:id="171"/>
      <w:r>
        <w:rPr>
          <w:rFonts w:hint="eastAsia" w:ascii="仿宋_GB2312" w:hAnsi="新宋体" w:eastAsia="仿宋_GB2312"/>
          <w:kern w:val="0"/>
          <w:sz w:val="24"/>
        </w:rPr>
        <w:t>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kern w:val="0"/>
                <w:sz w:val="24"/>
                <w:u w:val="single"/>
              </w:rPr>
              <w:t xml:space="preserve">    氯酸钠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w:t>
            </w:r>
            <w:r>
              <w:rPr>
                <w:rFonts w:hint="eastAsia" w:ascii="仿宋" w:hAnsi="仿宋" w:eastAsia="仿宋" w:cs="仿宋"/>
                <w:sz w:val="24"/>
              </w:rPr>
              <w:t>绍兴市人民医院官网</w:t>
            </w:r>
            <w:r>
              <w:rPr>
                <w:rFonts w:hint="eastAsia" w:ascii="仿宋_GB2312" w:hAnsi="宋体" w:eastAsia="仿宋_GB2312" w:cs="宋体"/>
                <w:snapToGrid w:val="0"/>
                <w:kern w:val="28"/>
                <w:sz w:val="24"/>
              </w:rPr>
              <w:t>http://www.sxrmyy.cn/，绍兴市卫</w:t>
            </w:r>
            <w:r>
              <w:rPr>
                <w:rFonts w:hint="eastAsia" w:ascii="仿宋" w:hAnsi="仿宋" w:eastAsia="仿宋" w:cs="仿宋"/>
                <w:sz w:val="24"/>
              </w:rPr>
              <w:t>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华诚工程咨询集团有限公司</w:t>
      </w:r>
      <w:r>
        <w:rPr>
          <w:rFonts w:hint="eastAsia" w:ascii="仿宋_GB2312" w:hAnsi="仿宋_GB2312" w:eastAsia="仿宋_GB2312" w:cs="仿宋_GB2312"/>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sz w:val="24"/>
        </w:rPr>
      </w:pPr>
      <w:r>
        <w:rPr>
          <w:rFonts w:hint="eastAsia" w:ascii="仿宋_GB2312" w:hAnsi="宋体" w:eastAsia="仿宋_GB2312"/>
          <w:sz w:val="24"/>
        </w:rPr>
        <w:t>1.2本次招标设定限价，即招标公告中公布的各标项预算金额或最高限价（各标项之间的预算金额不能互相调整）。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4"/>
        <w:spacing w:line="440" w:lineRule="exact"/>
        <w:rPr>
          <w:rFonts w:ascii="仿宋" w:hAnsi="仿宋" w:eastAsia="仿宋"/>
          <w:b w:val="0"/>
          <w:sz w:val="24"/>
        </w:rPr>
      </w:pPr>
      <w:r>
        <w:rPr>
          <w:rFonts w:hint="eastAsia" w:ascii="仿宋" w:hAnsi="仿宋" w:eastAsia="仿宋"/>
          <w:b w:val="0"/>
          <w:sz w:val="24"/>
        </w:rPr>
        <w:t>2.1.3中小企业声明函（格式见第六部分附件）；</w:t>
      </w:r>
    </w:p>
    <w:p>
      <w:pPr>
        <w:pStyle w:val="24"/>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2.2.3法定代表人和授权代表的身份证复印件（格式见第六部分附件）；</w:t>
      </w:r>
    </w:p>
    <w:p>
      <w:pPr>
        <w:snapToGrid w:val="0"/>
        <w:spacing w:line="440" w:lineRule="exac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宋体" w:eastAsia="仿宋_GB2312"/>
          <w:sz w:val="24"/>
        </w:rPr>
      </w:pPr>
      <w:r>
        <w:rPr>
          <w:rFonts w:hint="eastAsia" w:ascii="仿宋_GB2312" w:hAnsi="宋体" w:eastAsia="仿宋_GB2312"/>
          <w:sz w:val="24"/>
        </w:rPr>
        <w:t>2.2.5供应商基本资格条件书面承诺函（格式见第六部分附件）；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2.2.6供应商特定资格条件（如项目要求）的有关证明材料（复印件）；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403820"/>
      <w:bookmarkEnd w:id="3"/>
      <w:bookmarkStart w:id="4" w:name="_Hlt68072998"/>
      <w:bookmarkEnd w:id="4"/>
      <w:bookmarkStart w:id="5" w:name="_Hlt68073093"/>
      <w:bookmarkEnd w:id="5"/>
      <w:r>
        <w:rPr>
          <w:rFonts w:hint="eastAsia" w:ascii="仿宋_GB2312" w:hAnsi="宋体" w:eastAsia="仿宋_GB2312"/>
          <w:sz w:val="24"/>
        </w:rPr>
        <w:t>2.2.7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2.2.21中小企业声明函；</w:t>
      </w:r>
    </w:p>
    <w:p>
      <w:pPr>
        <w:snapToGrid w:val="0"/>
        <w:spacing w:line="440" w:lineRule="exact"/>
        <w:jc w:val="left"/>
        <w:rPr>
          <w:rFonts w:ascii="仿宋_GB2312" w:hAnsi="宋体" w:eastAsia="仿宋_GB2312"/>
          <w:sz w:val="24"/>
        </w:rPr>
      </w:pPr>
      <w:r>
        <w:rPr>
          <w:rFonts w:hint="eastAsia" w:ascii="仿宋_GB2312" w:hAnsi="宋体" w:eastAsia="仿宋_GB2312"/>
          <w:sz w:val="24"/>
        </w:rPr>
        <w:t>2.2.22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953"/>
      <w:bookmarkStart w:id="7" w:name="_Toc81372776"/>
      <w:bookmarkStart w:id="8" w:name="_Toc84325929"/>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w:t>
      </w:r>
      <w:r>
        <w:rPr>
          <w:rFonts w:hint="eastAsia" w:ascii="仿宋" w:eastAsia="仿宋"/>
          <w:b/>
          <w:bCs/>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9"/>
          <w:rFonts w:hint="eastAsia" w:ascii="仿宋_GB2312" w:hAnsi="Helvetica" w:eastAsia="仿宋_GB2312" w:cs="Helvetica"/>
          <w:color w:val="auto"/>
          <w:kern w:val="0"/>
        </w:rPr>
        <w:t>http://zfcg.czt.zj.gov.cn/</w:t>
      </w:r>
      <w:r>
        <w:rPr>
          <w:rStyle w:val="49"/>
          <w:rFonts w:hint="eastAsia" w:ascii="仿宋_GB2312" w:hAnsi="Helvetica" w:eastAsia="仿宋_GB2312" w:cs="Helvetica"/>
          <w:color w:val="auto"/>
          <w:kern w:val="0"/>
        </w:rPr>
        <w:fldChar w:fldCharType="end"/>
      </w:r>
      <w:r>
        <w:rPr>
          <w:rFonts w:hint="eastAsia"/>
        </w:rPr>
        <w:t>，</w:t>
      </w:r>
      <w:r>
        <w:rPr>
          <w:rFonts w:hint="eastAsia" w:ascii="仿宋" w:hAnsi="仿宋" w:eastAsia="仿宋" w:cs="仿宋"/>
        </w:rPr>
        <w:t>绍兴市人民医院官网http://www.sxrmyy.cn/，绍兴市卫健委官网http://sxws.sx.gov.cn/发布中标公告，中标公告期限为1</w:t>
      </w:r>
      <w:r>
        <w:rPr>
          <w:rFonts w:hint="eastAsia" w:ascii="仿宋_GB2312" w:hAnsi="Helvetica" w:eastAsia="仿宋_GB2312" w:cs="Helvetica"/>
          <w:kern w:val="0"/>
        </w:rPr>
        <w:t>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4"/>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9" w:name="_Toc151354173"/>
      <w:bookmarkStart w:id="10" w:name="_Toc84325981"/>
      <w:bookmarkStart w:id="11" w:name="_Toc81372964"/>
      <w:bookmarkStart w:id="12" w:name="_Toc80157775"/>
      <w:bookmarkStart w:id="13" w:name="_Toc81372787"/>
      <w:r>
        <w:rPr>
          <w:rFonts w:hint="eastAsia" w:ascii="仿宋" w:hAnsi="仿宋" w:eastAsia="仿宋"/>
          <w:b/>
          <w:sz w:val="24"/>
        </w:rPr>
        <w:t>8.招标项目名称及数量：</w:t>
      </w:r>
    </w:p>
    <w:bookmarkEnd w:id="9"/>
    <w:p>
      <w:pPr>
        <w:snapToGrid w:val="0"/>
        <w:spacing w:line="440" w:lineRule="exact"/>
        <w:jc w:val="left"/>
        <w:rPr>
          <w:rFonts w:ascii="仿宋" w:hAnsi="仿宋" w:eastAsia="仿宋"/>
          <w:b/>
          <w:sz w:val="24"/>
        </w:rPr>
      </w:pPr>
      <w:r>
        <w:rPr>
          <w:rFonts w:hint="eastAsia" w:ascii="仿宋" w:hAnsi="仿宋" w:eastAsia="仿宋"/>
          <w:b/>
          <w:sz w:val="24"/>
        </w:rPr>
        <w:t>8.</w:t>
      </w:r>
      <w:r>
        <w:rPr>
          <w:rFonts w:ascii="仿宋" w:hAnsi="仿宋" w:eastAsia="仿宋"/>
          <w:b/>
          <w:sz w:val="24"/>
        </w:rPr>
        <w:t>1</w:t>
      </w:r>
      <w:r>
        <w:rPr>
          <w:rFonts w:hint="eastAsia" w:ascii="仿宋" w:hAnsi="仿宋" w:eastAsia="仿宋"/>
          <w:b/>
          <w:sz w:val="24"/>
        </w:rPr>
        <w:t>招标项目产品</w:t>
      </w:r>
      <w:r>
        <w:rPr>
          <w:rFonts w:ascii="仿宋" w:hAnsi="仿宋" w:eastAsia="仿宋"/>
          <w:b/>
          <w:sz w:val="24"/>
        </w:rPr>
        <w:t>(</w:t>
      </w:r>
      <w:r>
        <w:rPr>
          <w:rFonts w:hint="eastAsia" w:ascii="仿宋" w:hAnsi="仿宋" w:eastAsia="仿宋"/>
          <w:b/>
          <w:sz w:val="24"/>
        </w:rPr>
        <w:t>或服务</w:t>
      </w:r>
      <w:r>
        <w:rPr>
          <w:rFonts w:ascii="仿宋" w:hAnsi="仿宋" w:eastAsia="仿宋"/>
          <w:b/>
          <w:sz w:val="24"/>
        </w:rPr>
        <w:t>)</w:t>
      </w:r>
      <w:r>
        <w:rPr>
          <w:rFonts w:hint="eastAsia" w:ascii="仿宋" w:hAnsi="仿宋" w:eastAsia="仿宋"/>
          <w:b/>
          <w:sz w:val="24"/>
        </w:rPr>
        <w:t>名称、上限单价及数量：</w:t>
      </w:r>
    </w:p>
    <w:p>
      <w:pPr>
        <w:widowControl/>
        <w:spacing w:line="440" w:lineRule="exact"/>
        <w:ind w:left="-105" w:leftChars="-50" w:right="-105" w:rightChars="-50"/>
        <w:rPr>
          <w:rFonts w:ascii="仿宋" w:hAnsi="仿宋" w:eastAsia="仿宋"/>
          <w:b/>
          <w:sz w:val="24"/>
        </w:rPr>
      </w:pPr>
      <w:r>
        <w:rPr>
          <w:rFonts w:hint="eastAsia" w:ascii="仿宋" w:hAnsi="仿宋" w:eastAsia="仿宋"/>
          <w:b/>
          <w:sz w:val="24"/>
          <w:bdr w:val="single" w:color="auto" w:sz="4" w:space="0"/>
        </w:rPr>
        <w:t>01</w:t>
      </w:r>
      <w:r>
        <w:rPr>
          <w:rFonts w:hint="eastAsia" w:ascii="仿宋" w:hAnsi="仿宋" w:eastAsia="仿宋"/>
          <w:b/>
          <w:sz w:val="24"/>
        </w:rPr>
        <w:t>标绍兴市人民医院</w:t>
      </w:r>
      <w:bookmarkStart w:id="14" w:name="_Toc426996356"/>
      <w:r>
        <w:rPr>
          <w:rFonts w:hint="eastAsia" w:ascii="仿宋" w:hAnsi="仿宋" w:eastAsia="仿宋"/>
          <w:b/>
          <w:sz w:val="24"/>
        </w:rPr>
        <w:t>无机盐年度采购项目（第二次重招）上限金额：24.7万元</w:t>
      </w:r>
    </w:p>
    <w:p>
      <w:pPr>
        <w:spacing w:line="400" w:lineRule="exact"/>
      </w:pPr>
      <w:r>
        <w:rPr>
          <w:rFonts w:hint="eastAsia" w:ascii="华文仿宋" w:hAnsi="华文仿宋" w:eastAsia="华文仿宋"/>
          <w:b/>
          <w:sz w:val="24"/>
        </w:rPr>
        <w:t>8.2采购项目：</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8.2.</w:t>
      </w:r>
      <w:r>
        <w:rPr>
          <w:rFonts w:ascii="华文仿宋" w:hAnsi="华文仿宋" w:eastAsia="华文仿宋"/>
          <w:sz w:val="24"/>
        </w:rPr>
        <w:t>1、货物一览表</w:t>
      </w:r>
    </w:p>
    <w:tbl>
      <w:tblPr>
        <w:tblStyle w:val="42"/>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90"/>
        <w:gridCol w:w="1460"/>
        <w:gridCol w:w="960"/>
        <w:gridCol w:w="1290"/>
        <w:gridCol w:w="121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序号</w:t>
            </w:r>
          </w:p>
        </w:tc>
        <w:tc>
          <w:tcPr>
            <w:tcW w:w="129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名称</w:t>
            </w:r>
          </w:p>
        </w:tc>
        <w:tc>
          <w:tcPr>
            <w:tcW w:w="146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规格</w:t>
            </w:r>
          </w:p>
        </w:tc>
        <w:tc>
          <w:tcPr>
            <w:tcW w:w="96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单位</w:t>
            </w:r>
          </w:p>
        </w:tc>
        <w:tc>
          <w:tcPr>
            <w:tcW w:w="1290" w:type="dxa"/>
            <w:noWrap/>
            <w:vAlign w:val="center"/>
          </w:tcPr>
          <w:p>
            <w:pPr>
              <w:spacing w:line="400" w:lineRule="exact"/>
              <w:jc w:val="center"/>
              <w:rPr>
                <w:rFonts w:ascii="华文仿宋" w:hAnsi="华文仿宋" w:eastAsia="华文仿宋"/>
                <w:sz w:val="24"/>
              </w:rPr>
            </w:pPr>
            <w:r>
              <w:rPr>
                <w:rFonts w:hint="eastAsia" w:ascii="华文仿宋" w:hAnsi="华文仿宋" w:eastAsia="华文仿宋"/>
                <w:sz w:val="24"/>
              </w:rPr>
              <w:t>上限单价（元）</w:t>
            </w:r>
          </w:p>
        </w:tc>
        <w:tc>
          <w:tcPr>
            <w:tcW w:w="121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计划数量</w:t>
            </w:r>
            <w:r>
              <w:rPr>
                <w:rFonts w:hint="eastAsia" w:ascii="华文仿宋" w:hAnsi="华文仿宋" w:eastAsia="华文仿宋"/>
                <w:sz w:val="24"/>
              </w:rPr>
              <w:t>（1年）</w:t>
            </w:r>
          </w:p>
        </w:tc>
        <w:tc>
          <w:tcPr>
            <w:tcW w:w="174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ign w:val="center"/>
          </w:tcPr>
          <w:p>
            <w:pPr>
              <w:spacing w:line="400" w:lineRule="exact"/>
              <w:rPr>
                <w:rFonts w:ascii="华文仿宋" w:hAnsi="华文仿宋" w:eastAsia="华文仿宋"/>
                <w:sz w:val="24"/>
              </w:rPr>
            </w:pPr>
            <w:r>
              <w:rPr>
                <w:rFonts w:ascii="华文仿宋" w:hAnsi="华文仿宋" w:eastAsia="华文仿宋"/>
                <w:sz w:val="24"/>
              </w:rPr>
              <w:t>1</w:t>
            </w:r>
          </w:p>
        </w:tc>
        <w:tc>
          <w:tcPr>
            <w:tcW w:w="1290" w:type="dxa"/>
            <w:noWrap/>
            <w:vAlign w:val="center"/>
          </w:tcPr>
          <w:p>
            <w:pPr>
              <w:spacing w:line="400" w:lineRule="exact"/>
              <w:rPr>
                <w:rFonts w:ascii="华文仿宋" w:hAnsi="华文仿宋" w:eastAsia="华文仿宋"/>
                <w:sz w:val="24"/>
              </w:rPr>
            </w:pPr>
            <w:r>
              <w:rPr>
                <w:rFonts w:hint="eastAsia" w:ascii="华文仿宋" w:hAnsi="华文仿宋" w:eastAsia="华文仿宋"/>
                <w:sz w:val="24"/>
              </w:rPr>
              <w:t>氯酸钠</w:t>
            </w:r>
          </w:p>
        </w:tc>
        <w:tc>
          <w:tcPr>
            <w:tcW w:w="1460" w:type="dxa"/>
            <w:noWrap/>
            <w:vAlign w:val="center"/>
          </w:tcPr>
          <w:p>
            <w:pPr>
              <w:spacing w:line="400" w:lineRule="exact"/>
              <w:rPr>
                <w:rFonts w:ascii="华文仿宋" w:hAnsi="华文仿宋" w:eastAsia="华文仿宋"/>
                <w:sz w:val="24"/>
              </w:rPr>
            </w:pPr>
            <w:r>
              <w:rPr>
                <w:rFonts w:hint="eastAsia" w:ascii="华文仿宋" w:hAnsi="华文仿宋" w:eastAsia="华文仿宋"/>
                <w:sz w:val="24"/>
              </w:rPr>
              <w:t>25</w:t>
            </w:r>
            <w:r>
              <w:rPr>
                <w:rFonts w:ascii="华文仿宋" w:hAnsi="华文仿宋" w:eastAsia="华文仿宋"/>
                <w:sz w:val="24"/>
              </w:rPr>
              <w:t>公斤</w:t>
            </w:r>
            <w:r>
              <w:rPr>
                <w:rFonts w:hint="eastAsia" w:ascii="华文仿宋" w:hAnsi="华文仿宋" w:eastAsia="华文仿宋"/>
                <w:sz w:val="24"/>
              </w:rPr>
              <w:t>/袋</w:t>
            </w:r>
          </w:p>
        </w:tc>
        <w:tc>
          <w:tcPr>
            <w:tcW w:w="960" w:type="dxa"/>
            <w:noWrap/>
            <w:vAlign w:val="center"/>
          </w:tcPr>
          <w:p>
            <w:pPr>
              <w:spacing w:line="400" w:lineRule="exact"/>
              <w:jc w:val="center"/>
              <w:rPr>
                <w:rFonts w:ascii="华文仿宋" w:hAnsi="华文仿宋" w:eastAsia="华文仿宋"/>
                <w:sz w:val="24"/>
              </w:rPr>
            </w:pPr>
            <w:r>
              <w:rPr>
                <w:rFonts w:hint="eastAsia" w:ascii="华文仿宋" w:hAnsi="华文仿宋" w:eastAsia="华文仿宋"/>
                <w:sz w:val="24"/>
              </w:rPr>
              <w:t>吨</w:t>
            </w:r>
          </w:p>
        </w:tc>
        <w:tc>
          <w:tcPr>
            <w:tcW w:w="1290" w:type="dxa"/>
            <w:noWrap/>
            <w:vAlign w:val="center"/>
          </w:tcPr>
          <w:p>
            <w:pPr>
              <w:spacing w:line="400" w:lineRule="exact"/>
              <w:ind w:firstLine="420" w:firstLineChars="200"/>
              <w:rPr>
                <w:rFonts w:ascii="华文仿宋" w:hAnsi="华文仿宋" w:eastAsia="华文仿宋"/>
                <w:color w:val="FF0000"/>
                <w:sz w:val="24"/>
              </w:rPr>
            </w:pPr>
            <w:r>
              <w:rPr>
                <w:rFonts w:hint="eastAsia" w:ascii="仿宋" w:hAnsi="仿宋" w:eastAsia="仿宋" w:cs="仿宋"/>
                <w:szCs w:val="21"/>
              </w:rPr>
              <w:t>9500</w:t>
            </w:r>
          </w:p>
        </w:tc>
        <w:tc>
          <w:tcPr>
            <w:tcW w:w="1210" w:type="dxa"/>
            <w:noWrap/>
            <w:vAlign w:val="center"/>
          </w:tcPr>
          <w:p>
            <w:pPr>
              <w:spacing w:line="400" w:lineRule="exact"/>
              <w:jc w:val="center"/>
              <w:rPr>
                <w:rFonts w:ascii="华文仿宋" w:hAnsi="华文仿宋" w:eastAsia="华文仿宋"/>
                <w:color w:val="FF0000"/>
                <w:sz w:val="24"/>
              </w:rPr>
            </w:pPr>
            <w:r>
              <w:rPr>
                <w:rFonts w:hint="eastAsia" w:ascii="仿宋" w:hAnsi="仿宋" w:eastAsia="仿宋" w:cs="仿宋"/>
                <w:szCs w:val="21"/>
              </w:rPr>
              <w:t>26吨</w:t>
            </w:r>
          </w:p>
        </w:tc>
        <w:tc>
          <w:tcPr>
            <w:tcW w:w="1740" w:type="dxa"/>
            <w:noWrap/>
            <w:vAlign w:val="center"/>
          </w:tcPr>
          <w:p>
            <w:pPr>
              <w:spacing w:line="400" w:lineRule="exact"/>
              <w:rPr>
                <w:rFonts w:ascii="华文仿宋" w:hAnsi="华文仿宋" w:eastAsia="华文仿宋"/>
                <w:sz w:val="24"/>
              </w:rPr>
            </w:pPr>
            <w:r>
              <w:rPr>
                <w:rFonts w:hint="eastAsia" w:ascii="华文仿宋" w:hAnsi="华文仿宋" w:eastAsia="华文仿宋"/>
                <w:sz w:val="24"/>
              </w:rPr>
              <w:t>含量≥99.5%</w:t>
            </w: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8.2.</w:t>
      </w:r>
      <w:r>
        <w:rPr>
          <w:rFonts w:ascii="华文仿宋" w:hAnsi="华文仿宋" w:eastAsia="华文仿宋"/>
          <w:sz w:val="24"/>
        </w:rPr>
        <w:t>2、技术要求</w:t>
      </w:r>
    </w:p>
    <w:tbl>
      <w:tblPr>
        <w:tblStyle w:val="42"/>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2364"/>
        <w:gridCol w:w="2929"/>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序号</w:t>
            </w:r>
          </w:p>
        </w:tc>
        <w:tc>
          <w:tcPr>
            <w:tcW w:w="2364"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名称</w:t>
            </w:r>
          </w:p>
        </w:tc>
        <w:tc>
          <w:tcPr>
            <w:tcW w:w="2929"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要求</w:t>
            </w:r>
          </w:p>
        </w:tc>
        <w:tc>
          <w:tcPr>
            <w:tcW w:w="2377" w:type="dxa"/>
            <w:noWrap/>
            <w:vAlign w:val="center"/>
          </w:tcPr>
          <w:p>
            <w:pPr>
              <w:spacing w:line="400" w:lineRule="exact"/>
              <w:jc w:val="center"/>
              <w:rPr>
                <w:rFonts w:ascii="华文仿宋" w:hAnsi="华文仿宋" w:eastAsia="华文仿宋"/>
                <w:sz w:val="24"/>
              </w:rPr>
            </w:pPr>
            <w:r>
              <w:rPr>
                <w:rFonts w:ascii="华文仿宋" w:hAnsi="华文仿宋" w:eastAsia="华文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1</w:t>
            </w:r>
          </w:p>
        </w:tc>
        <w:tc>
          <w:tcPr>
            <w:tcW w:w="2364"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成份</w:t>
            </w:r>
          </w:p>
        </w:tc>
        <w:tc>
          <w:tcPr>
            <w:tcW w:w="2929"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NaClO</w:t>
            </w:r>
            <w:r>
              <w:rPr>
                <w:rFonts w:hint="eastAsia" w:ascii="华文仿宋" w:hAnsi="华文仿宋" w:eastAsia="华文仿宋"/>
                <w:sz w:val="24"/>
                <w:vertAlign w:val="subscript"/>
              </w:rPr>
              <w:t>3</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2</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形状</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白色颗粒粉状</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3</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气味</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无刺激性气味</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4</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稳定性</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常温储存24个月</w:t>
            </w:r>
          </w:p>
        </w:tc>
        <w:tc>
          <w:tcPr>
            <w:tcW w:w="2377" w:type="dxa"/>
            <w:noWrap/>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40" w:type="dxa"/>
            <w:noWrap/>
            <w:vAlign w:val="center"/>
          </w:tcPr>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5</w:t>
            </w:r>
          </w:p>
        </w:tc>
        <w:tc>
          <w:tcPr>
            <w:tcW w:w="2364"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溶解性</w:t>
            </w:r>
          </w:p>
        </w:tc>
        <w:tc>
          <w:tcPr>
            <w:tcW w:w="2929" w:type="dxa"/>
            <w:noWrap/>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易溶于水</w:t>
            </w:r>
          </w:p>
        </w:tc>
        <w:tc>
          <w:tcPr>
            <w:tcW w:w="2377" w:type="dxa"/>
            <w:noWrap/>
            <w:vAlign w:val="center"/>
          </w:tcPr>
          <w:p>
            <w:pPr>
              <w:spacing w:line="400" w:lineRule="exact"/>
              <w:ind w:firstLine="480" w:firstLineChars="200"/>
              <w:rPr>
                <w:rFonts w:ascii="华文仿宋" w:hAnsi="华文仿宋" w:eastAsia="华文仿宋"/>
                <w:sz w:val="24"/>
              </w:rPr>
            </w:pP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8.2.3、消毒处理后的污水达到国家标准（GB18466-2005）预处理标准。</w:t>
      </w:r>
    </w:p>
    <w:p>
      <w:pPr>
        <w:spacing w:line="360" w:lineRule="auto"/>
        <w:rPr>
          <w:rFonts w:ascii="华文仿宋" w:hAnsi="华文仿宋" w:eastAsia="华文仿宋"/>
          <w:b/>
          <w:sz w:val="24"/>
        </w:rPr>
      </w:pPr>
      <w:r>
        <w:rPr>
          <w:rFonts w:hint="eastAsia" w:ascii="华文仿宋" w:hAnsi="华文仿宋" w:eastAsia="华文仿宋"/>
          <w:b/>
          <w:sz w:val="24"/>
        </w:rPr>
        <w:t>8.3 供货要求：</w:t>
      </w:r>
    </w:p>
    <w:p>
      <w:pPr>
        <w:spacing w:line="360" w:lineRule="auto"/>
        <w:rPr>
          <w:rFonts w:ascii="仿宋" w:hAnsi="仿宋" w:eastAsia="仿宋" w:cs="仿宋"/>
          <w:b/>
          <w:bCs/>
          <w:sz w:val="24"/>
        </w:rPr>
      </w:pPr>
      <w:r>
        <w:rPr>
          <w:rFonts w:hint="eastAsia" w:ascii="华文仿宋" w:hAnsi="华文仿宋" w:eastAsia="华文仿宋"/>
          <w:b/>
          <w:sz w:val="24"/>
        </w:rPr>
        <w:t>1.</w:t>
      </w:r>
      <w:r>
        <w:rPr>
          <w:rFonts w:hint="eastAsia" w:ascii="仿宋" w:hAnsi="仿宋" w:eastAsia="仿宋" w:cs="仿宋"/>
          <w:kern w:val="0"/>
          <w:sz w:val="24"/>
          <w:lang w:val="zh-CN"/>
        </w:rPr>
        <w:t>中标人供货期为</w:t>
      </w:r>
      <w:r>
        <w:rPr>
          <w:rFonts w:hint="eastAsia" w:ascii="仿宋" w:hAnsi="仿宋" w:eastAsia="仿宋" w:cs="仿宋"/>
          <w:kern w:val="0"/>
          <w:sz w:val="24"/>
        </w:rPr>
        <w:t>一</w:t>
      </w:r>
      <w:r>
        <w:rPr>
          <w:rFonts w:hint="eastAsia" w:ascii="仿宋" w:hAnsi="仿宋" w:eastAsia="仿宋" w:cs="仿宋"/>
          <w:kern w:val="0"/>
          <w:sz w:val="24"/>
          <w:lang w:val="zh-CN"/>
        </w:rPr>
        <w:t>年</w:t>
      </w:r>
      <w:r>
        <w:rPr>
          <w:rFonts w:hint="eastAsia" w:ascii="仿宋" w:hAnsi="仿宋" w:eastAsia="仿宋" w:cs="仿宋"/>
          <w:b/>
          <w:sz w:val="24"/>
        </w:rPr>
        <w:t>。</w:t>
      </w:r>
    </w:p>
    <w:p>
      <w:pPr>
        <w:spacing w:line="360" w:lineRule="auto"/>
        <w:rPr>
          <w:rFonts w:ascii="仿宋_GB2312" w:hAnsi="宋体" w:eastAsia="仿宋_GB2312"/>
          <w:bCs/>
          <w:sz w:val="24"/>
        </w:rPr>
      </w:pPr>
      <w:r>
        <w:rPr>
          <w:rFonts w:hint="eastAsia" w:ascii="仿宋" w:hAnsi="仿宋" w:eastAsia="仿宋" w:cs="仿宋"/>
          <w:b/>
          <w:bCs/>
          <w:sz w:val="24"/>
        </w:rPr>
        <w:t>2、</w:t>
      </w:r>
      <w:r>
        <w:rPr>
          <w:rFonts w:hint="eastAsia" w:ascii="仿宋_GB2312" w:hAnsi="宋体" w:eastAsia="仿宋_GB2312"/>
          <w:bCs/>
          <w:sz w:val="24"/>
        </w:rPr>
        <w:t>采购人在中标供应商送货后对货物服务进行检查验收，如果发现数量不足或有质量、技术等问题，中标供应商应负责根据合同及采购人的要求采取补足或更换等处理措施，并承担由此发生的一切损失和费用。</w:t>
      </w:r>
    </w:p>
    <w:p>
      <w:pPr>
        <w:spacing w:line="360" w:lineRule="auto"/>
        <w:rPr>
          <w:rFonts w:ascii="华文仿宋" w:hAnsi="华文仿宋" w:eastAsia="华文仿宋"/>
          <w:sz w:val="24"/>
        </w:rPr>
      </w:pPr>
      <w:r>
        <w:rPr>
          <w:rFonts w:hint="eastAsia" w:ascii="仿宋" w:hAnsi="仿宋" w:eastAsia="仿宋" w:cs="仿宋"/>
          <w:sz w:val="24"/>
        </w:rPr>
        <w:t>3、采购人提前电话通知供应商供货后，供应商应及时响应并完成供货（1</w:t>
      </w:r>
      <w:r>
        <w:rPr>
          <w:rFonts w:ascii="仿宋" w:hAnsi="仿宋" w:eastAsia="仿宋" w:cs="仿宋"/>
          <w:sz w:val="24"/>
        </w:rPr>
        <w:t>0</w:t>
      </w:r>
      <w:r>
        <w:rPr>
          <w:rFonts w:hint="eastAsia" w:ascii="仿宋" w:hAnsi="仿宋" w:eastAsia="仿宋" w:cs="仿宋"/>
          <w:sz w:val="24"/>
        </w:rPr>
        <w:t>天内）。</w:t>
      </w:r>
    </w:p>
    <w:bookmarkEnd w:id="14"/>
    <w:p>
      <w:pPr>
        <w:spacing w:line="440" w:lineRule="exact"/>
        <w:rPr>
          <w:rFonts w:ascii="仿宋" w:hAnsi="仿宋" w:eastAsia="仿宋"/>
          <w:b/>
          <w:sz w:val="24"/>
        </w:rPr>
      </w:pPr>
      <w:r>
        <w:rPr>
          <w:rFonts w:hint="eastAsia" w:ascii="仿宋" w:hAnsi="仿宋" w:eastAsia="仿宋"/>
          <w:b/>
          <w:sz w:val="24"/>
        </w:rPr>
        <w:t xml:space="preserve">8.4 </w:t>
      </w:r>
      <w:r>
        <w:rPr>
          <w:rFonts w:ascii="仿宋" w:hAnsi="仿宋" w:eastAsia="仿宋"/>
          <w:b/>
          <w:sz w:val="24"/>
        </w:rPr>
        <w:t>质量</w:t>
      </w:r>
      <w:r>
        <w:rPr>
          <w:rFonts w:hint="eastAsia" w:ascii="仿宋" w:hAnsi="仿宋" w:eastAsia="仿宋"/>
          <w:b/>
          <w:sz w:val="24"/>
        </w:rPr>
        <w:t>要求：</w:t>
      </w:r>
    </w:p>
    <w:p>
      <w:pPr>
        <w:spacing w:line="440" w:lineRule="exact"/>
        <w:rPr>
          <w:rFonts w:ascii="仿宋" w:hAnsi="仿宋" w:eastAsia="仿宋"/>
          <w:sz w:val="24"/>
        </w:rPr>
      </w:pPr>
      <w:r>
        <w:rPr>
          <w:rFonts w:hint="eastAsia" w:ascii="仿宋" w:hAnsi="仿宋" w:eastAsia="仿宋"/>
          <w:sz w:val="24"/>
        </w:rPr>
        <w:t>8.4.</w:t>
      </w:r>
      <w:r>
        <w:rPr>
          <w:rFonts w:ascii="仿宋" w:hAnsi="仿宋" w:eastAsia="仿宋"/>
          <w:sz w:val="24"/>
        </w:rPr>
        <w:t>1、</w:t>
      </w:r>
      <w:r>
        <w:rPr>
          <w:rFonts w:hint="eastAsia" w:ascii="仿宋" w:hAnsi="仿宋" w:eastAsia="仿宋"/>
          <w:sz w:val="24"/>
        </w:rPr>
        <w:t>供应商</w:t>
      </w:r>
      <w:r>
        <w:rPr>
          <w:rFonts w:ascii="仿宋" w:hAnsi="仿宋" w:eastAsia="仿宋"/>
          <w:sz w:val="24"/>
        </w:rPr>
        <w:t>应按照</w:t>
      </w:r>
      <w:r>
        <w:rPr>
          <w:rFonts w:hint="eastAsia" w:ascii="仿宋" w:hAnsi="仿宋" w:eastAsia="仿宋"/>
          <w:sz w:val="24"/>
        </w:rPr>
        <w:t>招标文件</w:t>
      </w:r>
      <w:r>
        <w:rPr>
          <w:rFonts w:ascii="仿宋" w:hAnsi="仿宋" w:eastAsia="仿宋"/>
          <w:sz w:val="24"/>
        </w:rPr>
        <w:t>的有关规定提供合格</w:t>
      </w:r>
      <w:r>
        <w:rPr>
          <w:rFonts w:hint="eastAsia" w:ascii="仿宋" w:hAnsi="仿宋" w:eastAsia="仿宋"/>
          <w:sz w:val="24"/>
        </w:rPr>
        <w:t>产品</w:t>
      </w:r>
      <w:r>
        <w:rPr>
          <w:rFonts w:ascii="仿宋" w:hAnsi="仿宋" w:eastAsia="仿宋"/>
          <w:sz w:val="24"/>
        </w:rPr>
        <w:t>；</w:t>
      </w:r>
    </w:p>
    <w:p>
      <w:pPr>
        <w:spacing w:line="440" w:lineRule="exact"/>
        <w:rPr>
          <w:rFonts w:ascii="仿宋" w:hAnsi="仿宋" w:eastAsia="仿宋"/>
          <w:sz w:val="24"/>
        </w:rPr>
      </w:pPr>
      <w:r>
        <w:rPr>
          <w:rFonts w:hint="eastAsia" w:ascii="仿宋" w:hAnsi="仿宋" w:eastAsia="仿宋"/>
          <w:sz w:val="24"/>
        </w:rPr>
        <w:t>8.4.</w:t>
      </w:r>
      <w:r>
        <w:rPr>
          <w:rFonts w:ascii="仿宋" w:hAnsi="仿宋" w:eastAsia="仿宋"/>
          <w:sz w:val="24"/>
        </w:rPr>
        <w:t>2、</w:t>
      </w:r>
      <w:r>
        <w:rPr>
          <w:rFonts w:hint="eastAsia" w:ascii="仿宋" w:hAnsi="仿宋" w:eastAsia="仿宋"/>
          <w:sz w:val="24"/>
        </w:rPr>
        <w:t>产品</w:t>
      </w:r>
      <w:r>
        <w:rPr>
          <w:rFonts w:ascii="仿宋" w:hAnsi="仿宋" w:eastAsia="仿宋"/>
          <w:sz w:val="24"/>
        </w:rPr>
        <w:t>质量出现问题，</w:t>
      </w:r>
      <w:r>
        <w:rPr>
          <w:rFonts w:hint="eastAsia" w:ascii="仿宋" w:hAnsi="仿宋" w:eastAsia="仿宋"/>
          <w:sz w:val="24"/>
        </w:rPr>
        <w:t>供应商</w:t>
      </w:r>
      <w:r>
        <w:rPr>
          <w:rFonts w:ascii="仿宋" w:hAnsi="仿宋" w:eastAsia="仿宋"/>
          <w:sz w:val="24"/>
        </w:rPr>
        <w:t>负责包修、包退、包换，费用由</w:t>
      </w:r>
      <w:r>
        <w:rPr>
          <w:rFonts w:hint="eastAsia" w:ascii="仿宋" w:hAnsi="仿宋" w:eastAsia="仿宋"/>
          <w:sz w:val="24"/>
        </w:rPr>
        <w:t>供应商</w:t>
      </w:r>
      <w:r>
        <w:rPr>
          <w:rFonts w:ascii="仿宋" w:hAnsi="仿宋" w:eastAsia="仿宋"/>
          <w:sz w:val="24"/>
        </w:rPr>
        <w:t>承担；</w:t>
      </w:r>
    </w:p>
    <w:p>
      <w:pPr>
        <w:spacing w:line="440" w:lineRule="exact"/>
        <w:rPr>
          <w:rFonts w:ascii="仿宋" w:hAnsi="仿宋" w:eastAsia="仿宋"/>
          <w:sz w:val="24"/>
        </w:rPr>
      </w:pPr>
      <w:r>
        <w:rPr>
          <w:rFonts w:hint="eastAsia" w:ascii="仿宋" w:hAnsi="仿宋" w:eastAsia="仿宋"/>
          <w:sz w:val="24"/>
        </w:rPr>
        <w:t>8.4.</w:t>
      </w:r>
      <w:r>
        <w:rPr>
          <w:rFonts w:ascii="仿宋" w:hAnsi="仿宋" w:eastAsia="仿宋"/>
          <w:sz w:val="24"/>
        </w:rPr>
        <w:t>3、</w:t>
      </w:r>
      <w:r>
        <w:rPr>
          <w:rFonts w:hint="eastAsia" w:ascii="仿宋" w:hAnsi="仿宋" w:eastAsia="仿宋"/>
          <w:sz w:val="24"/>
        </w:rPr>
        <w:t>产品</w:t>
      </w:r>
      <w:r>
        <w:rPr>
          <w:rFonts w:ascii="仿宋" w:hAnsi="仿宋" w:eastAsia="仿宋"/>
          <w:sz w:val="24"/>
        </w:rPr>
        <w:t>的验收包括：数量、外观、质量、性能、质保单、品牌标志、包装和</w:t>
      </w:r>
      <w:r>
        <w:rPr>
          <w:rFonts w:hint="eastAsia" w:ascii="仿宋" w:hAnsi="仿宋" w:eastAsia="仿宋"/>
          <w:sz w:val="24"/>
        </w:rPr>
        <w:t>供应商</w:t>
      </w:r>
      <w:r>
        <w:rPr>
          <w:rFonts w:ascii="仿宋" w:hAnsi="仿宋" w:eastAsia="仿宋"/>
          <w:sz w:val="24"/>
        </w:rPr>
        <w:t>承诺的其它指标。</w:t>
      </w:r>
    </w:p>
    <w:p>
      <w:pPr>
        <w:spacing w:line="440" w:lineRule="exact"/>
        <w:rPr>
          <w:rFonts w:ascii="仿宋" w:hAnsi="仿宋" w:eastAsia="仿宋"/>
          <w:b/>
          <w:bCs/>
          <w:sz w:val="24"/>
        </w:rPr>
      </w:pPr>
      <w:r>
        <w:rPr>
          <w:rFonts w:hint="eastAsia" w:ascii="仿宋" w:hAnsi="仿宋" w:eastAsia="仿宋"/>
          <w:b/>
          <w:bCs/>
          <w:sz w:val="24"/>
        </w:rPr>
        <w:t>8.5 其他说明</w:t>
      </w:r>
    </w:p>
    <w:p>
      <w:pPr>
        <w:spacing w:line="440" w:lineRule="exact"/>
        <w:ind w:firstLine="480" w:firstLineChars="200"/>
        <w:rPr>
          <w:rFonts w:eastAsia="仿宋"/>
        </w:rPr>
      </w:pPr>
      <w:r>
        <w:rPr>
          <w:rFonts w:hint="eastAsia" w:ascii="仿宋" w:hAnsi="仿宋" w:eastAsia="仿宋"/>
          <w:sz w:val="24"/>
        </w:rPr>
        <w:t>供货期间产品市场价格波动由中标人自行承担。</w:t>
      </w:r>
    </w:p>
    <w:p>
      <w:pPr>
        <w:spacing w:line="440" w:lineRule="exact"/>
        <w:rPr>
          <w:rFonts w:ascii="仿宋" w:hAnsi="仿宋" w:eastAsia="仿宋"/>
          <w:b/>
          <w:sz w:val="24"/>
        </w:rPr>
      </w:pPr>
      <w:r>
        <w:rPr>
          <w:rFonts w:hint="eastAsia" w:ascii="仿宋" w:hAnsi="仿宋" w:eastAsia="仿宋"/>
          <w:b/>
          <w:sz w:val="24"/>
        </w:rPr>
        <w:t>8.6付款方式：</w:t>
      </w:r>
    </w:p>
    <w:p>
      <w:pPr>
        <w:spacing w:line="336" w:lineRule="auto"/>
        <w:ind w:firstLine="480" w:firstLineChars="200"/>
        <w:rPr>
          <w:rFonts w:ascii="仿宋" w:hAnsi="仿宋" w:eastAsia="仿宋" w:cs="仿宋"/>
          <w:sz w:val="24"/>
        </w:rPr>
      </w:pPr>
      <w:r>
        <w:rPr>
          <w:rFonts w:hint="eastAsia" w:ascii="仿宋" w:hAnsi="仿宋" w:eastAsia="仿宋" w:cs="仿宋"/>
          <w:sz w:val="24"/>
          <w:lang w:val="zh-CN"/>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r>
        <w:br w:type="page"/>
      </w: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282"/>
        <w:rPr>
          <w:rFonts w:ascii="仿宋" w:hAnsi="仿宋" w:eastAsia="仿宋" w:cs="仿宋"/>
          <w:szCs w:val="24"/>
        </w:rPr>
      </w:pPr>
    </w:p>
    <w:p>
      <w:pPr>
        <w:pStyle w:val="282"/>
        <w:jc w:val="center"/>
        <w:rPr>
          <w:rFonts w:ascii="仿宋" w:hAnsi="仿宋" w:eastAsia="仿宋" w:cs="仿宋"/>
          <w:szCs w:val="24"/>
        </w:rPr>
      </w:pPr>
    </w:p>
    <w:p>
      <w:pPr>
        <w:pStyle w:val="282"/>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282"/>
        <w:rPr>
          <w:rFonts w:ascii="仿宋" w:hAnsi="仿宋" w:eastAsia="仿宋" w:cs="仿宋"/>
          <w:szCs w:val="24"/>
        </w:rPr>
      </w:pPr>
    </w:p>
    <w:p>
      <w:pPr>
        <w:pStyle w:val="282"/>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1"/>
        <w:spacing w:before="120" w:line="22" w:lineRule="atLeast"/>
        <w:rPr>
          <w:rFonts w:ascii="仿宋" w:hAnsi="仿宋" w:eastAsia="仿宋" w:cs="仿宋"/>
          <w:szCs w:val="24"/>
        </w:rPr>
      </w:pPr>
    </w:p>
    <w:p>
      <w:pPr>
        <w:pStyle w:val="281"/>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5" w:name="_Toc24059"/>
      <w:bookmarkStart w:id="16" w:name="_Toc2232"/>
      <w:bookmarkStart w:id="17" w:name="_Toc3029"/>
      <w:r>
        <w:rPr>
          <w:rFonts w:hint="eastAsia" w:ascii="仿宋" w:hAnsi="仿宋" w:eastAsia="仿宋" w:cs="仿宋"/>
          <w:b/>
          <w:sz w:val="24"/>
        </w:rPr>
        <w:t>1.1 合同组成部分</w:t>
      </w:r>
      <w:bookmarkEnd w:id="15"/>
      <w:bookmarkEnd w:id="16"/>
      <w:bookmarkEnd w:id="17"/>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8" w:name="_Toc27126"/>
      <w:bookmarkStart w:id="19" w:name="_Toc24300"/>
      <w:bookmarkStart w:id="20" w:name="_Toc21295"/>
      <w:r>
        <w:rPr>
          <w:rFonts w:hint="eastAsia" w:ascii="仿宋" w:hAnsi="仿宋" w:eastAsia="仿宋" w:cs="仿宋"/>
          <w:b/>
          <w:sz w:val="24"/>
        </w:rPr>
        <w:t>1.2 货物</w:t>
      </w:r>
      <w:bookmarkEnd w:id="18"/>
      <w:bookmarkEnd w:id="19"/>
      <w:bookmarkEnd w:id="20"/>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560" w:lineRule="exact"/>
        <w:ind w:firstLine="480" w:firstLineChars="200"/>
        <w:rPr>
          <w:rFonts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1" w:name="_Toc21551"/>
      <w:bookmarkStart w:id="22" w:name="_Toc21631"/>
      <w:bookmarkStart w:id="23" w:name="_Toc23292"/>
      <w:r>
        <w:rPr>
          <w:rFonts w:hint="eastAsia" w:ascii="仿宋" w:hAnsi="仿宋" w:eastAsia="仿宋" w:cs="仿宋"/>
          <w:b/>
          <w:sz w:val="24"/>
        </w:rPr>
        <w:t>1.3 价款</w:t>
      </w:r>
      <w:bookmarkEnd w:id="21"/>
      <w:bookmarkEnd w:id="22"/>
      <w:bookmarkEnd w:id="23"/>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4" w:name="_Toc10340"/>
      <w:bookmarkStart w:id="25" w:name="_Toc22618"/>
      <w:bookmarkStart w:id="26" w:name="_Toc1814"/>
      <w:r>
        <w:rPr>
          <w:rFonts w:hint="eastAsia" w:ascii="仿宋" w:hAnsi="仿宋" w:eastAsia="仿宋" w:cs="仿宋"/>
          <w:b/>
          <w:sz w:val="24"/>
        </w:rPr>
        <w:t>1.4 付款</w:t>
      </w:r>
      <w:bookmarkEnd w:id="24"/>
      <w:bookmarkEnd w:id="25"/>
      <w:bookmarkEnd w:id="26"/>
      <w:r>
        <w:rPr>
          <w:rFonts w:hint="eastAsia" w:ascii="仿宋" w:hAnsi="仿宋" w:eastAsia="仿宋" w:cs="仿宋"/>
          <w:b/>
          <w:sz w:val="24"/>
        </w:rPr>
        <w:t>方式、时间和条件</w:t>
      </w:r>
    </w:p>
    <w:p>
      <w:pPr>
        <w:pStyle w:val="283"/>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bookmarkStart w:id="27" w:name="_Toc32071"/>
      <w:bookmarkStart w:id="28" w:name="_Toc2846"/>
      <w:bookmarkStart w:id="29" w:name="_Toc19304"/>
      <w:r>
        <w:rPr>
          <w:rFonts w:hint="eastAsia" w:ascii="仿宋" w:hAnsi="仿宋" w:eastAsia="仿宋" w:cs="仿宋"/>
          <w:b/>
          <w:sz w:val="24"/>
        </w:rPr>
        <w:t>1.5 货物交付期限、地点和方式</w:t>
      </w:r>
      <w:bookmarkEnd w:id="27"/>
      <w:bookmarkEnd w:id="28"/>
      <w:bookmarkEnd w:id="29"/>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30" w:name="_Toc19554"/>
      <w:bookmarkStart w:id="31" w:name="_Toc21423"/>
      <w:bookmarkStart w:id="32" w:name="_Toc27250"/>
      <w:r>
        <w:rPr>
          <w:rFonts w:hint="eastAsia" w:ascii="仿宋" w:hAnsi="仿宋" w:eastAsia="仿宋" w:cs="仿宋"/>
          <w:b/>
          <w:sz w:val="24"/>
        </w:rPr>
        <w:t>1.6 违约责任</w:t>
      </w:r>
      <w:bookmarkEnd w:id="30"/>
      <w:bookmarkEnd w:id="31"/>
      <w:bookmarkEnd w:id="32"/>
    </w:p>
    <w:p>
      <w:pPr>
        <w:spacing w:line="560" w:lineRule="exact"/>
        <w:ind w:firstLine="480" w:firstLineChars="200"/>
        <w:rPr>
          <w:rFonts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3" w:name="_Toc16021"/>
      <w:bookmarkStart w:id="34" w:name="_Toc28375"/>
      <w:bookmarkStart w:id="35" w:name="_Toc15583"/>
      <w:r>
        <w:rPr>
          <w:rFonts w:hint="eastAsia" w:ascii="仿宋" w:hAnsi="仿宋" w:eastAsia="仿宋" w:cs="仿宋"/>
          <w:b/>
          <w:sz w:val="24"/>
        </w:rPr>
        <w:t>1.7 合同争议的解决</w:t>
      </w:r>
      <w:bookmarkEnd w:id="33"/>
      <w:bookmarkEnd w:id="34"/>
      <w:bookmarkEnd w:id="35"/>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6" w:name="_Toc15322"/>
      <w:bookmarkStart w:id="37" w:name="_Toc7245"/>
      <w:bookmarkStart w:id="38" w:name="_Toc11173"/>
      <w:r>
        <w:rPr>
          <w:rFonts w:hint="eastAsia" w:ascii="仿宋" w:hAnsi="仿宋" w:eastAsia="仿宋" w:cs="仿宋"/>
          <w:b/>
          <w:sz w:val="24"/>
        </w:rPr>
        <w:t>1.8 合同生效</w:t>
      </w:r>
      <w:bookmarkEnd w:id="36"/>
      <w:bookmarkEnd w:id="37"/>
      <w:bookmarkEnd w:id="38"/>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widowControl/>
        <w:spacing w:line="560" w:lineRule="exact"/>
        <w:jc w:val="left"/>
        <w:rPr>
          <w:rFonts w:ascii="仿宋" w:hAnsi="仿宋" w:eastAsia="仿宋" w:cs="仿宋"/>
          <w:b/>
          <w:sz w:val="24"/>
        </w:rPr>
      </w:pPr>
    </w:p>
    <w:p>
      <w:pPr>
        <w:pStyle w:val="282"/>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 合同一般条款</w:t>
      </w:r>
    </w:p>
    <w:p>
      <w:pPr>
        <w:spacing w:line="560" w:lineRule="exact"/>
        <w:ind w:firstLine="482" w:firstLineChars="200"/>
        <w:outlineLvl w:val="0"/>
        <w:rPr>
          <w:rFonts w:ascii="仿宋" w:hAnsi="仿宋" w:eastAsia="仿宋" w:cs="仿宋"/>
          <w:b/>
          <w:sz w:val="24"/>
        </w:rPr>
      </w:pPr>
      <w:bookmarkStart w:id="39" w:name="_Toc28763"/>
      <w:bookmarkStart w:id="40" w:name="_Ref467378499"/>
      <w:bookmarkStart w:id="41" w:name="_Ref467378463"/>
      <w:bookmarkStart w:id="42" w:name="_Ref467379225"/>
      <w:bookmarkStart w:id="43" w:name="_Ref467379109"/>
      <w:bookmarkStart w:id="44" w:name="_Toc19614"/>
      <w:bookmarkStart w:id="45" w:name="_Ref467379101"/>
      <w:bookmarkStart w:id="46" w:name="_Toc279701240"/>
      <w:bookmarkStart w:id="47" w:name="_Ref467379195"/>
      <w:bookmarkStart w:id="48" w:name="_Ref467379094"/>
      <w:bookmarkStart w:id="49" w:name="_Toc259093669"/>
      <w:bookmarkStart w:id="50" w:name="_Ref467379214"/>
      <w:bookmarkStart w:id="51" w:name="_Ref467379205"/>
      <w:bookmarkStart w:id="52" w:name="_Ref467378404"/>
      <w:bookmarkStart w:id="53" w:name="_Toc487900349"/>
      <w:bookmarkStart w:id="54" w:name="_Toc16917"/>
      <w:r>
        <w:rPr>
          <w:rFonts w:hint="eastAsia" w:ascii="仿宋" w:hAnsi="仿宋" w:eastAsia="仿宋" w:cs="仿宋"/>
          <w:b/>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5" w:name="_Ref467378840"/>
      <w:r>
        <w:rPr>
          <w:rFonts w:hint="eastAsia" w:ascii="仿宋" w:hAnsi="仿宋" w:eastAsia="仿宋" w:cs="仿宋"/>
          <w:sz w:val="24"/>
        </w:rPr>
        <w:t>2.1.4 “甲方”系指与中标供应商签署合同的采购人</w:t>
      </w:r>
      <w:bookmarkEnd w:id="55"/>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6" w:name="_Ref467379400"/>
      <w:r>
        <w:rPr>
          <w:rFonts w:hint="eastAsia" w:ascii="仿宋" w:hAnsi="仿宋" w:eastAsia="仿宋" w:cs="仿宋"/>
          <w:sz w:val="24"/>
        </w:rPr>
        <w:t>2.1.5 “乙方”系指根据合同约定交付货物的中标供应商</w:t>
      </w:r>
      <w:bookmarkEnd w:id="5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7" w:name="_Ref467379436"/>
      <w:r>
        <w:rPr>
          <w:rFonts w:hint="eastAsia" w:ascii="仿宋" w:hAnsi="仿宋" w:eastAsia="仿宋" w:cs="仿宋"/>
          <w:sz w:val="24"/>
        </w:rPr>
        <w:t>2.1.6 “现场”系指合同约定货物将要运至或者安装的地点。</w:t>
      </w:r>
      <w:bookmarkEnd w:id="57"/>
    </w:p>
    <w:p>
      <w:pPr>
        <w:spacing w:line="560" w:lineRule="exact"/>
        <w:ind w:firstLine="482" w:firstLineChars="200"/>
        <w:outlineLvl w:val="0"/>
        <w:rPr>
          <w:rFonts w:ascii="仿宋" w:hAnsi="仿宋" w:eastAsia="仿宋" w:cs="仿宋"/>
          <w:b/>
          <w:sz w:val="24"/>
        </w:rPr>
      </w:pPr>
      <w:bookmarkStart w:id="58" w:name="_Toc487900350"/>
      <w:bookmarkStart w:id="59" w:name="_Toc279701241"/>
      <w:bookmarkStart w:id="60" w:name="_Toc13336"/>
      <w:bookmarkStart w:id="61" w:name="_Toc259093670"/>
      <w:bookmarkStart w:id="62" w:name="_Toc27635"/>
      <w:bookmarkStart w:id="63" w:name="_Toc32504"/>
      <w:r>
        <w:rPr>
          <w:rFonts w:hint="eastAsia" w:ascii="仿宋" w:hAnsi="仿宋" w:eastAsia="仿宋" w:cs="仿宋"/>
          <w:b/>
          <w:sz w:val="24"/>
        </w:rPr>
        <w:t>2.2 技术规范</w:t>
      </w:r>
      <w:bookmarkEnd w:id="58"/>
      <w:bookmarkEnd w:id="59"/>
      <w:bookmarkEnd w:id="60"/>
      <w:bookmarkEnd w:id="61"/>
      <w:bookmarkEnd w:id="62"/>
      <w:bookmarkEnd w:id="63"/>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4" w:name="_Toc487900351"/>
      <w:bookmarkStart w:id="65" w:name="_Toc31634"/>
      <w:bookmarkStart w:id="66" w:name="_Toc279701242"/>
      <w:bookmarkStart w:id="67" w:name="_Toc27853"/>
      <w:bookmarkStart w:id="68" w:name="_Toc259093671"/>
      <w:bookmarkStart w:id="69" w:name="_Toc9829"/>
      <w:r>
        <w:rPr>
          <w:rFonts w:hint="eastAsia" w:ascii="仿宋" w:hAnsi="仿宋" w:eastAsia="仿宋" w:cs="仿宋"/>
          <w:b/>
          <w:sz w:val="24"/>
        </w:rPr>
        <w:t>2.3 知识产权</w:t>
      </w:r>
      <w:bookmarkEnd w:id="64"/>
      <w:bookmarkEnd w:id="65"/>
      <w:bookmarkEnd w:id="66"/>
      <w:bookmarkEnd w:id="67"/>
      <w:bookmarkEnd w:id="68"/>
      <w:bookmarkEnd w:id="69"/>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0" w:name="_Toc29149"/>
      <w:bookmarkStart w:id="71" w:name="_Toc4194"/>
      <w:bookmarkStart w:id="72" w:name="_Toc11932"/>
      <w:r>
        <w:rPr>
          <w:rFonts w:hint="eastAsia" w:ascii="仿宋" w:hAnsi="仿宋" w:eastAsia="仿宋" w:cs="仿宋"/>
          <w:b/>
          <w:sz w:val="24"/>
        </w:rPr>
        <w:t>2.4 包装和装运</w:t>
      </w:r>
      <w:bookmarkEnd w:id="70"/>
      <w:bookmarkEnd w:id="71"/>
      <w:bookmarkEnd w:id="72"/>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3" w:name="_Ref467379542"/>
      <w:bookmarkStart w:id="74" w:name="_Toc259093674"/>
      <w:bookmarkStart w:id="75" w:name="_Ref467378541"/>
      <w:bookmarkStart w:id="76" w:name="_Ref467378591"/>
      <w:bookmarkStart w:id="77" w:name="_Ref467379536"/>
      <w:bookmarkStart w:id="78" w:name="_Toc487900354"/>
      <w:bookmarkStart w:id="79" w:name="_Ref467379527"/>
      <w:bookmarkStart w:id="80" w:name="_Toc279701245"/>
      <w:bookmarkStart w:id="81" w:name="_Toc30272"/>
      <w:bookmarkStart w:id="82" w:name="_Toc26182"/>
      <w:bookmarkStart w:id="83" w:name="_Toc19074"/>
      <w:r>
        <w:rPr>
          <w:rFonts w:hint="eastAsia" w:ascii="仿宋" w:hAnsi="仿宋" w:eastAsia="仿宋" w:cs="仿宋"/>
          <w:b/>
          <w:sz w:val="24"/>
        </w:rPr>
        <w:t>2.</w:t>
      </w:r>
      <w:bookmarkEnd w:id="73"/>
      <w:bookmarkEnd w:id="74"/>
      <w:bookmarkEnd w:id="75"/>
      <w:bookmarkEnd w:id="76"/>
      <w:bookmarkEnd w:id="77"/>
      <w:bookmarkEnd w:id="78"/>
      <w:bookmarkEnd w:id="79"/>
      <w:bookmarkEnd w:id="80"/>
      <w:r>
        <w:rPr>
          <w:rFonts w:hint="eastAsia" w:ascii="仿宋" w:hAnsi="仿宋" w:eastAsia="仿宋" w:cs="仿宋"/>
          <w:b/>
          <w:sz w:val="24"/>
        </w:rPr>
        <w:t>5 履约检查和问题反馈</w:t>
      </w:r>
      <w:bookmarkEnd w:id="81"/>
      <w:bookmarkEnd w:id="82"/>
      <w:bookmarkEnd w:id="83"/>
    </w:p>
    <w:p>
      <w:pPr>
        <w:spacing w:line="560" w:lineRule="exact"/>
        <w:ind w:firstLine="480" w:firstLineChars="200"/>
        <w:rPr>
          <w:rFonts w:ascii="仿宋" w:hAnsi="仿宋" w:eastAsia="仿宋" w:cs="仿宋"/>
          <w:sz w:val="24"/>
        </w:rPr>
      </w:pPr>
      <w:bookmarkStart w:id="84" w:name="_Ref467379657"/>
      <w:r>
        <w:rPr>
          <w:rFonts w:hint="eastAsia" w:ascii="仿宋" w:hAnsi="仿宋" w:eastAsia="仿宋" w:cs="仿宋"/>
          <w:sz w:val="24"/>
        </w:rPr>
        <w:t>2.5.1</w:t>
      </w:r>
      <w:bookmarkEnd w:id="84"/>
      <w:bookmarkStart w:id="85" w:name="_Toc186431854"/>
      <w:bookmarkStart w:id="86" w:name="_Ref467379807"/>
      <w:bookmarkStart w:id="87" w:name="_Toc279701247"/>
      <w:bookmarkStart w:id="88" w:name="_Ref467379793"/>
      <w:bookmarkStart w:id="89" w:name="_Toc259093676"/>
      <w:bookmarkStart w:id="90" w:name="_Toc48790035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sz w:val="24"/>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cs="仿宋"/>
          <w:b/>
          <w:sz w:val="24"/>
        </w:rPr>
      </w:pPr>
      <w:bookmarkStart w:id="92" w:name="_Toc487900358"/>
      <w:bookmarkStart w:id="93" w:name="_Toc259093677"/>
      <w:bookmarkStart w:id="94" w:name="_Ref467379852"/>
      <w:bookmarkStart w:id="95" w:name="_Ref467379863"/>
      <w:bookmarkStart w:id="96" w:name="_Ref467379923"/>
      <w:bookmarkStart w:id="97" w:name="_Toc279701248"/>
      <w:bookmarkStart w:id="98" w:name="_Toc16110"/>
      <w:bookmarkStart w:id="99" w:name="_Toc774"/>
      <w:bookmarkStart w:id="100" w:name="_Toc3225"/>
      <w:r>
        <w:rPr>
          <w:rFonts w:hint="eastAsia" w:ascii="仿宋" w:hAnsi="仿宋" w:eastAsia="仿宋" w:cs="仿宋"/>
          <w:b/>
          <w:sz w:val="24"/>
        </w:rPr>
        <w:t>2.6 技术资料</w:t>
      </w:r>
      <w:bookmarkEnd w:id="92"/>
      <w:bookmarkEnd w:id="93"/>
      <w:bookmarkEnd w:id="94"/>
      <w:bookmarkEnd w:id="95"/>
      <w:bookmarkEnd w:id="96"/>
      <w:bookmarkEnd w:id="97"/>
      <w:r>
        <w:rPr>
          <w:rFonts w:hint="eastAsia" w:ascii="仿宋" w:hAnsi="仿宋" w:eastAsia="仿宋" w:cs="仿宋"/>
          <w:b/>
          <w:sz w:val="24"/>
        </w:rPr>
        <w:t>和保密义务</w:t>
      </w:r>
      <w:bookmarkEnd w:id="98"/>
      <w:bookmarkEnd w:id="99"/>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1" w:name="_Toc7860"/>
      <w:r>
        <w:rPr>
          <w:rFonts w:hint="eastAsia" w:ascii="仿宋" w:hAnsi="仿宋" w:eastAsia="仿宋" w:cs="仿宋"/>
          <w:b/>
          <w:sz w:val="24"/>
        </w:rPr>
        <w:t>2.7 质量保证</w:t>
      </w:r>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2" w:name="_Toc17244"/>
      <w:bookmarkStart w:id="103" w:name="_Toc279701252"/>
      <w:bookmarkStart w:id="104" w:name="_Toc487900362"/>
      <w:bookmarkStart w:id="105" w:name="_Toc259093681"/>
      <w:r>
        <w:rPr>
          <w:rFonts w:hint="eastAsia" w:ascii="仿宋" w:hAnsi="仿宋" w:eastAsia="仿宋" w:cs="仿宋"/>
          <w:b/>
          <w:sz w:val="24"/>
        </w:rPr>
        <w:t>2.8 货物的风险负担</w:t>
      </w:r>
      <w:bookmarkEnd w:id="102"/>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6" w:name="_Toc14055"/>
      <w:r>
        <w:rPr>
          <w:rFonts w:hint="eastAsia" w:ascii="仿宋" w:hAnsi="仿宋" w:eastAsia="仿宋" w:cs="仿宋"/>
          <w:b/>
          <w:sz w:val="24"/>
        </w:rPr>
        <w:t>2.9 延迟交货</w:t>
      </w:r>
      <w:bookmarkEnd w:id="103"/>
      <w:bookmarkEnd w:id="104"/>
      <w:bookmarkEnd w:id="105"/>
      <w:bookmarkEnd w:id="106"/>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7" w:name="_Toc7502"/>
      <w:bookmarkStart w:id="108" w:name="_Toc279701254"/>
      <w:bookmarkStart w:id="109" w:name="_Toc259093683"/>
      <w:bookmarkStart w:id="110" w:name="_Ref467378121"/>
      <w:bookmarkStart w:id="111" w:name="_Toc487900364"/>
      <w:r>
        <w:rPr>
          <w:rFonts w:hint="eastAsia" w:ascii="仿宋" w:hAnsi="仿宋" w:eastAsia="仿宋" w:cs="仿宋"/>
          <w:b/>
          <w:sz w:val="24"/>
        </w:rPr>
        <w:t>2.10 合同变更</w:t>
      </w:r>
      <w:bookmarkEnd w:id="107"/>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2" w:name="_Toc279701259"/>
      <w:bookmarkStart w:id="113" w:name="_Toc259093688"/>
      <w:bookmarkStart w:id="114" w:name="_Toc487900369"/>
    </w:p>
    <w:p>
      <w:pPr>
        <w:spacing w:line="560" w:lineRule="exact"/>
        <w:ind w:firstLine="482" w:firstLineChars="200"/>
        <w:outlineLvl w:val="0"/>
        <w:rPr>
          <w:rFonts w:ascii="仿宋" w:hAnsi="仿宋" w:eastAsia="仿宋" w:cs="仿宋"/>
          <w:b/>
          <w:sz w:val="24"/>
        </w:rPr>
      </w:pPr>
      <w:bookmarkStart w:id="115" w:name="_Toc10366"/>
      <w:bookmarkStart w:id="116" w:name="_Toc22955"/>
      <w:bookmarkStart w:id="117" w:name="_Toc15237"/>
      <w:r>
        <w:rPr>
          <w:rFonts w:hint="eastAsia" w:ascii="仿宋" w:hAnsi="仿宋" w:eastAsia="仿宋" w:cs="仿宋"/>
          <w:b/>
          <w:sz w:val="24"/>
        </w:rPr>
        <w:t>2.11 合同转让</w:t>
      </w:r>
      <w:bookmarkEnd w:id="112"/>
      <w:bookmarkEnd w:id="113"/>
      <w:bookmarkEnd w:id="114"/>
      <w:r>
        <w:rPr>
          <w:rFonts w:hint="eastAsia" w:ascii="仿宋" w:hAnsi="仿宋" w:eastAsia="仿宋" w:cs="仿宋"/>
          <w:b/>
          <w:sz w:val="24"/>
        </w:rPr>
        <w:t>和分包</w:t>
      </w:r>
      <w:bookmarkEnd w:id="115"/>
      <w:bookmarkEnd w:id="116"/>
      <w:bookmarkEnd w:id="117"/>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8" w:name="_Toc14066"/>
      <w:bookmarkStart w:id="119" w:name="_Toc16508"/>
      <w:bookmarkStart w:id="120" w:name="_Toc13566"/>
      <w:r>
        <w:rPr>
          <w:rFonts w:hint="eastAsia" w:ascii="仿宋" w:hAnsi="仿宋" w:eastAsia="仿宋" w:cs="仿宋"/>
          <w:b/>
          <w:sz w:val="24"/>
        </w:rPr>
        <w:t>2.12 不可抗力</w:t>
      </w:r>
      <w:bookmarkEnd w:id="118"/>
      <w:bookmarkEnd w:id="119"/>
      <w:bookmarkEnd w:id="120"/>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1" w:name="_Toc487900365"/>
      <w:bookmarkStart w:id="122" w:name="_Toc259093684"/>
      <w:bookmarkStart w:id="123" w:name="_Toc30676"/>
      <w:bookmarkStart w:id="124" w:name="_Toc279701255"/>
      <w:bookmarkStart w:id="125" w:name="_Toc6969"/>
      <w:bookmarkStart w:id="126" w:name="_Toc689"/>
      <w:r>
        <w:rPr>
          <w:rFonts w:hint="eastAsia" w:ascii="仿宋" w:hAnsi="仿宋" w:eastAsia="仿宋" w:cs="仿宋"/>
          <w:b/>
          <w:sz w:val="24"/>
        </w:rPr>
        <w:t>2.13 税费</w:t>
      </w:r>
      <w:bookmarkEnd w:id="121"/>
      <w:bookmarkEnd w:id="122"/>
      <w:bookmarkEnd w:id="123"/>
      <w:bookmarkEnd w:id="124"/>
      <w:bookmarkEnd w:id="125"/>
      <w:bookmarkEnd w:id="126"/>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7" w:name="_Toc487900368"/>
      <w:bookmarkStart w:id="128" w:name="_Toc16959"/>
      <w:bookmarkStart w:id="129" w:name="_Toc279701258"/>
      <w:bookmarkStart w:id="130" w:name="_Toc7102"/>
      <w:bookmarkStart w:id="131" w:name="_Toc8298"/>
      <w:bookmarkStart w:id="132" w:name="_Toc259093687"/>
      <w:r>
        <w:rPr>
          <w:rFonts w:hint="eastAsia" w:ascii="仿宋" w:hAnsi="仿宋" w:eastAsia="仿宋" w:cs="仿宋"/>
          <w:b/>
          <w:sz w:val="24"/>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3" w:name="_Toc29333"/>
      <w:bookmarkStart w:id="134" w:name="_Toc15387"/>
      <w:bookmarkStart w:id="135" w:name="_Toc6134"/>
      <w:r>
        <w:rPr>
          <w:rFonts w:hint="eastAsia" w:ascii="仿宋" w:hAnsi="仿宋" w:eastAsia="仿宋" w:cs="仿宋"/>
          <w:b/>
          <w:sz w:val="24"/>
        </w:rPr>
        <w:t>2.15 合同中止、终止</w:t>
      </w:r>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6" w:name="_Toc6596"/>
      <w:bookmarkStart w:id="137" w:name="_Toc14563"/>
      <w:bookmarkStart w:id="138" w:name="_Toc1125"/>
      <w:r>
        <w:rPr>
          <w:rFonts w:hint="eastAsia" w:ascii="仿宋" w:hAnsi="仿宋" w:eastAsia="仿宋" w:cs="仿宋"/>
          <w:b/>
          <w:sz w:val="24"/>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8"/>
    <w:bookmarkEnd w:id="109"/>
    <w:bookmarkEnd w:id="110"/>
    <w:bookmarkEnd w:id="111"/>
    <w:p>
      <w:pPr>
        <w:spacing w:line="560" w:lineRule="exact"/>
        <w:ind w:firstLine="482" w:firstLineChars="200"/>
        <w:outlineLvl w:val="0"/>
        <w:rPr>
          <w:rFonts w:ascii="仿宋" w:hAnsi="仿宋" w:eastAsia="仿宋" w:cs="仿宋"/>
          <w:b/>
          <w:sz w:val="24"/>
        </w:rPr>
      </w:pPr>
      <w:bookmarkStart w:id="139" w:name="_Toc487900371"/>
      <w:bookmarkStart w:id="140" w:name="_Toc259093690"/>
      <w:bookmarkStart w:id="141" w:name="_Toc279701261"/>
      <w:bookmarkStart w:id="142" w:name="_Toc11284"/>
      <w:bookmarkStart w:id="143" w:name="_Toc19604"/>
      <w:bookmarkStart w:id="144" w:name="_Toc25182"/>
      <w:r>
        <w:rPr>
          <w:rFonts w:hint="eastAsia" w:ascii="仿宋" w:hAnsi="仿宋" w:eastAsia="仿宋" w:cs="仿宋"/>
          <w:b/>
          <w:sz w:val="24"/>
        </w:rPr>
        <w:t>2.17 通知</w:t>
      </w:r>
      <w:bookmarkEnd w:id="139"/>
      <w:bookmarkEnd w:id="140"/>
      <w:bookmarkEnd w:id="141"/>
      <w:r>
        <w:rPr>
          <w:rFonts w:hint="eastAsia" w:ascii="仿宋" w:hAnsi="仿宋" w:eastAsia="仿宋" w:cs="仿宋"/>
          <w:b/>
          <w:sz w:val="24"/>
        </w:rPr>
        <w:t>和送达</w:t>
      </w:r>
      <w:bookmarkEnd w:id="142"/>
      <w:bookmarkEnd w:id="143"/>
      <w:bookmarkEnd w:id="144"/>
    </w:p>
    <w:p>
      <w:pPr>
        <w:spacing w:line="560" w:lineRule="exact"/>
        <w:ind w:firstLine="480" w:firstLineChars="200"/>
        <w:rPr>
          <w:rFonts w:ascii="仿宋" w:hAnsi="仿宋" w:eastAsia="仿宋" w:cs="仿宋"/>
          <w:sz w:val="24"/>
        </w:rPr>
      </w:pPr>
      <w:bookmarkStart w:id="145" w:name="_Toc3135"/>
      <w:bookmarkStart w:id="146" w:name="_Toc6698"/>
      <w:bookmarkStart w:id="147" w:name="_Toc259093691"/>
      <w:bookmarkStart w:id="148" w:name="_Toc487900372"/>
      <w:bookmarkStart w:id="149" w:name="_Toc279701262"/>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cs="仿宋"/>
          <w:sz w:val="24"/>
        </w:rPr>
      </w:pPr>
      <w:bookmarkStart w:id="150" w:name="_Toc23128"/>
      <w:bookmarkStart w:id="151"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ascii="仿宋" w:hAnsi="仿宋" w:eastAsia="仿宋" w:cs="仿宋"/>
          <w:b/>
          <w:sz w:val="24"/>
        </w:rPr>
      </w:pPr>
      <w:bookmarkStart w:id="152" w:name="_Toc18540"/>
      <w:bookmarkStart w:id="153" w:name="_Toc30599"/>
      <w:bookmarkStart w:id="154" w:name="_Toc4355"/>
      <w:r>
        <w:rPr>
          <w:rFonts w:hint="eastAsia" w:ascii="仿宋" w:hAnsi="仿宋" w:eastAsia="仿宋" w:cs="仿宋"/>
          <w:b/>
          <w:sz w:val="24"/>
        </w:rPr>
        <w:t>2.18 计量单位</w:t>
      </w:r>
      <w:bookmarkEnd w:id="147"/>
      <w:bookmarkEnd w:id="148"/>
      <w:bookmarkEnd w:id="149"/>
      <w:bookmarkEnd w:id="152"/>
      <w:bookmarkEnd w:id="153"/>
      <w:bookmarkEnd w:id="154"/>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5" w:name="_Toc18567"/>
      <w:bookmarkStart w:id="156" w:name="_Toc10330"/>
      <w:bookmarkStart w:id="157" w:name="_Toc487900373"/>
      <w:bookmarkStart w:id="158" w:name="_Toc12773"/>
      <w:bookmarkStart w:id="159" w:name="_Toc279701263"/>
      <w:bookmarkStart w:id="160" w:name="_Toc259093692"/>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1" w:name="_Toc279701264"/>
      <w:bookmarkStart w:id="162" w:name="_Toc16673"/>
      <w:bookmarkStart w:id="163" w:name="_Toc12004"/>
      <w:bookmarkStart w:id="164" w:name="_Toc259093693"/>
      <w:bookmarkStart w:id="165" w:name="_Toc3148"/>
      <w:bookmarkStart w:id="166" w:name="_Toc487900374"/>
      <w:r>
        <w:rPr>
          <w:rFonts w:hint="eastAsia" w:ascii="仿宋" w:hAnsi="仿宋" w:eastAsia="仿宋" w:cs="仿宋"/>
          <w:b/>
          <w:sz w:val="24"/>
        </w:rPr>
        <w:t>2.20 履约保证金</w:t>
      </w:r>
      <w:bookmarkEnd w:id="161"/>
      <w:bookmarkEnd w:id="162"/>
      <w:bookmarkEnd w:id="163"/>
      <w:bookmarkEnd w:id="164"/>
      <w:bookmarkEnd w:id="165"/>
    </w:p>
    <w:p>
      <w:pPr>
        <w:pStyle w:val="283"/>
        <w:spacing w:before="0" w:beforeAutospacing="0" w:after="0" w:afterAutospacing="0" w:line="360" w:lineRule="auto"/>
        <w:ind w:firstLine="420"/>
        <w:rPr>
          <w:rFonts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cs="仿宋"/>
          <w:b/>
          <w:sz w:val="24"/>
        </w:rPr>
      </w:pPr>
      <w:bookmarkStart w:id="167" w:name="_Toc14001"/>
      <w:bookmarkStart w:id="168" w:name="_Toc19890"/>
      <w:bookmarkStart w:id="169" w:name="_Toc6885"/>
      <w:r>
        <w:rPr>
          <w:rFonts w:hint="eastAsia" w:ascii="仿宋" w:hAnsi="仿宋" w:eastAsia="仿宋" w:cs="仿宋"/>
          <w:b/>
          <w:sz w:val="24"/>
        </w:rPr>
        <w:t>2.22合同份数</w:t>
      </w:r>
      <w:bookmarkEnd w:id="167"/>
      <w:bookmarkEnd w:id="168"/>
      <w:bookmarkEnd w:id="169"/>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Style w:val="282"/>
        <w:spacing w:line="560" w:lineRule="exact"/>
        <w:ind w:left="0" w:leftChars="0"/>
        <w:rPr>
          <w:rFonts w:ascii="仿宋" w:hAnsi="仿宋" w:eastAsia="仿宋" w:cs="仿宋"/>
          <w:b/>
          <w:szCs w:val="24"/>
        </w:rPr>
      </w:pPr>
      <w:r>
        <w:rPr>
          <w:rFonts w:hint="eastAsia" w:ascii="仿宋" w:hAnsi="仿宋" w:eastAsia="仿宋" w:cs="仿宋"/>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r>
        <w:rPr>
          <w:rFonts w:hint="eastAsia" w:ascii="仿宋" w:hAnsi="仿宋" w:eastAsia="仿宋" w:cs="仿宋"/>
          <w:kern w:val="0"/>
          <w:szCs w:val="24"/>
        </w:rPr>
        <w:br w:type="page"/>
      </w:r>
      <w:bookmarkStart w:id="170" w:name="_Toc331685784"/>
      <w:bookmarkEnd w:id="170"/>
      <w:r>
        <w:rPr>
          <w:rFonts w:hint="eastAsia" w:ascii="仿宋" w:hAnsi="仿宋" w:eastAsia="仿宋" w:cs="仿宋"/>
          <w:b/>
          <w:szCs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2.22 </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rPr>
        <w:t>1、</w:t>
      </w:r>
      <w:r>
        <w:rPr>
          <w:rFonts w:hint="eastAsia" w:ascii="仿宋_GB2312" w:hAnsi="宋体" w:eastAsia="仿宋_GB2312"/>
          <w:b/>
          <w:sz w:val="24"/>
          <w:highlight w:val="none"/>
        </w:rPr>
        <w:t>评标方法：</w:t>
      </w:r>
    </w:p>
    <w:p>
      <w:pPr>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1.1投标人或实质性响应招标文件的投标人具有三家以上（含）时，</w:t>
      </w:r>
      <w:r>
        <w:rPr>
          <w:rFonts w:hint="eastAsia" w:ascii="仿宋" w:hAnsi="仿宋" w:eastAsia="仿宋" w:cs="仿宋"/>
          <w:sz w:val="24"/>
          <w:highlight w:val="none"/>
        </w:rPr>
        <w:t>采用最低评标价法，投标文件满足采购文件全部实质性要求且投标报价最低的的供应商为中标候选人。有两家或两家以上供应商最后投标报价最低且相同的，由采购人代表开标现场随机抽签确定</w:t>
      </w:r>
      <w:r>
        <w:rPr>
          <w:rFonts w:hint="eastAsia" w:ascii="仿宋_GB2312" w:hAnsi="宋体" w:eastAsia="仿宋_GB2312"/>
          <w:sz w:val="24"/>
          <w:highlight w:val="none"/>
        </w:rPr>
        <w:t>。</w:t>
      </w:r>
    </w:p>
    <w:p>
      <w:pPr>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1.2如投标人或实质性响应招标文件的投标人只有两家时，采用竞争性谈判确定中标人;只有一家时，采用协商方式确定中标人，但须满足主要性能指标且价格不高于上限价。</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9"/>
        <w:spacing w:afterLines="0" w:line="440" w:lineRule="exact"/>
        <w:ind w:firstLine="0" w:firstLineChars="0"/>
        <w:rPr>
          <w:rFonts w:ascii="仿宋_GB2312" w:hAnsi="宋体" w:eastAsia="仿宋_GB2312"/>
          <w:szCs w:val="24"/>
        </w:rPr>
      </w:pPr>
    </w:p>
    <w:p>
      <w:pPr>
        <w:pStyle w:val="69"/>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绍兴市人民医院、华诚工程咨询集团有限公司</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9"/>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开户银行：                          账号：</w:t>
      </w:r>
    </w:p>
    <w:p>
      <w:pPr>
        <w:pStyle w:val="69"/>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9"/>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2"/>
        <w:tblpPr w:leftFromText="180" w:rightFromText="180" w:vertAnchor="text" w:horzAnchor="page" w:tblpXSpec="center" w:tblpY="127"/>
        <w:tblOverlap w:val="never"/>
        <w:tblW w:w="10295" w:type="dxa"/>
        <w:jc w:val="center"/>
        <w:tblLayout w:type="fixed"/>
        <w:tblCellMar>
          <w:top w:w="0" w:type="dxa"/>
          <w:left w:w="108" w:type="dxa"/>
          <w:bottom w:w="0" w:type="dxa"/>
          <w:right w:w="108" w:type="dxa"/>
        </w:tblCellMar>
      </w:tblPr>
      <w:tblGrid>
        <w:gridCol w:w="720"/>
        <w:gridCol w:w="1155"/>
        <w:gridCol w:w="1196"/>
        <w:gridCol w:w="1099"/>
        <w:gridCol w:w="1041"/>
        <w:gridCol w:w="1041"/>
        <w:gridCol w:w="1270"/>
        <w:gridCol w:w="825"/>
        <w:gridCol w:w="1097"/>
        <w:gridCol w:w="851"/>
      </w:tblGrid>
      <w:tr>
        <w:tblPrEx>
          <w:tblCellMar>
            <w:top w:w="0" w:type="dxa"/>
            <w:left w:w="108" w:type="dxa"/>
            <w:bottom w:w="0" w:type="dxa"/>
            <w:right w:w="108" w:type="dxa"/>
          </w:tblCellMar>
        </w:tblPrEx>
        <w:trPr>
          <w:trHeight w:val="76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序号</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仿宋"/>
                <w:kern w:val="0"/>
                <w:szCs w:val="21"/>
              </w:rPr>
            </w:pPr>
            <w:r>
              <w:rPr>
                <w:rFonts w:hint="eastAsia" w:ascii="仿宋" w:hAnsi="仿宋" w:eastAsia="仿宋" w:cs="仿宋"/>
                <w:kern w:val="0"/>
                <w:szCs w:val="21"/>
              </w:rPr>
              <w:t>产品名称</w:t>
            </w:r>
          </w:p>
        </w:tc>
        <w:tc>
          <w:tcPr>
            <w:tcW w:w="11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规格</w:t>
            </w:r>
          </w:p>
        </w:tc>
        <w:tc>
          <w:tcPr>
            <w:tcW w:w="109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仿宋"/>
                <w:kern w:val="0"/>
                <w:szCs w:val="21"/>
              </w:rPr>
            </w:pPr>
            <w:r>
              <w:rPr>
                <w:rFonts w:hint="eastAsia" w:ascii="仿宋" w:hAnsi="仿宋" w:eastAsia="仿宋" w:cs="仿宋"/>
                <w:kern w:val="0"/>
                <w:szCs w:val="21"/>
              </w:rPr>
              <w:t>最小计量单位</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投标上限单价(元)</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投标</w:t>
            </w:r>
          </w:p>
          <w:p>
            <w:pPr>
              <w:widowControl/>
              <w:jc w:val="center"/>
              <w:rPr>
                <w:rFonts w:ascii="仿宋" w:hAnsi="仿宋" w:eastAsia="仿宋" w:cs="仿宋"/>
                <w:kern w:val="0"/>
                <w:szCs w:val="21"/>
              </w:rPr>
            </w:pPr>
            <w:r>
              <w:rPr>
                <w:rFonts w:hint="eastAsia" w:ascii="仿宋" w:hAnsi="仿宋" w:eastAsia="仿宋" w:cs="仿宋"/>
                <w:kern w:val="0"/>
                <w:szCs w:val="21"/>
              </w:rPr>
              <w:t>单价(元)</w:t>
            </w:r>
          </w:p>
        </w:tc>
        <w:tc>
          <w:tcPr>
            <w:tcW w:w="127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预采购数量（吨/1年）</w:t>
            </w:r>
          </w:p>
        </w:tc>
        <w:tc>
          <w:tcPr>
            <w:tcW w:w="8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金额</w:t>
            </w:r>
          </w:p>
        </w:tc>
        <w:tc>
          <w:tcPr>
            <w:tcW w:w="109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szCs w:val="21"/>
              </w:rPr>
              <w:t>含量</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szCs w:val="21"/>
              </w:rPr>
            </w:pPr>
            <w:r>
              <w:rPr>
                <w:rFonts w:hint="eastAsia" w:ascii="仿宋" w:hAnsi="仿宋" w:eastAsia="仿宋" w:cs="仿宋"/>
                <w:szCs w:val="21"/>
              </w:rPr>
              <w:t>备注</w:t>
            </w:r>
          </w:p>
        </w:tc>
      </w:tr>
      <w:tr>
        <w:tblPrEx>
          <w:tblCellMar>
            <w:top w:w="0" w:type="dxa"/>
            <w:left w:w="108" w:type="dxa"/>
            <w:bottom w:w="0" w:type="dxa"/>
            <w:right w:w="108" w:type="dxa"/>
          </w:tblCellMar>
        </w:tblPrEx>
        <w:trPr>
          <w:trHeight w:val="540"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1</w:t>
            </w:r>
          </w:p>
        </w:tc>
        <w:tc>
          <w:tcPr>
            <w:tcW w:w="1155"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氯酸钠</w:t>
            </w:r>
          </w:p>
        </w:tc>
        <w:tc>
          <w:tcPr>
            <w:tcW w:w="1196"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Cs w:val="21"/>
              </w:rPr>
            </w:pPr>
            <w:r>
              <w:rPr>
                <w:rFonts w:hint="eastAsia" w:ascii="仿宋" w:hAnsi="仿宋" w:eastAsia="仿宋" w:cs="仿宋"/>
                <w:szCs w:val="21"/>
              </w:rPr>
              <w:t>25公斤/袋</w:t>
            </w:r>
          </w:p>
        </w:tc>
        <w:tc>
          <w:tcPr>
            <w:tcW w:w="109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吨</w:t>
            </w:r>
          </w:p>
        </w:tc>
        <w:tc>
          <w:tcPr>
            <w:tcW w:w="104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9500</w:t>
            </w:r>
          </w:p>
        </w:tc>
        <w:tc>
          <w:tcPr>
            <w:tcW w:w="1041"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Cs w:val="21"/>
              </w:rPr>
            </w:pPr>
          </w:p>
        </w:tc>
        <w:tc>
          <w:tcPr>
            <w:tcW w:w="1270"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26</w:t>
            </w:r>
          </w:p>
        </w:tc>
        <w:tc>
          <w:tcPr>
            <w:tcW w:w="8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p>
        </w:tc>
        <w:tc>
          <w:tcPr>
            <w:tcW w:w="1097"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≥99.5%</w:t>
            </w: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p>
        </w:tc>
      </w:tr>
      <w:tr>
        <w:tblPrEx>
          <w:tblCellMar>
            <w:top w:w="0" w:type="dxa"/>
            <w:left w:w="108" w:type="dxa"/>
            <w:bottom w:w="0" w:type="dxa"/>
            <w:right w:w="108" w:type="dxa"/>
          </w:tblCellMar>
        </w:tblPrEx>
        <w:trPr>
          <w:trHeight w:val="540" w:hRule="atLeast"/>
          <w:jc w:val="center"/>
        </w:trPr>
        <w:tc>
          <w:tcPr>
            <w:tcW w:w="3071" w:type="dxa"/>
            <w:gridSpan w:val="3"/>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Cs w:val="21"/>
              </w:rPr>
            </w:pPr>
            <w:r>
              <w:rPr>
                <w:rFonts w:hint="eastAsia" w:ascii="仿宋" w:hAnsi="仿宋" w:eastAsia="仿宋" w:cs="宋体"/>
                <w:kern w:val="0"/>
                <w:szCs w:val="21"/>
              </w:rPr>
              <w:t>投标总价=投标单价*参考用量</w:t>
            </w: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仿宋"/>
                <w:szCs w:val="21"/>
              </w:rPr>
            </w:pPr>
            <w:r>
              <w:rPr>
                <w:rFonts w:hint="eastAsia" w:ascii="仿宋" w:hAnsi="仿宋" w:eastAsia="仿宋" w:cs="仿宋"/>
                <w:szCs w:val="21"/>
              </w:rPr>
              <w:t>小写：</w:t>
            </w:r>
          </w:p>
        </w:tc>
      </w:tr>
      <w:tr>
        <w:tblPrEx>
          <w:tblCellMar>
            <w:top w:w="0" w:type="dxa"/>
            <w:left w:w="108" w:type="dxa"/>
            <w:bottom w:w="0" w:type="dxa"/>
            <w:right w:w="108" w:type="dxa"/>
          </w:tblCellMar>
        </w:tblPrEx>
        <w:trPr>
          <w:trHeight w:val="540" w:hRule="atLeast"/>
          <w:jc w:val="center"/>
        </w:trPr>
        <w:tc>
          <w:tcPr>
            <w:tcW w:w="3071" w:type="dxa"/>
            <w:gridSpan w:val="3"/>
            <w:vMerge w:val="continue"/>
            <w:tcBorders>
              <w:top w:val="single" w:color="auto" w:sz="4" w:space="0"/>
              <w:left w:val="single" w:color="auto" w:sz="4" w:space="0"/>
              <w:bottom w:val="single" w:color="auto" w:sz="4" w:space="0"/>
              <w:right w:val="single" w:color="auto" w:sz="4" w:space="0"/>
            </w:tcBorders>
            <w:noWrap/>
            <w:vAlign w:val="center"/>
          </w:tcPr>
          <w:p>
            <w:pPr>
              <w:ind w:firstLine="315" w:firstLineChars="150"/>
              <w:rPr>
                <w:rFonts w:ascii="仿宋" w:hAnsi="仿宋" w:eastAsia="仿宋" w:cs="仿宋"/>
                <w:szCs w:val="21"/>
              </w:rPr>
            </w:pP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仿宋"/>
                <w:szCs w:val="21"/>
              </w:rPr>
            </w:pPr>
            <w:r>
              <w:rPr>
                <w:rFonts w:hint="eastAsia" w:ascii="仿宋" w:hAnsi="仿宋" w:eastAsia="仿宋" w:cs="仿宋"/>
                <w:szCs w:val="21"/>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5"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1.95pt;width:390.0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rPr>
      </w:pPr>
      <w:r>
        <w:rPr>
          <w:rFonts w:hint="eastAsia" w:hAnsi="仿宋_GB2312" w:cs="仿宋_GB2312"/>
        </w:rPr>
        <w:t>（4）法定代表人身份证明书………………………………………………………（页码）</w:t>
      </w:r>
    </w:p>
    <w:p>
      <w:pPr>
        <w:pStyle w:val="192"/>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2"/>
        <w:spacing w:line="360" w:lineRule="auto"/>
        <w:ind w:left="0" w:firstLine="0" w:firstLineChars="0"/>
        <w:rPr>
          <w:rFonts w:hAnsi="仿宋_GB2312" w:cs="仿宋_GB2312"/>
        </w:rPr>
      </w:pPr>
      <w:r>
        <w:rPr>
          <w:rFonts w:hint="eastAsia" w:hAnsi="仿宋_GB2312" w:cs="仿宋_GB2312"/>
        </w:rPr>
        <w:t>（7）投标人售后服务证明材料……………………………………………………（页码）</w:t>
      </w:r>
    </w:p>
    <w:p>
      <w:pPr>
        <w:pStyle w:val="192"/>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（9）廉政承诺书 …………………………………………………………………（页码）</w:t>
      </w:r>
    </w:p>
    <w:p>
      <w:pPr>
        <w:pStyle w:val="192"/>
        <w:spacing w:line="360" w:lineRule="auto"/>
        <w:ind w:left="0" w:firstLine="0" w:firstLineChars="0"/>
        <w:rPr>
          <w:rFonts w:hAnsi="仿宋_GB2312" w:cs="仿宋_GB2312"/>
        </w:rPr>
      </w:pPr>
      <w:r>
        <w:rPr>
          <w:rFonts w:hint="eastAsia" w:hAnsi="仿宋_GB2312" w:cs="仿宋_GB2312"/>
        </w:rPr>
        <w:t>（10）技术解决方案………………………………………………………………（页码）</w:t>
      </w:r>
    </w:p>
    <w:p>
      <w:pPr>
        <w:pStyle w:val="192"/>
        <w:spacing w:line="360" w:lineRule="auto"/>
        <w:ind w:left="0" w:firstLine="0" w:firstLineChars="0"/>
        <w:rPr>
          <w:rFonts w:hAnsi="仿宋_GB2312" w:cs="仿宋_GB2312"/>
        </w:rPr>
      </w:pPr>
      <w:r>
        <w:rPr>
          <w:rFonts w:hint="eastAsia" w:hAnsi="仿宋_GB2312" w:cs="仿宋_GB2312"/>
        </w:rPr>
        <w:t>（11）技术偏离说明表……………………………………………………………（页码）</w:t>
      </w:r>
    </w:p>
    <w:p>
      <w:pPr>
        <w:pStyle w:val="192"/>
        <w:spacing w:line="360" w:lineRule="auto"/>
        <w:ind w:left="0" w:firstLine="0" w:firstLineChars="0"/>
        <w:rPr>
          <w:rFonts w:hAnsi="仿宋_GB2312" w:cs="仿宋_GB2312"/>
        </w:rPr>
      </w:pPr>
      <w:r>
        <w:rPr>
          <w:rFonts w:hint="eastAsia" w:hAnsi="仿宋_GB2312" w:cs="仿宋_GB2312"/>
        </w:rPr>
        <w:t>（12）组织实施方案………………………………………………………………（页码）</w:t>
      </w:r>
    </w:p>
    <w:p>
      <w:pPr>
        <w:pStyle w:val="192"/>
        <w:spacing w:line="360" w:lineRule="auto"/>
        <w:ind w:left="0" w:firstLine="0" w:firstLineChars="0"/>
        <w:rPr>
          <w:rFonts w:hAnsi="仿宋_GB2312" w:cs="仿宋_GB2312"/>
        </w:rPr>
      </w:pPr>
      <w:r>
        <w:rPr>
          <w:rFonts w:hint="eastAsia" w:hAnsi="仿宋_GB2312" w:cs="仿宋_GB2312"/>
        </w:rPr>
        <w:t>（13）售后服务方案………………………………………………………………（页码）</w:t>
      </w:r>
    </w:p>
    <w:p>
      <w:pPr>
        <w:pStyle w:val="192"/>
        <w:spacing w:line="360" w:lineRule="auto"/>
        <w:ind w:left="0" w:firstLine="0" w:firstLineChars="0"/>
        <w:rPr>
          <w:rFonts w:hAnsi="仿宋_GB2312" w:cs="仿宋_GB2312"/>
        </w:rPr>
      </w:pPr>
      <w:r>
        <w:rPr>
          <w:rFonts w:hint="eastAsia" w:hAnsi="仿宋_GB2312" w:cs="仿宋_GB2312"/>
        </w:rPr>
        <w:t>（14）项目小组人员名单…………………………………………………………（页码）</w:t>
      </w:r>
    </w:p>
    <w:p>
      <w:pPr>
        <w:pStyle w:val="192"/>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2"/>
        <w:spacing w:line="360" w:lineRule="auto"/>
        <w:ind w:left="0" w:firstLine="0" w:firstLineChars="0"/>
        <w:rPr>
          <w:rFonts w:hAnsi="仿宋_GB2312" w:cs="仿宋_GB2312"/>
          <w:b/>
          <w:bCs/>
        </w:rPr>
      </w:pPr>
      <w:r>
        <w:rPr>
          <w:rFonts w:hint="eastAsia" w:hAnsi="仿宋_GB2312" w:cs="仿宋_GB2312"/>
        </w:rPr>
        <w:t>（22）中小企业声明函……………………………………………………………（页码）</w:t>
      </w:r>
    </w:p>
    <w:p>
      <w:pPr>
        <w:pStyle w:val="192"/>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绍兴市人民医院、采购代理机构</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u w:val="single"/>
        </w:rPr>
        <w:t xml:space="preserve">                （项目名称） </w:t>
      </w:r>
      <w:r>
        <w:rPr>
          <w:rFonts w:hint="eastAsia" w:ascii="仿宋_GB2312" w:hAnsi="仿宋" w:eastAsia="仿宋_GB2312" w:cs="仿宋_GB2312"/>
          <w:sz w:val="24"/>
        </w:rPr>
        <w:t>（招标编号:）招标文件中关于申请人资格要求的下列条件：</w:t>
      </w:r>
    </w:p>
    <w:p>
      <w:pPr>
        <w:pStyle w:val="69"/>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3"/>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1.95pt;width:442.6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r>
        <w:rPr>
          <w:rFonts w:ascii="仿宋_GB2312" w:hAnsi="仿宋_GB2312" w:eastAsia="仿宋_GB2312" w:cs="仿宋_GB2312"/>
          <w:b/>
          <w:kern w:val="0"/>
          <w:sz w:val="28"/>
          <w:szCs w:val="28"/>
        </w:rPr>
        <w:object>
          <v:shape id="_x0000_i1027" o:spt="75" type="#_x0000_t75" style="height:41.95pt;width:442pt;" o:ole="t" filled="f" o:preferrelative="t" stroked="f" coordsize="21600,21600">
            <v:path/>
            <v:fill on="f" focussize="0,0"/>
            <v:stroke on="f" joinstyle="miter"/>
            <v:imagedata r:id="rId20" o:title=""/>
            <o:lock v:ext="edit" aspectratio="t"/>
            <w10:wrap type="none"/>
            <w10:anchorlock/>
          </v:shape>
          <o:OLEObject Type="Embed" ProgID="Package" ShapeID="_x0000_i1027" DrawAspect="Content" ObjectID="_1468075727" r:id="rId1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6" w:type="first"/>
          <w:footerReference r:id="rId8" w:type="first"/>
          <w:footerReference r:id="rId7"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1.95pt;width:390.05pt;" o:ole="t" filled="f" o:preferrelative="t" stroked="f" coordsize="21600,21600">
            <v:path/>
            <v:fill on="f" focussize="0,0"/>
            <v:stroke on="f" joinstyle="miter"/>
            <v:imagedata r:id="rId16" o:title=""/>
            <o:lock v:ext="edit" aspectratio="t"/>
            <w10:wrap type="none"/>
            <w10:anchorlock/>
          </v:shape>
          <o:OLEObject Type="Embed" ProgID="Package" ShapeID="_x0000_i1028" DrawAspect="Content" ObjectID="_1468075728" r:id="rId21">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9" w:type="first"/>
          <w:footerReference r:id="rId11" w:type="first"/>
          <w:footerReference r:id="rId10"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    联系传真：</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2" w:type="default"/>
      <w:footerReference r:id="rId13"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6F57C070"/>
    <w:multiLevelType w:val="singleLevel"/>
    <w:tmpl w:val="6F57C070"/>
    <w:lvl w:ilvl="0" w:tentative="0">
      <w:start w:val="4"/>
      <w:numFmt w:val="decimal"/>
      <w:lvlText w:val="%1."/>
      <w:lvlJc w:val="left"/>
      <w:pPr>
        <w:tabs>
          <w:tab w:val="left" w:pos="312"/>
        </w:tabs>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0901"/>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0A"/>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57E63"/>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5B94"/>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6EDC"/>
    <w:rsid w:val="00C47F0A"/>
    <w:rsid w:val="00C51D8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0150"/>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44B5A46"/>
    <w:rsid w:val="05816FE5"/>
    <w:rsid w:val="05D67AFA"/>
    <w:rsid w:val="05D82A2D"/>
    <w:rsid w:val="06397FBC"/>
    <w:rsid w:val="074804D3"/>
    <w:rsid w:val="07E8763E"/>
    <w:rsid w:val="07F5068E"/>
    <w:rsid w:val="0DA50108"/>
    <w:rsid w:val="0F227143"/>
    <w:rsid w:val="11DA00E3"/>
    <w:rsid w:val="134C274B"/>
    <w:rsid w:val="154C5B99"/>
    <w:rsid w:val="17E02C2C"/>
    <w:rsid w:val="1BD82632"/>
    <w:rsid w:val="1D2870CE"/>
    <w:rsid w:val="1DA12814"/>
    <w:rsid w:val="1EB2396E"/>
    <w:rsid w:val="2083327D"/>
    <w:rsid w:val="21A07278"/>
    <w:rsid w:val="21EF55AB"/>
    <w:rsid w:val="228422B4"/>
    <w:rsid w:val="22BB70C3"/>
    <w:rsid w:val="24D06C0B"/>
    <w:rsid w:val="25DC3954"/>
    <w:rsid w:val="276D681F"/>
    <w:rsid w:val="28EF5E90"/>
    <w:rsid w:val="2C331B33"/>
    <w:rsid w:val="2D0A4C43"/>
    <w:rsid w:val="2D3E5AF5"/>
    <w:rsid w:val="2ECD6CBC"/>
    <w:rsid w:val="2F4A3DD0"/>
    <w:rsid w:val="2F8310E0"/>
    <w:rsid w:val="2FA049C7"/>
    <w:rsid w:val="2FBB771F"/>
    <w:rsid w:val="303F7D00"/>
    <w:rsid w:val="31325453"/>
    <w:rsid w:val="320D7387"/>
    <w:rsid w:val="359F4312"/>
    <w:rsid w:val="35DC154A"/>
    <w:rsid w:val="37666BC5"/>
    <w:rsid w:val="3B20428D"/>
    <w:rsid w:val="3C9B238D"/>
    <w:rsid w:val="41146C25"/>
    <w:rsid w:val="4593486D"/>
    <w:rsid w:val="46FF308C"/>
    <w:rsid w:val="4E684095"/>
    <w:rsid w:val="52961E6C"/>
    <w:rsid w:val="54955613"/>
    <w:rsid w:val="55A734CB"/>
    <w:rsid w:val="56A65531"/>
    <w:rsid w:val="597B2CA5"/>
    <w:rsid w:val="5B920779"/>
    <w:rsid w:val="5D5C778E"/>
    <w:rsid w:val="5EAB17F0"/>
    <w:rsid w:val="61B44ECF"/>
    <w:rsid w:val="61C93625"/>
    <w:rsid w:val="63165FB6"/>
    <w:rsid w:val="63C94F54"/>
    <w:rsid w:val="653F7D14"/>
    <w:rsid w:val="665A3E71"/>
    <w:rsid w:val="666344C6"/>
    <w:rsid w:val="67AE763B"/>
    <w:rsid w:val="684D1945"/>
    <w:rsid w:val="685927E7"/>
    <w:rsid w:val="697E527C"/>
    <w:rsid w:val="6B7D6072"/>
    <w:rsid w:val="6C4E4249"/>
    <w:rsid w:val="6CBD7438"/>
    <w:rsid w:val="6F3C65DA"/>
    <w:rsid w:val="71AE1DA3"/>
    <w:rsid w:val="72E87C49"/>
    <w:rsid w:val="75204C9F"/>
    <w:rsid w:val="77D870BC"/>
    <w:rsid w:val="78873879"/>
    <w:rsid w:val="79D94471"/>
    <w:rsid w:val="7AA8652D"/>
    <w:rsid w:val="7C7575D0"/>
    <w:rsid w:val="7DFBB8BB"/>
    <w:rsid w:val="7E3808B5"/>
    <w:rsid w:val="7F403EC5"/>
    <w:rsid w:val="7F743B6E"/>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0"/>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next w:val="18"/>
    <w:link w:val="84"/>
    <w:qFormat/>
    <w:uiPriority w:val="0"/>
    <w:pPr>
      <w:spacing w:line="360" w:lineRule="auto"/>
    </w:pPr>
    <w:rPr>
      <w:rFonts w:eastAsia="仿宋_GB2312"/>
      <w:sz w:val="28"/>
    </w:rPr>
  </w:style>
  <w:style w:type="paragraph" w:customStyle="1" w:styleId="1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1"/>
    <w:semiHidden/>
    <w:qFormat/>
    <w:uiPriority w:val="0"/>
    <w:pPr>
      <w:widowControl/>
      <w:spacing w:afterLines="50"/>
    </w:pPr>
    <w:rPr>
      <w:b/>
      <w:bCs/>
      <w:kern w:val="0"/>
      <w:sz w:val="24"/>
      <w:szCs w:val="20"/>
    </w:rPr>
  </w:style>
  <w:style w:type="paragraph" w:styleId="40">
    <w:name w:val="Body Text First Indent"/>
    <w:basedOn w:val="17"/>
    <w:next w:val="1"/>
    <w:link w:val="202"/>
    <w:qFormat/>
    <w:uiPriority w:val="0"/>
    <w:pPr>
      <w:spacing w:after="120" w:line="240" w:lineRule="auto"/>
      <w:ind w:firstLine="420" w:firstLineChars="100"/>
    </w:pPr>
    <w:rPr>
      <w:rFonts w:eastAsia="宋体"/>
      <w:sz w:val="21"/>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仿宋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7"/>
    <w:link w:val="39"/>
    <w:semiHidden/>
    <w:qFormat/>
    <w:uiPriority w:val="0"/>
    <w:rPr>
      <w:rFonts w:eastAsia="宋体"/>
      <w:b/>
      <w:bCs/>
      <w:kern w:val="2"/>
      <w:sz w:val="24"/>
      <w:szCs w:val="24"/>
      <w:lang w:val="en-US" w:eastAsia="zh-CN" w:bidi="ar-SA"/>
    </w:rPr>
  </w:style>
  <w:style w:type="character" w:customStyle="1" w:styleId="202">
    <w:name w:val="正文首行缩进 Char"/>
    <w:basedOn w:val="162"/>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4"/>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oleObject" Target="embeddings/oleObject4.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44375</Words>
  <Characters>47200</Characters>
  <Lines>377</Lines>
  <Paragraphs>106</Paragraphs>
  <TotalTime>22</TotalTime>
  <ScaleCrop>false</ScaleCrop>
  <LinksUpToDate>false</LinksUpToDate>
  <CharactersWithSpaces>50600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2023-06-08T00:22:00Z</dcterms:created>
  <dc:creator>USER</dc:creator>
  <cp:lastModifiedBy>HC</cp:lastModifiedBy>
  <cp:lastPrinted>2022-02-14T11:21:00Z</cp:lastPrinted>
  <dcterms:modified xsi:type="dcterms:W3CDTF">2023-06-15T01:30:59Z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