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rPr>
      </w:pPr>
    </w:p>
    <w:p>
      <w:pPr>
        <w:jc w:val="center"/>
        <w:outlineLvl w:val="0"/>
        <w:rPr>
          <w:rFonts w:ascii="仿宋" w:hAnsi="仿宋" w:eastAsia="仿宋" w:cs="仿宋"/>
          <w:sz w:val="44"/>
        </w:rPr>
      </w:pPr>
      <w:r>
        <w:rPr>
          <w:rFonts w:hint="eastAsia" w:ascii="仿宋" w:hAnsi="仿宋" w:eastAsia="仿宋" w:cs="仿宋"/>
          <w:b/>
          <w:spacing w:val="-12"/>
          <w:sz w:val="48"/>
          <w:szCs w:val="48"/>
        </w:rPr>
        <w:t>绍兴市人民医院党建大花园建设项目</w:t>
      </w:r>
    </w:p>
    <w:p>
      <w:pPr>
        <w:jc w:val="center"/>
        <w:outlineLvl w:val="0"/>
        <w:rPr>
          <w:rFonts w:ascii="仿宋" w:hAnsi="仿宋" w:eastAsia="仿宋" w:cs="仿宋"/>
          <w:b/>
          <w:spacing w:val="-12"/>
          <w:sz w:val="48"/>
          <w:szCs w:val="48"/>
        </w:rPr>
      </w:pPr>
    </w:p>
    <w:p>
      <w:pPr>
        <w:jc w:val="center"/>
        <w:outlineLvl w:val="0"/>
        <w:rPr>
          <w:rFonts w:ascii="仿宋" w:hAnsi="仿宋" w:eastAsia="仿宋" w:cs="仿宋"/>
          <w:b/>
          <w:sz w:val="72"/>
          <w:szCs w:val="72"/>
        </w:rPr>
      </w:pPr>
      <w:r>
        <w:rPr>
          <w:rFonts w:hint="eastAsia" w:ascii="仿宋" w:hAnsi="仿宋" w:eastAsia="仿宋" w:cs="仿宋"/>
          <w:b/>
          <w:sz w:val="72"/>
          <w:szCs w:val="72"/>
        </w:rPr>
        <w:t>竞</w:t>
      </w:r>
    </w:p>
    <w:p>
      <w:pPr>
        <w:jc w:val="center"/>
        <w:outlineLvl w:val="0"/>
        <w:rPr>
          <w:rFonts w:ascii="仿宋" w:hAnsi="仿宋" w:eastAsia="仿宋" w:cs="仿宋"/>
          <w:b/>
          <w:sz w:val="72"/>
          <w:szCs w:val="72"/>
        </w:rPr>
      </w:pPr>
      <w:r>
        <w:rPr>
          <w:rFonts w:hint="eastAsia" w:ascii="仿宋" w:hAnsi="仿宋" w:eastAsia="仿宋" w:cs="仿宋"/>
          <w:b/>
          <w:sz w:val="72"/>
          <w:szCs w:val="72"/>
        </w:rPr>
        <w:t>争</w:t>
      </w:r>
    </w:p>
    <w:p>
      <w:pPr>
        <w:jc w:val="center"/>
        <w:outlineLvl w:val="0"/>
        <w:rPr>
          <w:rFonts w:ascii="仿宋" w:hAnsi="仿宋" w:eastAsia="仿宋" w:cs="仿宋"/>
          <w:b/>
          <w:sz w:val="72"/>
          <w:szCs w:val="72"/>
        </w:rPr>
      </w:pPr>
      <w:r>
        <w:rPr>
          <w:rFonts w:hint="eastAsia" w:ascii="仿宋" w:hAnsi="仿宋" w:eastAsia="仿宋" w:cs="仿宋"/>
          <w:b/>
          <w:sz w:val="72"/>
          <w:szCs w:val="72"/>
        </w:rPr>
        <w:t>性</w:t>
      </w:r>
    </w:p>
    <w:p>
      <w:pPr>
        <w:jc w:val="center"/>
        <w:outlineLvl w:val="0"/>
        <w:rPr>
          <w:rFonts w:ascii="仿宋" w:hAnsi="仿宋" w:eastAsia="仿宋" w:cs="仿宋"/>
          <w:b/>
          <w:sz w:val="72"/>
          <w:szCs w:val="72"/>
        </w:rPr>
      </w:pPr>
      <w:r>
        <w:rPr>
          <w:rFonts w:hint="eastAsia" w:ascii="仿宋" w:hAnsi="仿宋" w:eastAsia="仿宋" w:cs="仿宋"/>
          <w:b/>
          <w:sz w:val="72"/>
          <w:szCs w:val="72"/>
        </w:rPr>
        <w:t>磋</w:t>
      </w:r>
    </w:p>
    <w:p>
      <w:pPr>
        <w:jc w:val="center"/>
        <w:outlineLvl w:val="0"/>
        <w:rPr>
          <w:rFonts w:ascii="仿宋" w:hAnsi="仿宋" w:eastAsia="仿宋" w:cs="仿宋"/>
          <w:b/>
          <w:sz w:val="72"/>
          <w:szCs w:val="72"/>
        </w:rPr>
      </w:pPr>
      <w:r>
        <w:rPr>
          <w:rFonts w:hint="eastAsia" w:ascii="仿宋" w:hAnsi="仿宋" w:eastAsia="仿宋" w:cs="仿宋"/>
          <w:b/>
          <w:sz w:val="72"/>
          <w:szCs w:val="72"/>
        </w:rPr>
        <w:t>商</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b/>
          <w:sz w:val="72"/>
          <w:szCs w:val="72"/>
        </w:rPr>
      </w:pPr>
      <w:r>
        <w:rPr>
          <w:rFonts w:hint="eastAsia" w:ascii="仿宋" w:hAnsi="仿宋" w:eastAsia="仿宋" w:cs="仿宋"/>
          <w:b/>
          <w:sz w:val="72"/>
          <w:szCs w:val="72"/>
        </w:rPr>
        <w:t>件</w:t>
      </w: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rPr>
          <w:rFonts w:ascii="仿宋" w:hAnsi="仿宋" w:eastAsia="仿宋" w:cs="仿宋"/>
          <w:sz w:val="20"/>
          <w:szCs w:val="6"/>
        </w:rPr>
      </w:pPr>
      <w:r>
        <w:rPr>
          <w:rFonts w:hint="eastAsia" w:ascii="仿宋" w:hAnsi="仿宋" w:eastAsia="仿宋" w:cs="仿宋"/>
          <w:b/>
          <w:sz w:val="28"/>
          <w:szCs w:val="28"/>
        </w:rPr>
        <w:t>磋商编号:HCZB-2023-030</w:t>
      </w:r>
    </w:p>
    <w:tbl>
      <w:tblPr>
        <w:tblStyle w:val="88"/>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104358934"/>
              </w:rPr>
              <w:t>采购单</w:t>
            </w:r>
            <w:r>
              <w:rPr>
                <w:rFonts w:hint="eastAsia" w:ascii="仿宋" w:hAnsi="仿宋" w:eastAsia="仿宋" w:cs="仿宋"/>
                <w:spacing w:val="1"/>
                <w:kern w:val="0"/>
                <w:sz w:val="28"/>
                <w:szCs w:val="28"/>
                <w:fitText w:val="1680" w:id="1104358934"/>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101918114"/>
              </w:rPr>
              <w:t>监督单</w:t>
            </w:r>
            <w:r>
              <w:rPr>
                <w:rFonts w:hint="eastAsia" w:ascii="仿宋" w:hAnsi="仿宋" w:eastAsia="仿宋" w:cs="仿宋"/>
                <w:spacing w:val="1"/>
                <w:kern w:val="0"/>
                <w:sz w:val="28"/>
                <w:szCs w:val="28"/>
                <w:fitText w:val="1680" w:id="101918114"/>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ascii="仿宋" w:hAnsi="仿宋" w:eastAsia="仿宋" w:cs="仿宋"/>
          <w:b/>
          <w:sz w:val="44"/>
          <w:szCs w:val="44"/>
        </w:rPr>
      </w:pPr>
    </w:p>
    <w:p>
      <w:pPr>
        <w:rPr>
          <w:rFonts w:ascii="仿宋" w:hAnsi="仿宋" w:eastAsia="仿宋" w:cs="仿宋"/>
          <w:sz w:val="28"/>
        </w:rPr>
      </w:pPr>
    </w:p>
    <w:p>
      <w:pPr>
        <w:rPr>
          <w:rFonts w:ascii="仿宋" w:hAnsi="仿宋" w:eastAsia="仿宋" w:cs="仿宋"/>
          <w:sz w:val="28"/>
        </w:rPr>
      </w:pPr>
    </w:p>
    <w:p>
      <w:pPr>
        <w:rPr>
          <w:rFonts w:ascii="仿宋" w:hAnsi="仿宋" w:eastAsia="仿宋" w:cs="仿宋"/>
          <w:sz w:val="28"/>
        </w:rPr>
      </w:pPr>
    </w:p>
    <w:p>
      <w:pPr>
        <w:jc w:val="center"/>
        <w:rPr>
          <w:rFonts w:ascii="仿宋" w:hAnsi="仿宋" w:eastAsia="仿宋" w:cs="仿宋"/>
          <w:sz w:val="28"/>
        </w:rPr>
      </w:pPr>
      <w:r>
        <w:rPr>
          <w:rFonts w:hint="eastAsia" w:ascii="仿宋" w:hAnsi="仿宋" w:eastAsia="仿宋" w:cs="仿宋"/>
          <w:sz w:val="28"/>
        </w:rPr>
        <w:t>二零二三年 七 月</w:t>
      </w:r>
    </w:p>
    <w:p>
      <w:pPr>
        <w:jc w:val="center"/>
        <w:rPr>
          <w:rFonts w:ascii="仿宋" w:hAnsi="仿宋" w:eastAsia="仿宋" w:cs="仿宋"/>
          <w:b/>
          <w:sz w:val="44"/>
          <w:szCs w:val="44"/>
        </w:rPr>
        <w:sectPr>
          <w:headerReference r:id="rId5" w:type="first"/>
          <w:footerReference r:id="rId8" w:type="first"/>
          <w:headerReference r:id="rId3" w:type="default"/>
          <w:footerReference r:id="rId6" w:type="default"/>
          <w:headerReference r:id="rId4" w:type="even"/>
          <w:footerReference r:id="rId7" w:type="even"/>
          <w:pgSz w:w="11907" w:h="16840"/>
          <w:pgMar w:top="1474" w:right="1814" w:bottom="1474" w:left="1814" w:header="851" w:footer="851" w:gutter="0"/>
          <w:pgNumType w:start="2"/>
          <w:cols w:space="720" w:num="1"/>
          <w:titlePg/>
          <w:docGrid w:linePitch="286" w:charSpace="0"/>
        </w:sectPr>
      </w:pPr>
    </w:p>
    <w:p>
      <w:pPr>
        <w:jc w:val="center"/>
        <w:rPr>
          <w:rFonts w:ascii="仿宋" w:hAnsi="仿宋" w:eastAsia="仿宋" w:cs="仿宋"/>
          <w:b/>
          <w:sz w:val="44"/>
          <w:szCs w:val="44"/>
        </w:rPr>
      </w:pPr>
    </w:p>
    <w:p>
      <w:pPr>
        <w:ind w:right="1189" w:rightChars="566"/>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276" w:firstLineChars="353"/>
        <w:jc w:val="left"/>
        <w:rPr>
          <w:rFonts w:ascii="仿宋" w:hAnsi="仿宋" w:eastAsia="仿宋" w:cs="仿宋"/>
          <w:b/>
          <w:sz w:val="36"/>
          <w:szCs w:val="36"/>
        </w:rPr>
      </w:pPr>
      <w:r>
        <w:rPr>
          <w:rFonts w:hint="eastAsia" w:ascii="仿宋" w:hAnsi="仿宋" w:eastAsia="仿宋" w:cs="仿宋"/>
          <w:b/>
          <w:sz w:val="36"/>
          <w:szCs w:val="36"/>
        </w:rPr>
        <w:t>第一部分    竞争性磋商公告</w:t>
      </w:r>
    </w:p>
    <w:p>
      <w:pPr>
        <w:snapToGrid w:val="0"/>
        <w:spacing w:line="480" w:lineRule="auto"/>
        <w:ind w:firstLine="1276" w:firstLineChars="353"/>
        <w:jc w:val="left"/>
        <w:rPr>
          <w:rFonts w:ascii="仿宋" w:hAnsi="仿宋" w:eastAsia="仿宋" w:cs="仿宋"/>
          <w:b/>
          <w:sz w:val="36"/>
          <w:szCs w:val="36"/>
        </w:rPr>
      </w:pPr>
      <w:r>
        <w:rPr>
          <w:rFonts w:hint="eastAsia" w:ascii="仿宋" w:hAnsi="仿宋" w:eastAsia="仿宋" w:cs="仿宋"/>
          <w:b/>
          <w:sz w:val="36"/>
          <w:szCs w:val="36"/>
        </w:rPr>
        <w:t>第二部分    磋商须知</w:t>
      </w:r>
    </w:p>
    <w:p>
      <w:pPr>
        <w:snapToGrid w:val="0"/>
        <w:spacing w:line="480" w:lineRule="auto"/>
        <w:ind w:firstLine="1276" w:firstLineChars="353"/>
        <w:jc w:val="left"/>
        <w:rPr>
          <w:rFonts w:ascii="仿宋" w:hAnsi="仿宋" w:eastAsia="仿宋" w:cs="仿宋"/>
          <w:b/>
          <w:sz w:val="36"/>
          <w:szCs w:val="36"/>
        </w:rPr>
      </w:pPr>
      <w:r>
        <w:rPr>
          <w:rFonts w:hint="eastAsia" w:ascii="仿宋" w:hAnsi="仿宋" w:eastAsia="仿宋" w:cs="仿宋"/>
          <w:b/>
          <w:sz w:val="36"/>
          <w:szCs w:val="36"/>
        </w:rPr>
        <w:t>第三部分    磋商项目范围及要求</w:t>
      </w:r>
    </w:p>
    <w:p>
      <w:pPr>
        <w:snapToGrid w:val="0"/>
        <w:spacing w:line="480" w:lineRule="auto"/>
        <w:ind w:firstLine="1276" w:firstLineChars="353"/>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276" w:firstLineChars="353"/>
        <w:jc w:val="left"/>
        <w:rPr>
          <w:rFonts w:ascii="仿宋" w:hAnsi="仿宋" w:eastAsia="仿宋" w:cs="仿宋"/>
          <w:b/>
          <w:sz w:val="36"/>
          <w:szCs w:val="36"/>
        </w:rPr>
      </w:pPr>
      <w:r>
        <w:rPr>
          <w:rFonts w:hint="eastAsia" w:ascii="仿宋" w:hAnsi="仿宋" w:eastAsia="仿宋" w:cs="仿宋"/>
          <w:b/>
          <w:sz w:val="36"/>
          <w:szCs w:val="36"/>
        </w:rPr>
        <w:t>第五部分    磋商方法及标准</w:t>
      </w:r>
    </w:p>
    <w:p>
      <w:pPr>
        <w:snapToGrid w:val="0"/>
        <w:spacing w:line="480" w:lineRule="auto"/>
        <w:ind w:firstLine="1276" w:firstLineChars="353"/>
        <w:jc w:val="left"/>
        <w:rPr>
          <w:rFonts w:ascii="仿宋" w:hAnsi="仿宋" w:eastAsia="仿宋" w:cs="仿宋"/>
          <w:b/>
          <w:sz w:val="36"/>
          <w:szCs w:val="36"/>
        </w:rPr>
      </w:pPr>
      <w:r>
        <w:rPr>
          <w:rFonts w:hint="eastAsia" w:ascii="仿宋" w:hAnsi="仿宋" w:eastAsia="仿宋" w:cs="仿宋"/>
          <w:b/>
          <w:sz w:val="36"/>
          <w:szCs w:val="36"/>
        </w:rPr>
        <w:t>第六部分    磋商响应文件及其附件格式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widowControl/>
        <w:jc w:val="left"/>
        <w:rPr>
          <w:rFonts w:ascii="仿宋" w:hAnsi="仿宋" w:eastAsia="仿宋" w:cs="仿宋"/>
          <w:sz w:val="36"/>
          <w:szCs w:val="36"/>
        </w:rPr>
      </w:pPr>
      <w:r>
        <w:rPr>
          <w:rFonts w:hint="eastAsia" w:ascii="仿宋" w:hAnsi="仿宋" w:eastAsia="仿宋" w:cs="仿宋"/>
          <w:sz w:val="36"/>
          <w:szCs w:val="36"/>
        </w:rPr>
        <w:br w:type="page"/>
      </w:r>
    </w:p>
    <w:p>
      <w:pPr>
        <w:snapToGrid w:val="0"/>
        <w:spacing w:line="420" w:lineRule="exact"/>
        <w:jc w:val="center"/>
        <w:rPr>
          <w:rFonts w:ascii="仿宋" w:hAnsi="仿宋" w:eastAsia="仿宋" w:cs="仿宋"/>
          <w:b/>
          <w:sz w:val="36"/>
          <w:szCs w:val="36"/>
        </w:rPr>
      </w:pPr>
      <w:r>
        <w:rPr>
          <w:rFonts w:hint="eastAsia" w:ascii="仿宋" w:hAnsi="仿宋" w:eastAsia="仿宋" w:cs="仿宋"/>
          <w:b/>
          <w:sz w:val="36"/>
          <w:szCs w:val="36"/>
        </w:rPr>
        <w:t>第一部分 竞争性磋商公告</w:t>
      </w:r>
    </w:p>
    <w:p>
      <w:pPr>
        <w:rPr>
          <w:rFonts w:ascii="仿宋" w:hAnsi="仿宋" w:eastAsia="仿宋" w:cs="仿宋"/>
        </w:rPr>
      </w:pPr>
    </w:p>
    <w:p>
      <w:pPr>
        <w:spacing w:line="360" w:lineRule="auto"/>
        <w:ind w:firstLine="480" w:firstLineChars="200"/>
        <w:rPr>
          <w:rFonts w:ascii="仿宋" w:hAnsi="仿宋" w:eastAsia="仿宋" w:cs="仿宋"/>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p>
      <w:pPr>
        <w:pStyle w:val="153"/>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磋商编号：HCZB-2023-030</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项目名称：绍兴市人民医院党建大花园建设项目</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采购方式：竞争性磋商</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预算金额（元）：300000</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最高限价（元）：300000</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 绍兴市人民医院党建大花园建设项目</w:t>
      </w:r>
      <w:r>
        <w:rPr>
          <w:rFonts w:hint="eastAsia" w:ascii="仿宋" w:hAnsi="仿宋" w:eastAsia="仿宋" w:cs="仿宋"/>
          <w:szCs w:val="24"/>
        </w:rPr>
        <w:br w:type="textWrapping"/>
      </w:r>
      <w:r>
        <w:rPr>
          <w:rFonts w:hint="eastAsia" w:ascii="仿宋" w:hAnsi="仿宋" w:eastAsia="仿宋" w:cs="仿宋"/>
          <w:szCs w:val="24"/>
        </w:rPr>
        <w:t>  数量:1</w:t>
      </w:r>
      <w:r>
        <w:rPr>
          <w:rFonts w:hint="eastAsia" w:ascii="仿宋" w:hAnsi="仿宋" w:eastAsia="仿宋" w:cs="仿宋"/>
          <w:szCs w:val="24"/>
        </w:rPr>
        <w:br w:type="textWrapping"/>
      </w:r>
      <w:r>
        <w:rPr>
          <w:rFonts w:hint="eastAsia" w:ascii="仿宋" w:hAnsi="仿宋" w:eastAsia="仿宋" w:cs="仿宋"/>
          <w:szCs w:val="24"/>
        </w:rPr>
        <w:t>  预算金额（元）:300000 </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本项目（否）接受联合体投标。</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二、申请人的资格要求：</w:t>
      </w:r>
    </w:p>
    <w:p>
      <w:pPr>
        <w:pStyle w:val="153"/>
        <w:spacing w:after="120" w:line="440" w:lineRule="exact"/>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53"/>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2.以联合体形式参与磋商的，提供联合体协议（本项目不接受联合体投标或者供应商不以联合体形式参与磋商的，则不需要提供）；</w:t>
      </w:r>
    </w:p>
    <w:p>
      <w:pPr>
        <w:pStyle w:val="153"/>
        <w:spacing w:afterLines="0" w:line="440" w:lineRule="exact"/>
        <w:ind w:left="420" w:leftChars="200" w:firstLine="0" w:firstLineChars="0"/>
        <w:rPr>
          <w:rFonts w:ascii="仿宋" w:hAnsi="仿宋" w:eastAsia="仿宋" w:cs="仿宋"/>
          <w:color w:val="FF0000"/>
          <w:szCs w:val="24"/>
        </w:rPr>
      </w:pPr>
      <w:r>
        <w:rPr>
          <w:rFonts w:hint="eastAsia" w:ascii="仿宋" w:hAnsi="仿宋" w:eastAsia="仿宋" w:cs="仿宋"/>
          <w:color w:val="FF0000"/>
          <w:szCs w:val="24"/>
        </w:rPr>
        <w:t>3.落实政府采购政策需满足的资格要求：</w:t>
      </w:r>
    </w:p>
    <w:p>
      <w:pPr>
        <w:pStyle w:val="153"/>
        <w:spacing w:afterLines="0" w:line="440" w:lineRule="exact"/>
        <w:ind w:firstLine="420"/>
        <w:rPr>
          <w:rFonts w:ascii="仿宋" w:hAnsi="仿宋" w:eastAsia="仿宋" w:cs="仿宋"/>
          <w:szCs w:val="24"/>
        </w:rPr>
      </w:pPr>
      <w:r>
        <w:rPr>
          <w:rFonts w:hint="eastAsia" w:ascii="仿宋" w:hAnsi="仿宋" w:eastAsia="仿宋" w:cs="仿宋"/>
        </w:rPr>
        <w:sym w:font="Wingdings" w:char="00A8"/>
      </w:r>
      <w:r>
        <w:rPr>
          <w:rFonts w:hint="eastAsia" w:ascii="仿宋" w:hAnsi="仿宋" w:eastAsia="仿宋" w:cs="仿宋"/>
        </w:rPr>
        <w:t>无；</w:t>
      </w:r>
    </w:p>
    <w:p>
      <w:pPr>
        <w:spacing w:line="360" w:lineRule="auto"/>
        <w:ind w:firstLine="420" w:firstLineChars="200"/>
        <w:rPr>
          <w:rFonts w:ascii="仿宋" w:hAnsi="仿宋" w:eastAsia="仿宋" w:cs="仿宋"/>
          <w:sz w:val="24"/>
        </w:rPr>
      </w:pPr>
      <w:sdt>
        <w:sdtPr>
          <w:rPr>
            <w:rFonts w:hint="eastAsia" w:ascii="仿宋" w:hAnsi="仿宋" w:eastAsia="仿宋" w:cs="仿宋"/>
            <w:szCs w:val="21"/>
          </w:rPr>
          <w:id w:val="725337177"/>
        </w:sdtPr>
        <w:sdtEndPr>
          <w:rPr>
            <w:rFonts w:hint="eastAsia" w:ascii="仿宋" w:hAnsi="仿宋" w:eastAsia="仿宋" w:cs="仿宋"/>
            <w:szCs w:val="21"/>
          </w:rPr>
        </w:sdtEndPr>
        <w:sdtContent>
          <w:r>
            <w:rPr>
              <w:rFonts w:hint="eastAsia" w:ascii="仿宋" w:hAnsi="仿宋" w:eastAsia="仿宋" w:cs="仿宋"/>
            </w:rPr>
            <w:sym w:font="Wingdings" w:char="F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4.本项目的特定资格要求：无</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ascii="仿宋" w:hAnsi="仿宋" w:eastAsia="仿宋" w:cs="仿宋"/>
          <w:sz w:val="24"/>
        </w:rPr>
      </w:pPr>
      <w:r>
        <w:rPr>
          <w:rFonts w:hint="eastAsia" w:ascii="仿宋" w:hAnsi="仿宋" w:eastAsia="仿宋" w:cs="仿宋"/>
          <w:sz w:val="24"/>
        </w:rPr>
        <w:t>四、获取招标文件时间、地点及方式：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2023</w:t>
      </w:r>
      <w:r>
        <w:rPr>
          <w:rFonts w:hint="eastAsia" w:ascii="仿宋" w:hAnsi="仿宋" w:eastAsia="仿宋" w:cs="仿宋"/>
          <w:sz w:val="24"/>
        </w:rPr>
        <w:t>年月日上午8:30—11:30；下午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ascii="仿宋" w:hAnsi="仿宋" w:eastAsia="仿宋" w:cs="仿宋"/>
        </w:rPr>
      </w:pPr>
      <w:r>
        <w:rPr>
          <w:rFonts w:hint="eastAsia" w:ascii="仿宋" w:hAnsi="仿宋" w:eastAsia="仿宋" w:cs="仿宋"/>
          <w:sz w:val="24"/>
        </w:rPr>
        <w:t>3.采购文件售价：免费。</w:t>
      </w:r>
    </w:p>
    <w:p>
      <w:pPr>
        <w:spacing w:line="440" w:lineRule="exact"/>
        <w:ind w:firstLine="480" w:firstLineChars="200"/>
        <w:rPr>
          <w:rFonts w:ascii="仿宋" w:hAnsi="仿宋" w:eastAsia="仿宋" w:cs="仿宋"/>
          <w:sz w:val="24"/>
        </w:rPr>
      </w:pPr>
      <w:r>
        <w:rPr>
          <w:rFonts w:hint="eastAsia" w:ascii="仿宋" w:hAnsi="仿宋" w:eastAsia="仿宋" w:cs="仿宋"/>
          <w:sz w:val="24"/>
        </w:rPr>
        <w:t>五、投标截止时间及地点：供应商应于</w:t>
      </w:r>
      <w:r>
        <w:rPr>
          <w:rFonts w:hint="eastAsia" w:ascii="仿宋" w:hAnsi="仿宋" w:eastAsia="仿宋" w:cs="仿宋"/>
          <w:sz w:val="24"/>
          <w:u w:val="single"/>
        </w:rPr>
        <w:t>2023</w:t>
      </w:r>
      <w:r>
        <w:rPr>
          <w:rFonts w:hint="eastAsia" w:ascii="仿宋" w:hAnsi="仿宋" w:eastAsia="仿宋" w:cs="仿宋"/>
          <w:sz w:val="24"/>
        </w:rPr>
        <w:t>年月日</w:t>
      </w:r>
      <w:r>
        <w:rPr>
          <w:rFonts w:hint="eastAsia" w:ascii="仿宋" w:hAnsi="仿宋" w:eastAsia="仿宋" w:cs="仿宋"/>
          <w:sz w:val="24"/>
          <w:u w:val="single"/>
        </w:rPr>
        <w:t>14:30</w:t>
      </w:r>
      <w:r>
        <w:rPr>
          <w:rFonts w:hint="eastAsia" w:ascii="仿宋" w:hAnsi="仿宋" w:eastAsia="仿宋" w:cs="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2023</w:t>
      </w:r>
      <w:r>
        <w:rPr>
          <w:rFonts w:hint="eastAsia" w:ascii="仿宋" w:hAnsi="仿宋" w:eastAsia="仿宋" w:cs="仿宋"/>
          <w:sz w:val="24"/>
        </w:rPr>
        <w:t>年月日</w:t>
      </w:r>
      <w:r>
        <w:rPr>
          <w:rFonts w:hint="eastAsia" w:ascii="仿宋" w:hAnsi="仿宋" w:eastAsia="仿宋" w:cs="仿宋"/>
          <w:sz w:val="24"/>
          <w:u w:val="single"/>
        </w:rPr>
        <w:t>14:30</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  </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2023</w:t>
      </w:r>
      <w:r>
        <w:rPr>
          <w:rFonts w:hint="eastAsia" w:ascii="仿宋" w:hAnsi="仿宋" w:eastAsia="仿宋" w:cs="仿宋"/>
          <w:sz w:val="24"/>
        </w:rPr>
        <w:t>年月日</w:t>
      </w:r>
      <w:r>
        <w:rPr>
          <w:rFonts w:hint="eastAsia" w:ascii="仿宋" w:hAnsi="仿宋" w:eastAsia="仿宋" w:cs="仿宋"/>
          <w:sz w:val="24"/>
          <w:u w:val="single"/>
        </w:rPr>
        <w:t>14:30</w:t>
      </w:r>
      <w:r>
        <w:rPr>
          <w:rFonts w:hint="eastAsia" w:ascii="仿宋" w:hAnsi="仿宋" w:eastAsia="仿宋" w:cs="仿宋"/>
          <w:sz w:val="24"/>
        </w:rPr>
        <w:t>时以前将投标文件密封送交</w:t>
      </w:r>
      <w:r>
        <w:rPr>
          <w:rFonts w:hint="eastAsia" w:ascii="仿宋" w:hAnsi="仿宋" w:eastAsia="仿宋" w:cs="仿宋"/>
          <w:kern w:val="0"/>
          <w:sz w:val="24"/>
        </w:rPr>
        <w:t>，</w:t>
      </w:r>
      <w:r>
        <w:rPr>
          <w:rFonts w:hint="eastAsia" w:ascii="仿宋" w:hAnsi="仿宋" w:eastAsia="仿宋" w:cs="仿宋"/>
          <w:b/>
          <w:bCs/>
          <w:sz w:val="24"/>
        </w:rPr>
        <w:t>未获取招标文件送达</w:t>
      </w:r>
      <w:r>
        <w:rPr>
          <w:rFonts w:hint="eastAsia" w:ascii="仿宋" w:hAnsi="仿宋" w:eastAsia="仿宋" w:cs="仿宋"/>
          <w:sz w:val="24"/>
        </w:rPr>
        <w:t xml:space="preserve">或逾期送达不予接收，应即交即走，不参加后续开标会。现场递交地址：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hAnsi="仿宋" w:eastAsia="仿宋" w:cs="仿宋"/>
          <w:sz w:val="24"/>
        </w:rPr>
      </w:pPr>
      <w:r>
        <w:rPr>
          <w:rFonts w:hint="eastAsia" w:ascii="仿宋" w:hAnsi="仿宋" w:eastAsia="仿宋" w:cs="仿宋"/>
          <w:sz w:val="24"/>
        </w:rPr>
        <w:t>六、开标时间及地点：同投标截止时间及地点。采用不见面开标，法定代表人或其授权代表不用出席开标会议。</w:t>
      </w:r>
    </w:p>
    <w:p>
      <w:pPr>
        <w:spacing w:line="440" w:lineRule="exact"/>
        <w:ind w:firstLine="464" w:firstLineChars="200"/>
        <w:jc w:val="left"/>
        <w:rPr>
          <w:rFonts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ascii="仿宋" w:hAnsi="仿宋" w:eastAsia="仿宋" w:cs="仿宋"/>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rPr>
          <w:rFonts w:hint="eastAsia" w:ascii="仿宋" w:hAnsi="仿宋" w:eastAsia="仿宋" w:cs="仿宋"/>
        </w:rPr>
        <w:t>http://www.sxrmyy.cn/</w:t>
      </w:r>
    </w:p>
    <w:p>
      <w:pPr>
        <w:spacing w:line="440" w:lineRule="exact"/>
        <w:ind w:firstLine="464" w:firstLineChars="200"/>
        <w:rPr>
          <w:rFonts w:ascii="仿宋" w:hAnsi="仿宋" w:eastAsia="仿宋" w:cs="仿宋"/>
        </w:rPr>
      </w:pPr>
      <w:r>
        <w:rPr>
          <w:rFonts w:hint="eastAsia" w:ascii="仿宋" w:hAnsi="仿宋" w:eastAsia="仿宋" w:cs="仿宋"/>
          <w:spacing w:val="-4"/>
          <w:sz w:val="24"/>
        </w:rPr>
        <w:t>八、采购公告期限：本公告发布之日起三个工作日。</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九、对本次采购提出询问、质疑、投诉，请按以下方式联系</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项目联系人（询问）：李科</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项目联系方式（询问）：0575-88558811</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质疑联系人：杨成</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质疑联系方式：0575-88558811</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153"/>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rPr>
        <w:t>华诚工程咨询集团有限公司</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153"/>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153"/>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153"/>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p>
    <w:p>
      <w:pPr>
        <w:pStyle w:val="153"/>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153"/>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153"/>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153"/>
        <w:spacing w:after="120" w:line="440" w:lineRule="exact"/>
        <w:ind w:firstLine="480"/>
        <w:rPr>
          <w:rFonts w:ascii="仿宋" w:hAnsi="仿宋" w:eastAsia="仿宋" w:cs="仿宋"/>
          <w:szCs w:val="24"/>
        </w:rPr>
      </w:pPr>
      <w:r>
        <w:rPr>
          <w:rFonts w:hint="eastAsia" w:ascii="仿宋" w:hAnsi="仿宋" w:eastAsia="仿宋" w:cs="仿宋"/>
          <w:szCs w:val="24"/>
        </w:rPr>
        <w:t>联系人 ：茅艳萍     </w:t>
      </w:r>
    </w:p>
    <w:p>
      <w:pPr>
        <w:pStyle w:val="153"/>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widowControl/>
        <w:jc w:val="right"/>
        <w:rPr>
          <w:rFonts w:ascii="仿宋" w:hAnsi="仿宋" w:eastAsia="仿宋" w:cs="仿宋"/>
          <w:kern w:val="0"/>
          <w:sz w:val="24"/>
        </w:rPr>
      </w:pPr>
      <w:r>
        <w:rPr>
          <w:rFonts w:hint="eastAsia" w:ascii="仿宋" w:hAnsi="仿宋" w:eastAsia="仿宋" w:cs="仿宋"/>
          <w:kern w:val="0"/>
          <w:sz w:val="24"/>
        </w:rPr>
        <w:t>公告时间：2023年 7 月 3日</w:t>
      </w:r>
    </w:p>
    <w:p>
      <w:pPr>
        <w:pStyle w:val="153"/>
        <w:widowControl w:val="0"/>
        <w:spacing w:afterLines="0" w:line="312" w:lineRule="auto"/>
        <w:ind w:firstLine="480"/>
        <w:rPr>
          <w:rFonts w:ascii="仿宋" w:hAnsi="仿宋" w:eastAsia="仿宋" w:cs="仿宋"/>
          <w:szCs w:val="24"/>
        </w:rPr>
      </w:pP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磋商须知</w:t>
      </w:r>
    </w:p>
    <w:p>
      <w:pPr>
        <w:ind w:left="238"/>
        <w:jc w:val="center"/>
        <w:rPr>
          <w:rFonts w:ascii="仿宋" w:hAnsi="仿宋" w:eastAsia="仿宋" w:cs="仿宋"/>
          <w:b/>
          <w:sz w:val="30"/>
          <w:szCs w:val="36"/>
        </w:rPr>
      </w:pPr>
      <w:r>
        <w:rPr>
          <w:rFonts w:hint="eastAsia" w:ascii="仿宋" w:hAnsi="仿宋" w:eastAsia="仿宋" w:cs="仿宋"/>
          <w:b/>
          <w:sz w:val="30"/>
          <w:szCs w:val="36"/>
        </w:rPr>
        <w:t>前附表</w:t>
      </w:r>
    </w:p>
    <w:tbl>
      <w:tblPr>
        <w:tblStyle w:val="8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beforeLines="50" w:afterLines="30" w:line="30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供应商本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磋商有效期：</w:t>
            </w:r>
            <w:r>
              <w:rPr>
                <w:rFonts w:hint="eastAsia" w:ascii="仿宋" w:hAnsi="仿宋" w:eastAsia="仿宋" w:cs="仿宋"/>
                <w:sz w:val="24"/>
              </w:rPr>
              <w:t>有效期为从提交磋商响应文件的截止之日起90天。</w:t>
            </w:r>
            <w:r>
              <w:rPr>
                <w:rFonts w:hint="eastAsia" w:ascii="仿宋" w:hAnsi="仿宋" w:eastAsia="仿宋" w:cs="仿宋"/>
                <w:b/>
                <w:sz w:val="24"/>
              </w:rPr>
              <w:t>磋商响应人的磋商文件中承</w:t>
            </w:r>
            <w:r>
              <w:rPr>
                <w:rFonts w:hint="eastAsia" w:ascii="仿宋" w:hAnsi="仿宋" w:eastAsia="仿宋" w:cs="仿宋"/>
                <w:b/>
                <w:sz w:val="24"/>
                <w:szCs w:val="21"/>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42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autoSpaceDE w:val="0"/>
              <w:autoSpaceDN w:val="0"/>
              <w:spacing w:line="420" w:lineRule="exact"/>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w:t>
            </w:r>
            <w:r>
              <w:rPr>
                <w:rFonts w:hint="eastAsia" w:ascii="仿宋" w:hAnsi="仿宋" w:eastAsia="仿宋" w:cs="仿宋"/>
                <w:kern w:val="0"/>
                <w:sz w:val="24"/>
              </w:rPr>
              <w:t>获取招标文件</w:t>
            </w:r>
            <w:r>
              <w:rPr>
                <w:rFonts w:hint="eastAsia" w:ascii="仿宋" w:hAnsi="仿宋" w:eastAsia="仿宋" w:cs="仿宋"/>
                <w:kern w:val="0"/>
                <w:sz w:val="24"/>
                <w:lang w:val="zh-CN"/>
              </w:rPr>
              <w:t>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20" w:lineRule="exact"/>
              <w:textAlignment w:val="bottom"/>
              <w:rPr>
                <w:rFonts w:ascii="仿宋" w:hAnsi="仿宋" w:eastAsia="仿宋" w:cs="仿宋"/>
                <w:b/>
                <w:kern w:val="0"/>
                <w:sz w:val="24"/>
                <w:lang w:val="zh-CN"/>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1"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b/>
                <w:sz w:val="24"/>
              </w:rPr>
            </w:pPr>
            <w:sdt>
              <w:sdtPr>
                <w:rPr>
                  <w:rFonts w:hint="eastAsia" w:ascii="仿宋" w:hAnsi="仿宋" w:eastAsia="仿宋" w:cs="仿宋"/>
                  <w:kern w:val="0"/>
                  <w:sz w:val="24"/>
                  <w:szCs w:val="21"/>
                </w:rPr>
                <w:id w:val="-740788832"/>
              </w:sdtPr>
              <w:sdtEndPr>
                <w:rPr>
                  <w:rFonts w:hint="eastAsia" w:ascii="仿宋" w:hAnsi="仿宋" w:eastAsia="仿宋" w:cs="仿宋"/>
                  <w:kern w:val="0"/>
                  <w:sz w:val="24"/>
                  <w:szCs w:val="21"/>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371"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20" w:lineRule="exact"/>
              <w:rPr>
                <w:rFonts w:ascii="仿宋" w:hAnsi="仿宋" w:eastAsia="仿宋" w:cs="仿宋"/>
                <w:sz w:val="24"/>
              </w:rPr>
            </w:pPr>
            <w:sdt>
              <w:sdtPr>
                <w:rPr>
                  <w:rFonts w:hint="eastAsia" w:ascii="仿宋" w:hAnsi="仿宋" w:eastAsia="仿宋" w:cs="仿宋"/>
                  <w:kern w:val="0"/>
                  <w:sz w:val="24"/>
                  <w:szCs w:val="21"/>
                </w:rPr>
                <w:id w:val="611332032"/>
              </w:sdtPr>
              <w:sdtEndPr>
                <w:rPr>
                  <w:rFonts w:hint="eastAsia" w:ascii="仿宋" w:hAnsi="仿宋" w:eastAsia="仿宋" w:cs="仿宋"/>
                  <w:b/>
                  <w:kern w:val="2"/>
                  <w:sz w:val="24"/>
                  <w:szCs w:val="21"/>
                </w:rPr>
              </w:sdtEndPr>
              <w:sdtContent>
                <w:r>
                  <w:rPr>
                    <w:rFonts w:hint="eastAsia" w:ascii="仿宋" w:hAnsi="仿宋" w:eastAsia="仿宋" w:cs="仿宋"/>
                    <w:b/>
                    <w:sz w:val="24"/>
                  </w:rPr>
                  <w:sym w:font="Wingdings 2" w:char="0052"/>
                </w:r>
              </w:sdtContent>
            </w:sdt>
            <w:r>
              <w:rPr>
                <w:rFonts w:hint="eastAsia" w:ascii="仿宋" w:hAnsi="仿宋" w:eastAsia="仿宋" w:cs="仿宋"/>
                <w:b/>
                <w:sz w:val="24"/>
              </w:rPr>
              <w:t>A无方案讲解演示。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pacing w:line="360" w:lineRule="auto"/>
              <w:rPr>
                <w:rFonts w:ascii="仿宋" w:hAnsi="仿宋" w:eastAsia="仿宋" w:cs="仿宋"/>
                <w:kern w:val="0"/>
                <w:sz w:val="24"/>
              </w:rPr>
            </w:pPr>
            <w:r>
              <w:rPr>
                <w:rFonts w:hint="eastAsia" w:ascii="仿宋" w:hAnsi="仿宋" w:eastAsia="仿宋" w:cs="仿宋"/>
                <w:kern w:val="0"/>
                <w:sz w:val="24"/>
              </w:rPr>
              <w:sym w:font="Wingdings" w:char="F0FE"/>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sdt>
                  <w:sdtPr>
                    <w:rPr>
                      <w:rFonts w:hint="eastAsia" w:ascii="仿宋" w:hAnsi="仿宋" w:eastAsia="仿宋" w:cs="仿宋"/>
                      <w:kern w:val="0"/>
                      <w:sz w:val="24"/>
                    </w:rPr>
                    <w:id w:val="77808574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6" w:type="dxa"/>
            <w:vAlign w:val="center"/>
          </w:tcPr>
          <w:p>
            <w:pPr>
              <w:spacing w:line="360"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sdtPr>
                        <w:rPr>
                          <w:rFonts w:hint="eastAsia" w:ascii="仿宋" w:hAnsi="仿宋" w:eastAsia="仿宋" w:cs="仿宋"/>
                          <w:kern w:val="0"/>
                          <w:sz w:val="24"/>
                          <w:szCs w:val="21"/>
                        </w:rPr>
                        <w:id w:val="-75181343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6" w:type="dxa"/>
            <w:vAlign w:val="center"/>
          </w:tcPr>
          <w:p>
            <w:pPr>
              <w:snapToGrid w:val="0"/>
              <w:spacing w:line="360"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其他未列明行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pPr>
              <w:spacing w:line="40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pPr>
              <w:snapToGrid w:val="0"/>
              <w:spacing w:line="400" w:lineRule="exact"/>
              <w:rPr>
                <w:rFonts w:ascii="仿宋" w:hAnsi="仿宋" w:eastAsia="仿宋" w:cs="仿宋"/>
                <w:b/>
                <w:sz w:val="24"/>
              </w:rPr>
            </w:pPr>
            <w:r>
              <w:rPr>
                <w:rFonts w:hint="eastAsia" w:ascii="仿宋" w:hAnsi="仿宋" w:eastAsia="仿宋" w:cs="仿宋"/>
                <w:b/>
                <w:sz w:val="24"/>
              </w:rPr>
              <w:t>供应商信用信息事项</w:t>
            </w:r>
          </w:p>
        </w:tc>
        <w:tc>
          <w:tcPr>
            <w:tcW w:w="7516" w:type="dxa"/>
            <w:vAlign w:val="center"/>
          </w:tcPr>
          <w:p>
            <w:pPr>
              <w:snapToGrid w:val="0"/>
              <w:spacing w:line="40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pPr>
              <w:spacing w:line="400" w:lineRule="exact"/>
              <w:jc w:val="center"/>
              <w:rPr>
                <w:rFonts w:ascii="仿宋" w:hAnsi="仿宋" w:eastAsia="仿宋" w:cs="仿宋"/>
                <w:sz w:val="24"/>
              </w:rPr>
            </w:pPr>
          </w:p>
        </w:tc>
        <w:tc>
          <w:tcPr>
            <w:tcW w:w="855" w:type="dxa"/>
            <w:vMerge w:val="continue"/>
            <w:vAlign w:val="center"/>
          </w:tcPr>
          <w:p>
            <w:pPr>
              <w:snapToGrid w:val="0"/>
              <w:spacing w:line="400" w:lineRule="exact"/>
              <w:rPr>
                <w:rFonts w:ascii="仿宋" w:hAnsi="仿宋" w:eastAsia="仿宋" w:cs="仿宋"/>
                <w:b/>
                <w:sz w:val="24"/>
              </w:rPr>
            </w:pPr>
          </w:p>
        </w:tc>
        <w:tc>
          <w:tcPr>
            <w:tcW w:w="7516" w:type="dxa"/>
            <w:vAlign w:val="center"/>
          </w:tcPr>
          <w:p>
            <w:pPr>
              <w:snapToGrid w:val="0"/>
              <w:spacing w:line="40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pPr>
              <w:spacing w:line="400" w:lineRule="exact"/>
              <w:jc w:val="center"/>
              <w:rPr>
                <w:rFonts w:ascii="仿宋" w:hAnsi="仿宋" w:eastAsia="仿宋" w:cs="仿宋"/>
                <w:sz w:val="24"/>
              </w:rPr>
            </w:pPr>
          </w:p>
        </w:tc>
        <w:tc>
          <w:tcPr>
            <w:tcW w:w="855" w:type="dxa"/>
            <w:vMerge w:val="continue"/>
            <w:vAlign w:val="center"/>
          </w:tcPr>
          <w:p>
            <w:pPr>
              <w:snapToGrid w:val="0"/>
              <w:spacing w:line="400" w:lineRule="exact"/>
              <w:rPr>
                <w:rFonts w:ascii="仿宋" w:hAnsi="仿宋" w:eastAsia="仿宋" w:cs="仿宋"/>
                <w:b/>
                <w:sz w:val="24"/>
              </w:rPr>
            </w:pPr>
          </w:p>
        </w:tc>
        <w:tc>
          <w:tcPr>
            <w:tcW w:w="7516" w:type="dxa"/>
            <w:vAlign w:val="center"/>
          </w:tcPr>
          <w:p>
            <w:pPr>
              <w:snapToGrid w:val="0"/>
              <w:spacing w:line="40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pPr>
              <w:snapToGrid w:val="0"/>
              <w:spacing w:line="40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400" w:lineRule="exact"/>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400" w:lineRule="exact"/>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w:t>
            </w:r>
            <w:r>
              <w:rPr>
                <w:rFonts w:hint="eastAsia" w:ascii="仿宋" w:hAnsi="仿宋" w:eastAsia="仿宋" w:cs="仿宋"/>
              </w:rPr>
              <w:t>http://www.sxrmyy.cn/</w:t>
            </w:r>
            <w:r>
              <w:rPr>
                <w:rFonts w:hint="eastAsia" w:ascii="仿宋" w:hAnsi="仿宋" w:eastAsia="仿宋" w:cs="仿宋"/>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1"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pPr>
              <w:spacing w:line="440" w:lineRule="exact"/>
              <w:jc w:val="center"/>
              <w:rPr>
                <w:rFonts w:ascii="仿宋" w:hAnsi="仿宋" w:eastAsia="仿宋" w:cs="仿宋"/>
                <w:sz w:val="24"/>
              </w:rPr>
            </w:pPr>
          </w:p>
        </w:tc>
        <w:tc>
          <w:tcPr>
            <w:tcW w:w="8371" w:type="dxa"/>
            <w:gridSpan w:val="2"/>
            <w:vAlign w:val="center"/>
          </w:tcPr>
          <w:p>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snapToGrid w:val="0"/>
                <w:kern w:val="28"/>
                <w:sz w:val="24"/>
              </w:rPr>
              <w:t>联合体磋商的，联合体各方均需按招标文件第五部分评审标准要求提供资信证明文件，否则视为不符合相关要求。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联合体磋商的，联合体中有一方或者联合体成员根据分工按招标文件第五部分评审标准要求提供资信证明文件的，视为符合了相关要求。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1" w:type="dxa"/>
            <w:gridSpan w:val="2"/>
            <w:vAlign w:val="center"/>
          </w:tcPr>
          <w:p>
            <w:pPr>
              <w:spacing w:line="340" w:lineRule="exact"/>
              <w:rPr>
                <w:rFonts w:ascii="仿宋" w:hAnsi="仿宋" w:eastAsia="仿宋" w:cs="仿宋"/>
                <w:b/>
                <w:bCs/>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（1）预算金额作为代理服务费的计算基数，参照《招标代理服务收费管理暂行办法》计价格[2002]1980号文和发改价格[2011]534号文件收费标准*60%计取，不足2000元按2000元计取，超过15000元按15000元计。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snapToGrid w:val="0"/>
              <w:spacing w:line="440" w:lineRule="exact"/>
              <w:rPr>
                <w:rFonts w:ascii="仿宋" w:hAnsi="仿宋" w:eastAsia="仿宋" w:cs="仿宋"/>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解释：凡涉及本磋商文件的解释权属于采购人、集中采购机构。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00" w:lineRule="exact"/>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1.1本磋商文件适用于本次所述项目的磋商、资格审查及信用信息查询、合同、验收等行为（法律、法规另有规定的，从其规定）。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1.2供应商一旦参与本次磋商活动，即被视为接受了本磋商文件的所有内容，如有任何异议，均应在法定时间内提出。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1.4本磋商文件所称公章是指单位法定名称章或者冠以法定名称的投标业务专用章。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jc w:val="left"/>
        <w:rPr>
          <w:rFonts w:ascii="仿宋" w:hAnsi="仿宋" w:eastAsia="仿宋" w:cs="仿宋"/>
          <w:sz w:val="24"/>
        </w:rPr>
      </w:pPr>
      <w:r>
        <w:rPr>
          <w:rFonts w:hint="eastAsia" w:ascii="仿宋" w:hAnsi="仿宋" w:eastAsia="仿宋" w:cs="仿宋"/>
          <w:sz w:val="24"/>
        </w:rPr>
        <w:t>2.1政府采购当事人及监管部门</w:t>
      </w:r>
    </w:p>
    <w:p>
      <w:pPr>
        <w:snapToGrid w:val="0"/>
        <w:spacing w:line="440" w:lineRule="exact"/>
        <w:jc w:val="left"/>
        <w:rPr>
          <w:rFonts w:ascii="仿宋" w:hAnsi="仿宋" w:eastAsia="仿宋" w:cs="仿宋"/>
          <w:sz w:val="24"/>
        </w:rPr>
      </w:pPr>
      <w:r>
        <w:rPr>
          <w:rFonts w:hint="eastAsia" w:ascii="仿宋" w:hAnsi="仿宋" w:eastAsia="仿宋" w:cs="仿宋"/>
          <w:sz w:val="24"/>
        </w:rPr>
        <w:t>2.1.1“采购人”系指采购公告中载明的本项目的采购人，即绍兴市人民医院（合同中的甲方）。</w:t>
      </w:r>
    </w:p>
    <w:p>
      <w:pPr>
        <w:snapToGrid w:val="0"/>
        <w:spacing w:line="440" w:lineRule="exact"/>
        <w:jc w:val="left"/>
        <w:rPr>
          <w:rFonts w:ascii="仿宋" w:hAnsi="仿宋" w:eastAsia="仿宋" w:cs="仿宋"/>
          <w:sz w:val="24"/>
        </w:rPr>
      </w:pPr>
      <w:r>
        <w:rPr>
          <w:rFonts w:hint="eastAsia" w:ascii="仿宋" w:hAnsi="仿宋" w:eastAsia="仿宋" w:cs="仿宋"/>
          <w:sz w:val="24"/>
        </w:rPr>
        <w:t>2.1.2“采购代理机构”系指采购公告中载明的本项目的集中采购机构，即华诚工程咨询集团有限公司。</w:t>
      </w:r>
    </w:p>
    <w:p>
      <w:pPr>
        <w:snapToGrid w:val="0"/>
        <w:spacing w:line="440" w:lineRule="exact"/>
        <w:jc w:val="left"/>
        <w:rPr>
          <w:rFonts w:ascii="仿宋" w:hAnsi="仿宋" w:eastAsia="仿宋" w:cs="仿宋"/>
          <w:sz w:val="24"/>
        </w:rPr>
      </w:pPr>
      <w:r>
        <w:rPr>
          <w:rFonts w:hint="eastAsia" w:ascii="仿宋" w:hAnsi="仿宋" w:eastAsia="仿宋" w:cs="仿宋"/>
          <w:sz w:val="24"/>
        </w:rPr>
        <w:t>2.1.3“供应商”系指参加磋商响应的法人、其他组织或者自然人为磋商响应人，或经磋商后产生的成交候选供应商，或发布成交公告后并签订合同的成交供应商（合同中的乙方）。</w:t>
      </w:r>
    </w:p>
    <w:p>
      <w:pPr>
        <w:snapToGrid w:val="0"/>
        <w:spacing w:line="440" w:lineRule="exact"/>
        <w:jc w:val="left"/>
        <w:rPr>
          <w:rFonts w:ascii="仿宋" w:hAnsi="仿宋" w:eastAsia="仿宋" w:cs="仿宋"/>
          <w:sz w:val="24"/>
        </w:rPr>
      </w:pPr>
      <w:r>
        <w:rPr>
          <w:rFonts w:hint="eastAsia" w:ascii="仿宋" w:hAnsi="仿宋" w:eastAsia="仿宋" w:cs="仿宋"/>
          <w:sz w:val="24"/>
        </w:rPr>
        <w:t>2.1.4“监督单位”系指政府采购法定义监督管理部门，即绍兴市财政局。</w:t>
      </w:r>
    </w:p>
    <w:p>
      <w:pPr>
        <w:snapToGrid w:val="0"/>
        <w:spacing w:line="440" w:lineRule="exact"/>
        <w:jc w:val="left"/>
        <w:rPr>
          <w:rFonts w:ascii="仿宋" w:hAnsi="仿宋" w:eastAsia="仿宋" w:cs="仿宋"/>
          <w:sz w:val="24"/>
        </w:rPr>
      </w:pPr>
      <w:r>
        <w:rPr>
          <w:rFonts w:hint="eastAsia" w:ascii="仿宋" w:hAnsi="仿宋" w:eastAsia="仿宋" w:cs="仿宋"/>
          <w:sz w:val="24"/>
        </w:rPr>
        <w:t>2.2 “产品”系指供方按磋商文件规定，经合法途径取得的，须向采购人提供的一切产品、保险、税金、安装、施工、调试、备品备件、工具、手册及其它有关技术资料和材料。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 “服务”系指磋商文件规定供应商须承担的安装、调试、技术协助、校准、培训、技术指导以及其他类似的义务。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 “项目”系指供应商按磋商文件规定向采购人提供的产品和服务。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系指实质性指标要求条款，“▲”系指主要性能指标要求条款。如任意一条打“★”的指标出现负偏离视为实质性不响应磋商文件要求，作无效磋商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sdt>
            <w:sdtPr>
              <w:rPr>
                <w:rFonts w:hint="eastAsia" w:ascii="仿宋" w:hAnsi="仿宋" w:eastAsia="仿宋" w:cs="仿宋"/>
                <w:kern w:val="0"/>
                <w:sz w:val="24"/>
              </w:rPr>
              <w:id w:val="77808574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sdt>
            <w:sdtPr>
              <w:rPr>
                <w:rFonts w:hint="eastAsia" w:ascii="仿宋" w:hAnsi="仿宋" w:eastAsia="仿宋" w:cs="仿宋"/>
                <w:kern w:val="0"/>
                <w:sz w:val="24"/>
              </w:rPr>
              <w:id w:val="77808574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 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2.7因特殊原因需要使用冠以法定名称的业务专用章的，参与磋商时须提供《业务专用章使用说明函》(详见附件)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采购人拟采购的产品属于政府强制采购的节能产品品目清单范围的，磋商响应人未按磋商文件要求提供国家确定的认证机构出具的、处于有效期之内的节能产品认证证书，磋商无效。</w:t>
      </w:r>
    </w:p>
    <w:p>
      <w:pPr>
        <w:spacing w:line="440" w:lineRule="exact"/>
        <w:rPr>
          <w:rFonts w:ascii="仿宋" w:hAnsi="仿宋" w:eastAsia="仿宋" w:cs="仿宋"/>
          <w:sz w:val="24"/>
        </w:rPr>
      </w:pPr>
      <w:r>
        <w:rPr>
          <w:rFonts w:hint="eastAsia" w:ascii="仿宋" w:hAnsi="仿宋" w:eastAsia="仿宋" w:cs="仿宋"/>
          <w:sz w:val="24"/>
        </w:rPr>
        <w:t>3.2.3 修缮、装修类项目采购建材的，采购人应将绿色建筑和绿色建材性能、指标等作为实质性条件纳入磋商文件和合同。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3.3.4小微企业应按照磋商文件格式要求提供《中小企业声明函》。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sz w:val="24"/>
        </w:rPr>
      </w:pPr>
      <w:r>
        <w:rPr>
          <w:rFonts w:hint="eastAsia" w:ascii="仿宋" w:hAnsi="仿宋" w:eastAsia="仿宋" w:cs="仿宋"/>
          <w:b/>
          <w:sz w:val="36"/>
          <w:szCs w:val="36"/>
        </w:rPr>
        <w:t>二、磋商文件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1．政府采购方式</w:t>
      </w:r>
    </w:p>
    <w:p>
      <w:pPr>
        <w:snapToGrid w:val="0"/>
        <w:spacing w:line="440" w:lineRule="exact"/>
        <w:jc w:val="left"/>
        <w:rPr>
          <w:rFonts w:ascii="仿宋" w:hAnsi="仿宋" w:eastAsia="仿宋" w:cs="仿宋"/>
          <w:sz w:val="24"/>
        </w:rPr>
      </w:pPr>
      <w:r>
        <w:rPr>
          <w:rFonts w:hint="eastAsia" w:ascii="仿宋" w:hAnsi="仿宋" w:eastAsia="仿宋" w:cs="仿宋"/>
          <w:sz w:val="24"/>
        </w:rPr>
        <w:t>1.1 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如某一标项实质性响应磋商文件的供应商不足三家时，由采购人重新组织开展采购活动或按有关规定实施。</w:t>
      </w:r>
    </w:p>
    <w:p>
      <w:pPr>
        <w:snapToGrid w:val="0"/>
        <w:spacing w:line="440" w:lineRule="exact"/>
        <w:jc w:val="left"/>
        <w:rPr>
          <w:rFonts w:ascii="仿宋" w:hAnsi="仿宋" w:eastAsia="仿宋" w:cs="仿宋"/>
          <w:sz w:val="24"/>
        </w:rPr>
      </w:pPr>
      <w:r>
        <w:rPr>
          <w:rFonts w:hint="eastAsia" w:ascii="仿宋" w:hAnsi="仿宋" w:eastAsia="仿宋" w:cs="仿宋"/>
          <w:sz w:val="24"/>
        </w:rPr>
        <w:t>1.3 本次竞争性磋商设定上限价，上限价即谈判公告中公布的各分标项预算金额。（各分标项之间的预算金额不能互相调整）</w:t>
      </w:r>
    </w:p>
    <w:p>
      <w:pPr>
        <w:snapToGrid w:val="0"/>
        <w:spacing w:line="440" w:lineRule="exact"/>
        <w:jc w:val="left"/>
        <w:rPr>
          <w:rFonts w:ascii="仿宋" w:hAnsi="仿宋" w:eastAsia="仿宋" w:cs="仿宋"/>
          <w:b/>
          <w:sz w:val="24"/>
        </w:rPr>
      </w:pPr>
      <w:r>
        <w:rPr>
          <w:rFonts w:hint="eastAsia" w:ascii="仿宋" w:hAnsi="仿宋" w:eastAsia="仿宋" w:cs="仿宋"/>
          <w:b/>
          <w:sz w:val="24"/>
        </w:rPr>
        <w:t>2. 磋商委托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磋商费用</w:t>
      </w:r>
    </w:p>
    <w:p>
      <w:pPr>
        <w:pStyle w:val="23"/>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r>
        <w:rPr>
          <w:rFonts w:hint="eastAsia" w:ascii="仿宋" w:hAnsi="仿宋" w:eastAsia="仿宋" w:cs="仿宋"/>
          <w:b/>
          <w:bCs/>
        </w:rPr>
        <w:t>中标人须向采购代理机构交纳采购代理服务费。</w:t>
      </w:r>
    </w:p>
    <w:p>
      <w:pPr>
        <w:snapToGrid w:val="0"/>
        <w:spacing w:line="440" w:lineRule="exact"/>
        <w:jc w:val="left"/>
        <w:rPr>
          <w:rFonts w:ascii="仿宋" w:hAnsi="仿宋" w:eastAsia="仿宋" w:cs="仿宋"/>
          <w:b/>
          <w:sz w:val="24"/>
        </w:rPr>
      </w:pPr>
      <w:r>
        <w:rPr>
          <w:rFonts w:hint="eastAsia" w:ascii="仿宋" w:hAnsi="仿宋" w:eastAsia="仿宋" w:cs="仿宋"/>
          <w:b/>
          <w:sz w:val="24"/>
        </w:rPr>
        <w:t>4. 磋商文件</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4.2磋商文件的澄清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pPr>
        <w:snapToGrid w:val="0"/>
        <w:spacing w:line="440" w:lineRule="exact"/>
        <w:jc w:val="left"/>
        <w:rPr>
          <w:rFonts w:ascii="仿宋" w:hAnsi="仿宋" w:eastAsia="仿宋" w:cs="仿宋"/>
          <w:sz w:val="24"/>
        </w:rPr>
      </w:pPr>
      <w:r>
        <w:rPr>
          <w:rFonts w:hint="eastAsia" w:ascii="仿宋" w:hAnsi="仿宋" w:eastAsia="仿宋" w:cs="仿宋"/>
          <w:sz w:val="24"/>
        </w:rPr>
        <w:t>4.3磋商文件的修改</w:t>
      </w:r>
    </w:p>
    <w:p>
      <w:pPr>
        <w:snapToGrid w:val="0"/>
        <w:spacing w:line="440" w:lineRule="exact"/>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snapToGrid w:val="0"/>
        <w:spacing w:line="440" w:lineRule="exact"/>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三、磋商响应文件</w:t>
      </w:r>
    </w:p>
    <w:p>
      <w:pPr>
        <w:numPr>
          <w:ilvl w:val="0"/>
          <w:numId w:val="3"/>
        </w:numPr>
        <w:snapToGrid w:val="0"/>
        <w:spacing w:line="440" w:lineRule="exact"/>
        <w:jc w:val="left"/>
        <w:rPr>
          <w:rFonts w:ascii="仿宋" w:hAnsi="仿宋" w:eastAsia="仿宋" w:cs="仿宋"/>
          <w:b/>
          <w:sz w:val="24"/>
        </w:rPr>
      </w:pPr>
      <w:r>
        <w:rPr>
          <w:rFonts w:hint="eastAsia" w:ascii="仿宋" w:hAnsi="仿宋" w:eastAsia="仿宋" w:cs="仿宋"/>
          <w:b/>
          <w:sz w:val="24"/>
        </w:rPr>
        <w:t>磋商响应文件的语言及计量单位</w:t>
      </w:r>
    </w:p>
    <w:p>
      <w:pPr>
        <w:snapToGrid w:val="0"/>
        <w:spacing w:line="440" w:lineRule="exact"/>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1.1供应商应仔细阅读磋商文件中的所有内容，按照磋商文件要求，详细编制磋商响应文件，并保证磋商响应文件的正确性和真实性。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磋商响应文件以及供应商与采购人、集中采购机构就有关磋商事宜的所有来往函电，均应以中文书写（技术术语除外）。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1.4不按磋商文件的要求提供的磋商响应文件可能导致被拒绝。</w:t>
      </w:r>
    </w:p>
    <w:p>
      <w:pPr>
        <w:snapToGrid w:val="0"/>
        <w:spacing w:line="440" w:lineRule="exact"/>
        <w:jc w:val="left"/>
        <w:rPr>
          <w:rFonts w:ascii="仿宋" w:hAnsi="仿宋" w:eastAsia="仿宋" w:cs="仿宋"/>
          <w:b/>
          <w:sz w:val="24"/>
        </w:rPr>
      </w:pPr>
      <w:r>
        <w:rPr>
          <w:rFonts w:hint="eastAsia" w:ascii="仿宋" w:hAnsi="仿宋" w:eastAsia="仿宋" w:cs="仿宋"/>
          <w:b/>
          <w:sz w:val="24"/>
        </w:rPr>
        <w:t>2. 磋商响应文件的组成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磋商响应文件由“报价文件资料”、“商务技术（资信）文件资料”两部分组成</w:t>
      </w:r>
      <w:r>
        <w:rPr>
          <w:rFonts w:hint="eastAsia" w:ascii="仿宋" w:hAnsi="仿宋" w:eastAsia="仿宋" w:cs="仿宋"/>
          <w:b/>
          <w:sz w:val="24"/>
        </w:rPr>
        <w:t>。</w:t>
      </w:r>
    </w:p>
    <w:p>
      <w:pPr>
        <w:spacing w:line="440" w:lineRule="exact"/>
        <w:jc w:val="left"/>
        <w:rPr>
          <w:rFonts w:ascii="仿宋" w:hAnsi="仿宋" w:eastAsia="仿宋" w:cs="仿宋"/>
          <w:sz w:val="24"/>
        </w:rPr>
      </w:pPr>
      <w:r>
        <w:rPr>
          <w:rFonts w:hint="eastAsia" w:ascii="仿宋" w:hAnsi="仿宋" w:eastAsia="仿宋" w:cs="仿宋"/>
          <w:sz w:val="24"/>
        </w:rPr>
        <w:t>2.1 “报价文件资料”应包含以下内容（正本用原件）：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2.1.1磋商响应函（格式见第六部分附件）； </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2.1.2报价一览表（格式见第六部分附件）； </w:t>
      </w:r>
    </w:p>
    <w:p>
      <w:pPr>
        <w:tabs>
          <w:tab w:val="left" w:pos="3870"/>
          <w:tab w:val="left" w:pos="4085"/>
        </w:tabs>
        <w:snapToGrid w:val="0"/>
        <w:spacing w:line="440" w:lineRule="exact"/>
        <w:jc w:val="left"/>
        <w:rPr>
          <w:rFonts w:ascii="仿宋" w:hAnsi="仿宋" w:eastAsia="仿宋" w:cs="仿宋"/>
          <w:sz w:val="24"/>
          <w:szCs w:val="20"/>
        </w:rPr>
      </w:pPr>
      <w:r>
        <w:rPr>
          <w:rFonts w:hint="eastAsia" w:ascii="仿宋" w:hAnsi="仿宋" w:eastAsia="仿宋" w:cs="仿宋"/>
          <w:sz w:val="24"/>
        </w:rPr>
        <w:t>2.1.3中</w:t>
      </w:r>
      <w:r>
        <w:rPr>
          <w:rFonts w:hint="eastAsia" w:ascii="仿宋" w:hAnsi="仿宋" w:eastAsia="仿宋" w:cs="仿宋"/>
          <w:sz w:val="24"/>
          <w:szCs w:val="20"/>
        </w:rPr>
        <w:t>小企业声明函（如有，格式见第六部分附件）；</w:t>
      </w:r>
    </w:p>
    <w:p>
      <w:pPr>
        <w:tabs>
          <w:tab w:val="left" w:pos="3870"/>
          <w:tab w:val="left" w:pos="4085"/>
        </w:tabs>
        <w:snapToGrid w:val="0"/>
        <w:spacing w:line="440" w:lineRule="exact"/>
        <w:jc w:val="left"/>
        <w:rPr>
          <w:rFonts w:ascii="仿宋" w:hAnsi="仿宋" w:eastAsia="仿宋" w:cs="仿宋"/>
          <w:sz w:val="24"/>
          <w:szCs w:val="20"/>
        </w:rPr>
      </w:pPr>
      <w:r>
        <w:rPr>
          <w:rFonts w:hint="eastAsia" w:ascii="仿宋" w:hAnsi="仿宋" w:eastAsia="仿宋" w:cs="仿宋"/>
          <w:sz w:val="24"/>
          <w:szCs w:val="20"/>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以上文件组成“报价文件资料”。供应商在“报价文件资料”中应对磋商文件作实质性响应，该项内容将作为磋商重要指标。</w:t>
      </w:r>
    </w:p>
    <w:p>
      <w:pPr>
        <w:pStyle w:val="37"/>
        <w:tabs>
          <w:tab w:val="left" w:pos="1854"/>
        </w:tabs>
        <w:spacing w:afterLines="0" w:line="440" w:lineRule="exact"/>
        <w:ind w:left="0" w:firstLine="0"/>
        <w:rPr>
          <w:rFonts w:ascii="仿宋" w:hAnsi="仿宋" w:eastAsia="仿宋" w:cs="仿宋"/>
          <w:b/>
        </w:rPr>
      </w:pPr>
      <w:r>
        <w:rPr>
          <w:rFonts w:hint="eastAsia" w:ascii="仿宋" w:hAnsi="仿宋" w:eastAsia="仿宋" w:cs="仿宋"/>
        </w:rPr>
        <w:t>2.2 “商务技术（资信）文件资料”应包括以下内容（正本用原件）：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2.2.3法定代表人和授权代表的身份证复印件（格式见第六部分附件）；</w:t>
      </w:r>
    </w:p>
    <w:p>
      <w:pPr>
        <w:snapToGrid w:val="0"/>
        <w:spacing w:line="440" w:lineRule="exact"/>
        <w:rPr>
          <w:rFonts w:ascii="仿宋" w:hAnsi="仿宋" w:eastAsia="仿宋" w:cs="仿宋"/>
          <w:sz w:val="24"/>
        </w:rPr>
      </w:pPr>
      <w:r>
        <w:rPr>
          <w:rFonts w:hint="eastAsia" w:ascii="仿宋" w:hAnsi="仿宋" w:eastAsia="仿宋" w:cs="仿宋"/>
          <w:sz w:val="24"/>
        </w:rPr>
        <w:t>2.2.4法定代表人身份证明书（格式见第六部分附件）；</w:t>
      </w:r>
    </w:p>
    <w:p>
      <w:pPr>
        <w:snapToGrid w:val="0"/>
        <w:spacing w:line="440" w:lineRule="exact"/>
        <w:rPr>
          <w:rFonts w:ascii="仿宋" w:hAnsi="仿宋" w:eastAsia="仿宋" w:cs="仿宋"/>
          <w:sz w:val="24"/>
        </w:rPr>
      </w:pPr>
      <w:r>
        <w:rPr>
          <w:rFonts w:hint="eastAsia" w:ascii="仿宋" w:hAnsi="仿宋" w:eastAsia="仿宋" w:cs="仿宋"/>
          <w:sz w:val="24"/>
        </w:rPr>
        <w:t>2.2.5</w:t>
      </w:r>
      <w:r>
        <w:rPr>
          <w:rFonts w:hint="eastAsia" w:ascii="仿宋" w:hAnsi="仿宋" w:eastAsia="仿宋" w:cs="仿宋"/>
          <w:kern w:val="0"/>
          <w:sz w:val="24"/>
        </w:rPr>
        <w:t>供应商基本资格条件</w:t>
      </w:r>
      <w:r>
        <w:rPr>
          <w:rFonts w:hint="eastAsia" w:ascii="仿宋" w:hAnsi="仿宋" w:eastAsia="仿宋" w:cs="仿宋"/>
          <w:sz w:val="24"/>
        </w:rPr>
        <w:t>书面承诺函（格式见第六部分附件）</w:t>
      </w:r>
      <w:r>
        <w:rPr>
          <w:rFonts w:hint="eastAsia" w:ascii="仿宋" w:hAnsi="仿宋" w:eastAsia="仿宋" w:cs="仿宋"/>
          <w:kern w:val="0"/>
          <w:sz w:val="24"/>
        </w:rPr>
        <w:t>；</w:t>
      </w:r>
    </w:p>
    <w:p>
      <w:pPr>
        <w:snapToGrid w:val="0"/>
        <w:spacing w:line="440" w:lineRule="exact"/>
        <w:rPr>
          <w:rFonts w:ascii="仿宋" w:hAnsi="仿宋" w:eastAsia="仿宋" w:cs="仿宋"/>
          <w:kern w:val="0"/>
          <w:sz w:val="24"/>
        </w:rPr>
      </w:pPr>
      <w:r>
        <w:rPr>
          <w:rFonts w:hint="eastAsia" w:ascii="仿宋" w:hAnsi="仿宋" w:eastAsia="仿宋" w:cs="仿宋"/>
          <w:sz w:val="24"/>
        </w:rPr>
        <w:t>2.2.6资格审查有关的书面承诺函（格式见第六部分附件）：</w:t>
      </w:r>
      <w:r>
        <w:rPr>
          <w:rFonts w:hint="eastAsia" w:ascii="仿宋" w:hAnsi="仿宋" w:eastAsia="仿宋" w:cs="仿宋"/>
          <w:kern w:val="0"/>
          <w:sz w:val="24"/>
        </w:rPr>
        <w:t>证明其符合磋商文件规定的供应商资格要求。</w:t>
      </w:r>
    </w:p>
    <w:p>
      <w:pPr>
        <w:pStyle w:val="41"/>
        <w:spacing w:line="440" w:lineRule="exact"/>
        <w:ind w:firstLine="480" w:firstLineChars="200"/>
        <w:rPr>
          <w:rFonts w:ascii="仿宋" w:hAnsi="仿宋" w:eastAsia="仿宋" w:cs="仿宋"/>
          <w:sz w:val="24"/>
        </w:rPr>
      </w:pPr>
      <w:bookmarkStart w:id="2" w:name="_Hlt68073093"/>
      <w:bookmarkEnd w:id="2"/>
      <w:bookmarkStart w:id="3" w:name="_Hlt68403820"/>
      <w:bookmarkEnd w:id="3"/>
      <w:bookmarkStart w:id="4" w:name="_Hlt68072998"/>
      <w:bookmarkEnd w:id="4"/>
      <w:r>
        <w:rPr>
          <w:rFonts w:hint="eastAsia" w:ascii="仿宋" w:hAnsi="仿宋" w:eastAsia="仿宋" w:cs="仿宋"/>
          <w:sz w:val="24"/>
        </w:rPr>
        <w:t>（1）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pStyle w:val="41"/>
        <w:spacing w:line="440" w:lineRule="exact"/>
        <w:ind w:firstLine="480" w:firstLineChars="200"/>
        <w:rPr>
          <w:rFonts w:ascii="仿宋" w:hAnsi="仿宋" w:eastAsia="仿宋" w:cs="仿宋"/>
          <w:sz w:val="24"/>
        </w:rPr>
      </w:pPr>
      <w:r>
        <w:rPr>
          <w:rFonts w:hint="eastAsia" w:ascii="仿宋" w:hAnsi="仿宋" w:eastAsia="仿宋" w:cs="仿宋"/>
          <w:kern w:val="0"/>
          <w:sz w:val="24"/>
        </w:rPr>
        <w:t>(2</w:t>
      </w:r>
      <w:r>
        <w:rPr>
          <w:rFonts w:hint="eastAsia" w:ascii="仿宋" w:hAnsi="仿宋" w:eastAsia="仿宋" w:cs="仿宋"/>
          <w:sz w:val="24"/>
        </w:rPr>
        <w:t>)符合特定资格条件（如果项目要求）的有关证明材料（复印件）；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优惠条件：供应商承诺给予采购人的各种优惠条件，包括设备价格、运输、保险、安装调试、付款条件、技术服务、售后服务等方面的优惠；当优惠条件涉及“报价单”中的各项费用时，必须与最后报价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2.2.9</w:t>
      </w:r>
      <w:r>
        <w:rPr>
          <w:rFonts w:hint="eastAsia" w:ascii="仿宋" w:hAnsi="仿宋" w:eastAsia="仿宋" w:cs="仿宋"/>
          <w:sz w:val="24"/>
        </w:rPr>
        <w:t>供应商在磋商响应文件技术偏离说明表中，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2.2.11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rPr>
        <w:t>2</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37"/>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2.2.13中小企业声明函（如有）；</w:t>
      </w:r>
    </w:p>
    <w:p>
      <w:pPr>
        <w:snapToGrid w:val="0"/>
        <w:spacing w:line="440" w:lineRule="exact"/>
        <w:jc w:val="left"/>
        <w:rPr>
          <w:rFonts w:ascii="仿宋" w:hAnsi="仿宋" w:eastAsia="仿宋" w:cs="仿宋"/>
          <w:sz w:val="24"/>
        </w:rPr>
      </w:pPr>
      <w:r>
        <w:rPr>
          <w:rFonts w:hint="eastAsia" w:ascii="仿宋" w:hAnsi="仿宋" w:eastAsia="仿宋" w:cs="仿宋"/>
          <w:sz w:val="24"/>
        </w:rPr>
        <w:t>2.2.14</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37"/>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2.2.15投标人需要说明的其他文件和说明（格式自拟）。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以上文件组成“商务技术（资信）文件资料”。供应商在“商务技术（资信）文件资料”中应对磋商文件作实质性响应，该项内容将作为磋商重要指标。</w:t>
      </w:r>
    </w:p>
    <w:p>
      <w:pPr>
        <w:pStyle w:val="37"/>
        <w:tabs>
          <w:tab w:val="left" w:pos="1854"/>
          <w:tab w:val="clear" w:pos="482"/>
        </w:tabs>
        <w:spacing w:afterLines="0" w:line="440" w:lineRule="exact"/>
        <w:ind w:left="0" w:right="-78" w:rightChars="-37" w:firstLine="480" w:firstLineChars="200"/>
        <w:rPr>
          <w:rFonts w:ascii="仿宋" w:hAnsi="仿宋" w:eastAsia="仿宋" w:cs="仿宋"/>
          <w:b/>
        </w:rPr>
      </w:pPr>
      <w:r>
        <w:rPr>
          <w:rFonts w:hint="eastAsia" w:ascii="仿宋" w:hAnsi="仿宋" w:eastAsia="仿宋" w:cs="仿宋"/>
        </w:rPr>
        <w:t>不按磋商文件的要求提供的磋商响应文件和资料，可能会被磋商小组视为未实质性响应，其风险应由磋商响应人自行承担。</w:t>
      </w:r>
    </w:p>
    <w:p>
      <w:pPr>
        <w:spacing w:line="440" w:lineRule="exact"/>
        <w:jc w:val="left"/>
        <w:rPr>
          <w:rFonts w:ascii="仿宋" w:hAnsi="仿宋" w:eastAsia="仿宋" w:cs="仿宋"/>
          <w:b/>
          <w:sz w:val="24"/>
        </w:rPr>
      </w:pPr>
      <w:r>
        <w:rPr>
          <w:rFonts w:hint="eastAsia" w:ascii="仿宋" w:hAnsi="仿宋" w:eastAsia="仿宋" w:cs="仿宋"/>
          <w:b/>
          <w:sz w:val="24"/>
        </w:rPr>
        <w:t>3.报价</w:t>
      </w:r>
    </w:p>
    <w:p>
      <w:pPr>
        <w:pStyle w:val="41"/>
        <w:spacing w:line="440" w:lineRule="exact"/>
        <w:jc w:val="left"/>
        <w:rPr>
          <w:rFonts w:ascii="仿宋" w:hAnsi="仿宋" w:eastAsia="仿宋" w:cs="仿宋"/>
          <w:sz w:val="24"/>
        </w:rPr>
      </w:pPr>
      <w:r>
        <w:rPr>
          <w:rFonts w:hint="eastAsia" w:ascii="仿宋" w:hAnsi="仿宋" w:eastAsia="仿宋" w:cs="仿宋"/>
          <w:sz w:val="24"/>
        </w:rPr>
        <w:t>3.1应按磋商文件中《报价一览表》要求填写。</w:t>
      </w:r>
    </w:p>
    <w:p>
      <w:pPr>
        <w:pStyle w:val="41"/>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41"/>
        <w:spacing w:line="440" w:lineRule="exact"/>
        <w:jc w:val="left"/>
        <w:rPr>
          <w:rFonts w:ascii="仿宋" w:hAnsi="仿宋" w:eastAsia="仿宋" w:cs="仿宋"/>
          <w:sz w:val="24"/>
          <w:szCs w:val="24"/>
        </w:rPr>
      </w:pPr>
      <w:r>
        <w:rPr>
          <w:rFonts w:hint="eastAsia" w:ascii="仿宋" w:hAnsi="仿宋" w:eastAsia="仿宋" w:cs="仿宋"/>
          <w:sz w:val="24"/>
          <w:szCs w:val="24"/>
        </w:rPr>
        <w:t>3.3磋商文件未列明，而</w:t>
      </w:r>
      <w:r>
        <w:rPr>
          <w:rFonts w:hint="eastAsia" w:ascii="仿宋" w:hAnsi="仿宋" w:eastAsia="仿宋" w:cs="仿宋"/>
          <w:sz w:val="24"/>
        </w:rPr>
        <w:t>供应商</w:t>
      </w:r>
      <w:r>
        <w:rPr>
          <w:rFonts w:hint="eastAsia" w:ascii="仿宋" w:hAnsi="仿宋" w:eastAsia="仿宋" w:cs="仿宋"/>
          <w:sz w:val="24"/>
          <w:szCs w:val="24"/>
        </w:rPr>
        <w:t>认为必需的费用也需列入报价。</w:t>
      </w:r>
    </w:p>
    <w:p>
      <w:pPr>
        <w:pStyle w:val="41"/>
        <w:spacing w:line="440" w:lineRule="exact"/>
        <w:jc w:val="left"/>
        <w:rPr>
          <w:rFonts w:ascii="仿宋" w:hAnsi="仿宋" w:eastAsia="仿宋" w:cs="仿宋"/>
          <w:sz w:val="24"/>
          <w:szCs w:val="24"/>
        </w:rPr>
      </w:pPr>
      <w:r>
        <w:rPr>
          <w:rFonts w:hint="eastAsia" w:ascii="仿宋" w:hAnsi="仿宋" w:eastAsia="仿宋" w:cs="仿宋"/>
          <w:sz w:val="24"/>
        </w:rPr>
        <w:t>3.4若磋商响应人各分标项最后报价超过采购人设定的各分标项上限价，将失去成交候选供应商资格。</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3.5</w:t>
      </w:r>
      <w:r>
        <w:rPr>
          <w:rFonts w:hint="eastAsia" w:ascii="仿宋" w:hAnsi="仿宋" w:eastAsia="仿宋" w:cs="仿宋"/>
          <w:b/>
          <w:sz w:val="24"/>
        </w:rPr>
        <w:t>磋商最后报价只允许有一个报价，有选择的报价将不予接受（除指定外）。</w:t>
      </w:r>
    </w:p>
    <w:p>
      <w:pPr>
        <w:pStyle w:val="23"/>
        <w:spacing w:afterLines="0" w:line="440" w:lineRule="atLeast"/>
        <w:ind w:left="0" w:firstLine="0"/>
        <w:rPr>
          <w:rFonts w:ascii="仿宋" w:hAnsi="仿宋" w:eastAsia="仿宋" w:cs="仿宋"/>
          <w:b/>
          <w:szCs w:val="24"/>
        </w:rPr>
      </w:pPr>
      <w:r>
        <w:rPr>
          <w:rFonts w:hint="eastAsia" w:ascii="仿宋" w:hAnsi="仿宋" w:eastAsia="仿宋" w:cs="仿宋"/>
          <w:b/>
          <w:szCs w:val="24"/>
        </w:rPr>
        <w:t>4.磋商响应文件的有效期</w:t>
      </w:r>
    </w:p>
    <w:p>
      <w:pPr>
        <w:pStyle w:val="23"/>
        <w:spacing w:afterLines="0" w:line="440" w:lineRule="atLeast"/>
        <w:ind w:left="0" w:firstLine="0"/>
        <w:rPr>
          <w:rFonts w:ascii="仿宋" w:hAnsi="仿宋" w:eastAsia="仿宋" w:cs="仿宋"/>
          <w:b/>
          <w:szCs w:val="21"/>
        </w:rPr>
      </w:pPr>
      <w:r>
        <w:rPr>
          <w:rFonts w:hint="eastAsia" w:ascii="仿宋" w:hAnsi="仿宋" w:eastAsia="仿宋" w:cs="仿宋"/>
          <w:szCs w:val="24"/>
        </w:rPr>
        <w:t>4.1</w:t>
      </w:r>
      <w:r>
        <w:rPr>
          <w:rFonts w:hint="eastAsia" w:ascii="仿宋" w:hAnsi="仿宋" w:eastAsia="仿宋" w:cs="仿宋"/>
        </w:rPr>
        <w:t>有效期为从提交磋商响应文件的截止之日起90天。</w:t>
      </w:r>
      <w:r>
        <w:rPr>
          <w:rFonts w:hint="eastAsia" w:ascii="仿宋" w:hAnsi="仿宋" w:eastAsia="仿宋" w:cs="仿宋"/>
          <w:b/>
        </w:rPr>
        <w:t>供应商的磋商响应文件中承</w:t>
      </w:r>
      <w:r>
        <w:rPr>
          <w:rFonts w:hint="eastAsia" w:ascii="仿宋" w:hAnsi="仿宋" w:eastAsia="仿宋" w:cs="仿宋"/>
          <w:b/>
          <w:szCs w:val="21"/>
        </w:rPr>
        <w:t>诺的磋商有效期少于磋商文件中载明的磋商有效期的，磋商无效。</w:t>
      </w:r>
    </w:p>
    <w:p>
      <w:pPr>
        <w:pStyle w:val="23"/>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4.2在特殊情况下，采购人可与供应商协商延长磋商响应文件的有效期，这种要求和答复均以书面形式进行。</w:t>
      </w:r>
    </w:p>
    <w:p>
      <w:pPr>
        <w:pStyle w:val="23"/>
        <w:spacing w:afterLines="0" w:line="440" w:lineRule="atLeast"/>
        <w:ind w:left="0" w:firstLine="0"/>
        <w:rPr>
          <w:rFonts w:ascii="仿宋" w:hAnsi="仿宋" w:eastAsia="仿宋" w:cs="仿宋"/>
          <w:szCs w:val="24"/>
        </w:rPr>
      </w:pPr>
      <w:r>
        <w:rPr>
          <w:rFonts w:hint="eastAsia" w:ascii="仿宋" w:hAnsi="仿宋" w:eastAsia="仿宋" w:cs="仿宋"/>
          <w:szCs w:val="24"/>
        </w:rPr>
        <w:t>4.3供应商可拒绝接受延期要求而不会导致磋商保证金被没收。同意延长有效期的供应商不能修改磋商响应文件。</w:t>
      </w:r>
    </w:p>
    <w:p>
      <w:pPr>
        <w:snapToGrid w:val="0"/>
        <w:spacing w:line="440" w:lineRule="exact"/>
        <w:jc w:val="left"/>
        <w:rPr>
          <w:rFonts w:ascii="仿宋" w:hAnsi="仿宋" w:eastAsia="仿宋" w:cs="仿宋"/>
          <w:b/>
          <w:sz w:val="24"/>
        </w:rPr>
      </w:pPr>
      <w:r>
        <w:rPr>
          <w:rFonts w:hint="eastAsia" w:ascii="仿宋" w:hAnsi="仿宋" w:eastAsia="仿宋" w:cs="仿宋"/>
          <w:b/>
          <w:sz w:val="24"/>
        </w:rPr>
        <w:t>5.磋商响应文件的规定</w:t>
      </w:r>
    </w:p>
    <w:p>
      <w:pPr>
        <w:snapToGrid w:val="0"/>
        <w:spacing w:line="440" w:lineRule="exact"/>
        <w:jc w:val="left"/>
        <w:rPr>
          <w:rFonts w:ascii="仿宋" w:hAnsi="仿宋" w:eastAsia="仿宋" w:cs="仿宋"/>
          <w:sz w:val="24"/>
        </w:rPr>
      </w:pPr>
      <w:r>
        <w:rPr>
          <w:rFonts w:hint="eastAsia" w:ascii="仿宋" w:hAnsi="仿宋" w:eastAsia="仿宋" w:cs="仿宋"/>
          <w:sz w:val="24"/>
        </w:rPr>
        <w:t>5.1磋商响应文件由“商务技术（资信）文件资料”和“报价文件资料”两部分文件组成，应按统一格式填写。</w:t>
      </w:r>
    </w:p>
    <w:p>
      <w:pPr>
        <w:pStyle w:val="41"/>
        <w:spacing w:line="440" w:lineRule="exact"/>
        <w:jc w:val="left"/>
        <w:rPr>
          <w:rFonts w:ascii="仿宋" w:hAnsi="仿宋" w:eastAsia="仿宋" w:cs="仿宋"/>
          <w:sz w:val="24"/>
          <w:szCs w:val="24"/>
        </w:rPr>
      </w:pPr>
      <w:r>
        <w:rPr>
          <w:rFonts w:hint="eastAsia" w:ascii="仿宋" w:hAnsi="仿宋" w:eastAsia="仿宋" w:cs="仿宋"/>
          <w:sz w:val="24"/>
          <w:szCs w:val="24"/>
        </w:rPr>
        <w:t xml:space="preserve">5.2磋商响应文件须按附件格式要求进行签字盖章，供应商应写全称。 </w:t>
      </w:r>
    </w:p>
    <w:p>
      <w:pPr>
        <w:pStyle w:val="41"/>
        <w:spacing w:line="440" w:lineRule="exact"/>
        <w:jc w:val="left"/>
        <w:rPr>
          <w:rFonts w:ascii="仿宋" w:hAnsi="仿宋" w:eastAsia="仿宋" w:cs="仿宋"/>
          <w:sz w:val="24"/>
          <w:szCs w:val="24"/>
        </w:rPr>
      </w:pPr>
      <w:r>
        <w:rPr>
          <w:rFonts w:hint="eastAsia" w:ascii="仿宋" w:hAnsi="仿宋" w:eastAsia="仿宋" w:cs="仿宋"/>
          <w:sz w:val="24"/>
          <w:szCs w:val="24"/>
        </w:rPr>
        <w:t>5.3磋商响应文件不得涂改，若有修改错漏处，须加盖单位公章或者法定代表人或其授权代表签字或盖章。</w:t>
      </w:r>
    </w:p>
    <w:p>
      <w:pPr>
        <w:pStyle w:val="41"/>
        <w:spacing w:line="440" w:lineRule="exact"/>
        <w:jc w:val="left"/>
        <w:rPr>
          <w:rFonts w:ascii="仿宋" w:hAnsi="仿宋" w:eastAsia="仿宋" w:cs="仿宋"/>
          <w:sz w:val="24"/>
        </w:rPr>
      </w:pPr>
      <w:r>
        <w:rPr>
          <w:rFonts w:hint="eastAsia" w:ascii="仿宋" w:hAnsi="仿宋" w:eastAsia="仿宋" w:cs="仿宋"/>
          <w:sz w:val="24"/>
        </w:rPr>
        <w:t>5.4磋商响应文件因字迹潦草或表达不清所引起的后果由供应商负责。</w:t>
      </w:r>
    </w:p>
    <w:p>
      <w:pPr>
        <w:spacing w:line="440" w:lineRule="exact"/>
        <w:jc w:val="left"/>
        <w:rPr>
          <w:rFonts w:ascii="仿宋" w:hAnsi="仿宋" w:eastAsia="仿宋" w:cs="仿宋"/>
          <w:sz w:val="24"/>
        </w:rPr>
      </w:pPr>
      <w:r>
        <w:rPr>
          <w:rFonts w:hint="eastAsia" w:ascii="仿宋" w:hAnsi="仿宋" w:eastAsia="仿宋" w:cs="仿宋"/>
          <w:sz w:val="24"/>
        </w:rPr>
        <w:t>5.5供应商应认真阅读磋商文件中所有的内容。如果供应商编制的磋商响应文件实质上不响应磋商文件的要求，其磋商响应文件将被磋商小组拒绝。</w:t>
      </w:r>
    </w:p>
    <w:p>
      <w:pPr>
        <w:snapToGrid w:val="0"/>
        <w:spacing w:line="440" w:lineRule="exact"/>
        <w:jc w:val="left"/>
        <w:rPr>
          <w:rFonts w:ascii="仿宋" w:hAnsi="仿宋" w:eastAsia="仿宋" w:cs="仿宋"/>
          <w:b/>
          <w:sz w:val="24"/>
        </w:rPr>
      </w:pPr>
      <w:r>
        <w:rPr>
          <w:rFonts w:hint="eastAsia" w:ascii="仿宋" w:hAnsi="仿宋" w:eastAsia="仿宋" w:cs="仿宋"/>
          <w:b/>
          <w:sz w:val="24"/>
        </w:rPr>
        <w:t>6.磋商响应文件的提交</w:t>
      </w:r>
    </w:p>
    <w:p>
      <w:pPr>
        <w:snapToGrid w:val="0"/>
        <w:spacing w:line="440" w:lineRule="exact"/>
        <w:jc w:val="left"/>
        <w:rPr>
          <w:rFonts w:ascii="仿宋" w:hAnsi="仿宋" w:eastAsia="仿宋" w:cs="仿宋"/>
          <w:sz w:val="24"/>
        </w:rPr>
      </w:pPr>
      <w:r>
        <w:rPr>
          <w:rFonts w:hint="eastAsia" w:ascii="仿宋" w:hAnsi="仿宋" w:eastAsia="仿宋" w:cs="仿宋"/>
          <w:sz w:val="24"/>
        </w:rPr>
        <w:t>6.1封包要求：“商务技术（资信）文件”和“报价文件”需装订成册，分两部分分别密封封装。正本一份，副本贰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ascii="仿宋" w:hAnsi="仿宋" w:eastAsia="仿宋" w:cs="仿宋"/>
          <w:sz w:val="24"/>
        </w:rPr>
      </w:pPr>
      <w:r>
        <w:rPr>
          <w:rFonts w:hint="eastAsia" w:ascii="仿宋" w:hAnsi="仿宋" w:eastAsia="仿宋" w:cs="仿宋"/>
          <w:sz w:val="24"/>
        </w:rPr>
        <w:t>6.2签署要求：按采购文件第六章“投标文件格式附件”各表单要求签署。</w:t>
      </w:r>
    </w:p>
    <w:p>
      <w:pPr>
        <w:snapToGrid w:val="0"/>
        <w:spacing w:line="440" w:lineRule="exact"/>
        <w:jc w:val="left"/>
        <w:rPr>
          <w:rFonts w:ascii="仿宋" w:hAnsi="仿宋" w:eastAsia="仿宋" w:cs="仿宋"/>
          <w:sz w:val="24"/>
        </w:rPr>
      </w:pPr>
      <w:r>
        <w:rPr>
          <w:rFonts w:hint="eastAsia" w:ascii="仿宋" w:hAnsi="仿宋" w:eastAsia="仿宋" w:cs="仿宋"/>
          <w:sz w:val="24"/>
        </w:rPr>
        <w:t>6.3制作要求：建议采用A4幅面，编制页码，制作目录，提倡双面打印。</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磋商响应文件的补充和修改</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投标截止时间前，投标人可以书面形式向采购人提出对投标文件进行补充和修改，相应部分以最后的补充和修改为准。该书面材料应密封，并明确注明“修改（或补充）技术文件资料或商务文件资料、项目名称、投标人名称”字样，同时封口处由法定代表人或其授权代表签字或盖章。</w:t>
      </w:r>
    </w:p>
    <w:p>
      <w:pPr>
        <w:jc w:val="center"/>
        <w:rPr>
          <w:rFonts w:ascii="仿宋" w:hAnsi="仿宋" w:eastAsia="仿宋" w:cs="仿宋"/>
          <w:b/>
          <w:sz w:val="32"/>
          <w:szCs w:val="32"/>
        </w:rPr>
      </w:pPr>
      <w:r>
        <w:rPr>
          <w:rFonts w:hint="eastAsia" w:ascii="仿宋" w:hAnsi="仿宋" w:eastAsia="仿宋" w:cs="仿宋"/>
          <w:b/>
          <w:sz w:val="32"/>
          <w:szCs w:val="32"/>
        </w:rPr>
        <w:t>四、磋商和评审</w:t>
      </w:r>
    </w:p>
    <w:p>
      <w:pPr>
        <w:snapToGrid w:val="0"/>
        <w:spacing w:line="440" w:lineRule="exact"/>
        <w:jc w:val="left"/>
        <w:rPr>
          <w:rFonts w:ascii="仿宋" w:hAnsi="仿宋" w:eastAsia="仿宋" w:cs="仿宋"/>
          <w:b/>
          <w:sz w:val="24"/>
        </w:rPr>
      </w:pPr>
      <w:r>
        <w:rPr>
          <w:rFonts w:hint="eastAsia" w:ascii="仿宋" w:hAnsi="仿宋" w:eastAsia="仿宋" w:cs="仿宋"/>
          <w:b/>
          <w:sz w:val="24"/>
        </w:rPr>
        <w:t>1．磋商程序</w:t>
      </w:r>
    </w:p>
    <w:p>
      <w:pPr>
        <w:snapToGrid w:val="0"/>
        <w:spacing w:line="480" w:lineRule="exact"/>
        <w:jc w:val="left"/>
        <w:rPr>
          <w:rFonts w:ascii="仿宋" w:hAnsi="仿宋" w:eastAsia="仿宋" w:cs="仿宋"/>
          <w:sz w:val="24"/>
        </w:rPr>
      </w:pPr>
      <w:r>
        <w:rPr>
          <w:rFonts w:hint="eastAsia" w:ascii="仿宋" w:hAnsi="仿宋" w:eastAsia="仿宋" w:cs="仿宋"/>
          <w:sz w:val="24"/>
        </w:rPr>
        <w:t>1.1响应截止时间后，主持人宣布磋商开始。</w:t>
      </w:r>
    </w:p>
    <w:p>
      <w:pPr>
        <w:snapToGrid w:val="0"/>
        <w:spacing w:line="480" w:lineRule="exact"/>
        <w:jc w:val="left"/>
        <w:rPr>
          <w:rFonts w:ascii="仿宋" w:hAnsi="仿宋" w:eastAsia="仿宋" w:cs="仿宋"/>
          <w:sz w:val="24"/>
        </w:rPr>
      </w:pPr>
      <w:r>
        <w:rPr>
          <w:rFonts w:hint="eastAsia" w:ascii="仿宋" w:hAnsi="仿宋" w:eastAsia="仿宋" w:cs="仿宋"/>
          <w:sz w:val="24"/>
        </w:rPr>
        <w:t>1.2确定各供应商磋商、演示顺序（如有要求）。</w:t>
      </w:r>
    </w:p>
    <w:p>
      <w:pPr>
        <w:snapToGrid w:val="0"/>
        <w:spacing w:line="480" w:lineRule="exact"/>
        <w:jc w:val="left"/>
        <w:rPr>
          <w:rFonts w:ascii="仿宋" w:hAnsi="仿宋" w:eastAsia="仿宋" w:cs="仿宋"/>
          <w:sz w:val="24"/>
        </w:rPr>
      </w:pPr>
      <w:r>
        <w:rPr>
          <w:rFonts w:hint="eastAsia" w:ascii="仿宋" w:hAnsi="仿宋" w:eastAsia="仿宋" w:cs="仿宋"/>
          <w:sz w:val="24"/>
        </w:rPr>
        <w:t>1.3磋商小组对磋商响应文件进行评估和比较。</w:t>
      </w:r>
    </w:p>
    <w:p>
      <w:pPr>
        <w:snapToGrid w:val="0"/>
        <w:spacing w:line="480" w:lineRule="exact"/>
        <w:jc w:val="left"/>
        <w:rPr>
          <w:rFonts w:ascii="仿宋" w:hAnsi="仿宋" w:eastAsia="仿宋" w:cs="仿宋"/>
          <w:sz w:val="24"/>
        </w:rPr>
      </w:pPr>
      <w:r>
        <w:rPr>
          <w:rFonts w:hint="eastAsia" w:ascii="仿宋" w:hAnsi="仿宋" w:eastAsia="仿宋" w:cs="仿宋"/>
          <w:sz w:val="24"/>
        </w:rPr>
        <w:t>1.4磋商小组与单一供应商分别进行磋商。</w:t>
      </w:r>
    </w:p>
    <w:p>
      <w:pPr>
        <w:snapToGrid w:val="0"/>
        <w:spacing w:line="480" w:lineRule="exact"/>
        <w:jc w:val="left"/>
        <w:rPr>
          <w:rFonts w:ascii="仿宋" w:hAnsi="仿宋" w:eastAsia="仿宋" w:cs="仿宋"/>
          <w:sz w:val="24"/>
        </w:rPr>
      </w:pPr>
      <w:r>
        <w:rPr>
          <w:rFonts w:hint="eastAsia" w:ascii="仿宋" w:hAnsi="仿宋" w:eastAsia="仿宋" w:cs="仿宋"/>
          <w:sz w:val="24"/>
        </w:rPr>
        <w:t>1.5磋商小组要求所有实质性响应的供应商在规定时间内提交最后报价（只公开最后报价，最后报价不得高于初次报价）。</w:t>
      </w:r>
    </w:p>
    <w:p>
      <w:pPr>
        <w:snapToGrid w:val="0"/>
        <w:spacing w:line="480" w:lineRule="exact"/>
        <w:jc w:val="left"/>
        <w:rPr>
          <w:rFonts w:ascii="仿宋" w:hAnsi="仿宋" w:eastAsia="仿宋" w:cs="仿宋"/>
          <w:sz w:val="24"/>
        </w:rPr>
      </w:pPr>
      <w:r>
        <w:rPr>
          <w:rFonts w:hint="eastAsia" w:ascii="仿宋" w:hAnsi="仿宋" w:eastAsia="仿宋" w:cs="仿宋"/>
          <w:sz w:val="24"/>
        </w:rPr>
        <w:t>1.6由磋商小组采用综合评分法对提交最后报价的供应商的磋商响应文件和最后报价进行综合评审，在符合采购需求、质量和服务要求的前提下，按评审得分从高到低顺序推荐确定成交候选供应商。</w:t>
      </w:r>
    </w:p>
    <w:p>
      <w:pPr>
        <w:snapToGrid w:val="0"/>
        <w:spacing w:line="480" w:lineRule="exact"/>
        <w:jc w:val="left"/>
        <w:rPr>
          <w:rFonts w:ascii="仿宋" w:hAnsi="仿宋" w:eastAsia="仿宋" w:cs="仿宋"/>
          <w:b/>
          <w:sz w:val="24"/>
        </w:rPr>
      </w:pPr>
      <w:r>
        <w:rPr>
          <w:rFonts w:hint="eastAsia" w:ascii="仿宋" w:hAnsi="仿宋" w:eastAsia="仿宋" w:cs="仿宋"/>
          <w:sz w:val="24"/>
        </w:rPr>
        <w:t>1.7主持人公布磋商结果。</w:t>
      </w:r>
    </w:p>
    <w:p>
      <w:pPr>
        <w:snapToGrid w:val="0"/>
        <w:spacing w:line="480" w:lineRule="exact"/>
        <w:jc w:val="left"/>
        <w:rPr>
          <w:rFonts w:ascii="仿宋" w:hAnsi="仿宋" w:eastAsia="仿宋" w:cs="仿宋"/>
          <w:b/>
          <w:sz w:val="24"/>
        </w:rPr>
      </w:pPr>
      <w:r>
        <w:rPr>
          <w:rFonts w:hint="eastAsia" w:ascii="仿宋" w:hAnsi="仿宋" w:eastAsia="仿宋" w:cs="仿宋"/>
          <w:b/>
          <w:sz w:val="24"/>
        </w:rPr>
        <w:t>2.磋商会由采购代理机构主持</w:t>
      </w:r>
    </w:p>
    <w:p>
      <w:pPr>
        <w:snapToGrid w:val="0"/>
        <w:spacing w:line="480" w:lineRule="exact"/>
        <w:jc w:val="left"/>
        <w:rPr>
          <w:rFonts w:ascii="仿宋" w:hAnsi="仿宋" w:eastAsia="仿宋" w:cs="仿宋"/>
          <w:b/>
          <w:sz w:val="24"/>
        </w:rPr>
      </w:pPr>
      <w:r>
        <w:rPr>
          <w:rFonts w:hint="eastAsia" w:ascii="仿宋" w:hAnsi="仿宋" w:eastAsia="仿宋" w:cs="仿宋"/>
          <w:b/>
          <w:sz w:val="24"/>
        </w:rPr>
        <w:t>3．磋商内容</w:t>
      </w:r>
    </w:p>
    <w:p>
      <w:pPr>
        <w:spacing w:line="440" w:lineRule="exact"/>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pPr>
        <w:spacing w:line="440" w:lineRule="exact"/>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pPr>
        <w:spacing w:line="440" w:lineRule="exact"/>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pPr>
        <w:snapToGrid w:val="0"/>
        <w:spacing w:line="440" w:lineRule="exact"/>
        <w:jc w:val="left"/>
        <w:rPr>
          <w:rFonts w:ascii="仿宋" w:hAnsi="仿宋" w:eastAsia="仿宋" w:cs="仿宋"/>
          <w:b/>
          <w:sz w:val="24"/>
        </w:rPr>
      </w:pPr>
      <w:r>
        <w:rPr>
          <w:rFonts w:hint="eastAsia" w:ascii="仿宋" w:hAnsi="仿宋" w:eastAsia="仿宋" w:cs="仿宋"/>
          <w:b/>
          <w:sz w:val="24"/>
        </w:rPr>
        <w:t>4．磋商</w:t>
      </w:r>
    </w:p>
    <w:p>
      <w:pPr>
        <w:spacing w:line="480" w:lineRule="exact"/>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pPr>
        <w:spacing w:line="480" w:lineRule="exact"/>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pPr>
        <w:spacing w:line="480" w:lineRule="exact"/>
        <w:jc w:val="left"/>
        <w:rPr>
          <w:rFonts w:ascii="仿宋" w:hAnsi="仿宋" w:eastAsia="仿宋" w:cs="仿宋"/>
          <w:sz w:val="24"/>
        </w:rPr>
      </w:pPr>
      <w:r>
        <w:rPr>
          <w:rFonts w:hint="eastAsia" w:ascii="仿宋" w:hAnsi="仿宋" w:eastAsia="仿宋" w:cs="仿宋"/>
          <w:sz w:val="24"/>
        </w:rPr>
        <w:t>4.3磋商小组负责对供应商资格的最终审定。</w:t>
      </w:r>
    </w:p>
    <w:p>
      <w:pPr>
        <w:spacing w:line="480" w:lineRule="exact"/>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供应商通过指定平台交换的数据电文必须进行盖章。</w:t>
      </w:r>
    </w:p>
    <w:p>
      <w:pPr>
        <w:spacing w:line="440" w:lineRule="exact"/>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spacing w:line="440" w:lineRule="exact"/>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widowControl/>
        <w:snapToGrid w:val="0"/>
        <w:spacing w:line="480" w:lineRule="exact"/>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pPr>
        <w:widowControl/>
        <w:snapToGrid w:val="0"/>
        <w:spacing w:line="480" w:lineRule="exact"/>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pPr>
        <w:snapToGrid w:val="0"/>
        <w:spacing w:line="480" w:lineRule="exact"/>
        <w:jc w:val="left"/>
        <w:rPr>
          <w:rFonts w:ascii="仿宋" w:hAnsi="仿宋" w:eastAsia="仿宋" w:cs="仿宋"/>
          <w:b/>
          <w:sz w:val="24"/>
        </w:rPr>
      </w:pPr>
      <w:r>
        <w:rPr>
          <w:rFonts w:hint="eastAsia" w:ascii="仿宋" w:hAnsi="仿宋" w:eastAsia="仿宋" w:cs="仿宋"/>
          <w:b/>
          <w:sz w:val="24"/>
        </w:rPr>
        <w:t>5．磋商响应文件的初审鉴定</w:t>
      </w:r>
    </w:p>
    <w:p>
      <w:pPr>
        <w:snapToGrid w:val="0"/>
        <w:spacing w:line="480" w:lineRule="exact"/>
        <w:jc w:val="left"/>
        <w:rPr>
          <w:rFonts w:ascii="仿宋" w:hAnsi="仿宋" w:eastAsia="仿宋" w:cs="仿宋"/>
          <w:sz w:val="24"/>
        </w:rPr>
      </w:pPr>
      <w:r>
        <w:rPr>
          <w:rFonts w:hint="eastAsia" w:ascii="仿宋" w:hAnsi="仿宋" w:eastAsia="仿宋" w:cs="仿宋"/>
          <w:sz w:val="24"/>
        </w:rPr>
        <w:t>5.1资格性审查</w:t>
      </w:r>
    </w:p>
    <w:p>
      <w:pPr>
        <w:snapToGrid w:val="0"/>
        <w:spacing w:line="480" w:lineRule="exact"/>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pPr>
        <w:spacing w:line="480" w:lineRule="exact"/>
        <w:jc w:val="left"/>
        <w:rPr>
          <w:rFonts w:ascii="仿宋" w:hAnsi="仿宋" w:eastAsia="仿宋" w:cs="仿宋"/>
          <w:sz w:val="24"/>
        </w:rPr>
      </w:pPr>
      <w:r>
        <w:rPr>
          <w:rFonts w:hint="eastAsia" w:ascii="仿宋" w:hAnsi="仿宋" w:eastAsia="仿宋" w:cs="仿宋"/>
          <w:sz w:val="24"/>
        </w:rPr>
        <w:t>5.2符合性审查</w:t>
      </w:r>
    </w:p>
    <w:p>
      <w:pPr>
        <w:spacing w:line="480" w:lineRule="exact"/>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spacing w:line="480" w:lineRule="exact"/>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pPr>
        <w:widowControl/>
        <w:snapToGrid w:val="0"/>
        <w:spacing w:line="440" w:lineRule="exact"/>
        <w:rPr>
          <w:rFonts w:ascii="仿宋" w:hAnsi="仿宋" w:eastAsia="仿宋" w:cs="仿宋"/>
          <w:b/>
          <w:kern w:val="0"/>
          <w:sz w:val="24"/>
        </w:rPr>
      </w:pPr>
      <w:r>
        <w:rPr>
          <w:rFonts w:hint="eastAsia" w:ascii="仿宋" w:hAnsi="仿宋" w:eastAsia="仿宋" w:cs="仿宋"/>
          <w:b/>
          <w:kern w:val="0"/>
          <w:sz w:val="24"/>
        </w:rPr>
        <w:t>6. 对明显的文字和计算错误的修正原则</w:t>
      </w:r>
    </w:p>
    <w:p>
      <w:pPr>
        <w:spacing w:line="440" w:lineRule="exact"/>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pPr>
        <w:spacing w:line="440" w:lineRule="exact"/>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48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pPr>
        <w:spacing w:line="480" w:lineRule="exact"/>
        <w:jc w:val="left"/>
        <w:rPr>
          <w:rFonts w:ascii="仿宋" w:hAnsi="仿宋" w:eastAsia="仿宋" w:cs="仿宋"/>
          <w:b/>
          <w:sz w:val="24"/>
        </w:rPr>
      </w:pPr>
      <w:r>
        <w:rPr>
          <w:rFonts w:hint="eastAsia" w:ascii="仿宋" w:hAnsi="仿宋" w:eastAsia="仿宋" w:cs="仿宋"/>
          <w:b/>
          <w:sz w:val="24"/>
        </w:rPr>
        <w:t>7.磋商响应文件的评审、比较和否决</w:t>
      </w:r>
    </w:p>
    <w:p>
      <w:pPr>
        <w:spacing w:line="480" w:lineRule="exact"/>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pPr>
        <w:spacing w:line="480" w:lineRule="exact"/>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pPr>
        <w:spacing w:line="480" w:lineRule="exact"/>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pPr>
        <w:spacing w:line="480" w:lineRule="exact"/>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pPr>
        <w:spacing w:line="480" w:lineRule="exact"/>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pPr>
        <w:spacing w:line="480" w:lineRule="exact"/>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pPr>
        <w:spacing w:line="480" w:lineRule="exact"/>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pPr>
        <w:spacing w:line="480" w:lineRule="exact"/>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pPr>
        <w:spacing w:line="480" w:lineRule="exact"/>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pPr>
        <w:spacing w:line="480" w:lineRule="exact"/>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7.8磋商小组依据磋商文件规定的评标标准和方法，对磋商响应文件进行评审和比较后，向采购人提供书面磋商报告，并按得分高低排序推荐中标候选供应商。</w:t>
      </w:r>
    </w:p>
    <w:p>
      <w:pPr>
        <w:pStyle w:val="23"/>
        <w:spacing w:afterLines="0" w:line="440" w:lineRule="exact"/>
        <w:ind w:left="0" w:firstLine="0"/>
        <w:rPr>
          <w:rFonts w:ascii="仿宋" w:hAnsi="仿宋" w:eastAsia="仿宋" w:cs="仿宋"/>
          <w:b/>
        </w:rPr>
      </w:pPr>
      <w:r>
        <w:rPr>
          <w:rFonts w:hint="eastAsia" w:ascii="仿宋" w:hAnsi="仿宋" w:eastAsia="仿宋" w:cs="仿宋"/>
          <w:b/>
        </w:rPr>
        <w:t>8.磋商响应文件的澄清</w:t>
      </w:r>
    </w:p>
    <w:p>
      <w:pPr>
        <w:pStyle w:val="23"/>
        <w:spacing w:afterLines="0" w:line="440" w:lineRule="exact"/>
        <w:ind w:left="0" w:firstLine="480" w:firstLineChars="200"/>
        <w:rPr>
          <w:rFonts w:ascii="仿宋" w:hAnsi="仿宋" w:eastAsia="仿宋" w:cs="仿宋"/>
        </w:rPr>
      </w:pPr>
      <w:r>
        <w:rPr>
          <w:rFonts w:hint="eastAsia" w:ascii="仿宋" w:hAnsi="仿宋" w:eastAsia="仿宋" w:cs="仿宋"/>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41"/>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9．无效磋商的情形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pPr>
        <w:snapToGrid w:val="0"/>
        <w:spacing w:line="440" w:lineRule="exact"/>
        <w:jc w:val="left"/>
        <w:rPr>
          <w:rFonts w:ascii="仿宋" w:hAnsi="仿宋" w:eastAsia="仿宋" w:cs="仿宋"/>
          <w:b/>
          <w:sz w:val="24"/>
        </w:rPr>
      </w:pPr>
      <w:r>
        <w:rPr>
          <w:rFonts w:hint="eastAsia" w:ascii="仿宋" w:hAnsi="仿宋" w:eastAsia="仿宋" w:cs="仿宋"/>
          <w:b/>
          <w:sz w:val="24"/>
        </w:rPr>
        <w:t>9.1磋商响应文件未按照磋商文件规定要求签字或盖章的；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pPr>
        <w:snapToGrid w:val="0"/>
        <w:spacing w:line="440" w:lineRule="exact"/>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8磋商响应文件中的磋商响应函无供应商盖章或填写不全的；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pPr>
        <w:pStyle w:val="41"/>
        <w:snapToGrid w:val="0"/>
        <w:spacing w:line="440" w:lineRule="exact"/>
        <w:jc w:val="left"/>
        <w:rPr>
          <w:rFonts w:ascii="仿宋" w:hAnsi="仿宋" w:eastAsia="仿宋" w:cs="仿宋"/>
          <w:b/>
          <w:sz w:val="24"/>
          <w:szCs w:val="24"/>
        </w:rPr>
      </w:pPr>
      <w:r>
        <w:rPr>
          <w:rFonts w:hint="eastAsia" w:ascii="仿宋" w:hAnsi="仿宋" w:eastAsia="仿宋" w:cs="仿宋"/>
          <w:b/>
          <w:sz w:val="24"/>
        </w:rPr>
        <w:t>9.10报价一经涂改，涂改处无磋商响应单位盖章或者未经法定代表人或授权代表签字或盖章的；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pPr>
        <w:pStyle w:val="41"/>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pPr>
        <w:pStyle w:val="41"/>
        <w:snapToGrid w:val="0"/>
        <w:spacing w:line="440" w:lineRule="exact"/>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9.16最后报价超过预算金额或上限价的；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9.21.1使用伪造、变造的许可证件；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    9.21.2提供虚假的财务状况或者业绩；</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    9.21.4提供虚假的信用状况；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9.21.5其他弄虚作假的行为。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9.22.5不同供应商的磋商响应文件相互混装；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9.23有下列情形之一的，属于恶意串通，其磋商无效：</w:t>
      </w:r>
    </w:p>
    <w:p>
      <w:pPr>
        <w:spacing w:line="360" w:lineRule="auto"/>
        <w:ind w:firstLine="525" w:firstLineChars="25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pPr>
        <w:spacing w:line="360"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磋商过程保密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10.2 在磋商期间，供应商企图影响采购人、集中采购机构或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pPr>
        <w:pStyle w:val="41"/>
        <w:spacing w:line="800" w:lineRule="exact"/>
        <w:jc w:val="center"/>
        <w:rPr>
          <w:rFonts w:ascii="仿宋" w:hAnsi="仿宋" w:eastAsia="仿宋" w:cs="仿宋"/>
          <w:b/>
          <w:sz w:val="36"/>
          <w:szCs w:val="36"/>
        </w:rPr>
      </w:pPr>
      <w:r>
        <w:rPr>
          <w:rFonts w:hint="eastAsia" w:ascii="仿宋" w:hAnsi="仿宋" w:eastAsia="仿宋" w:cs="仿宋"/>
          <w:b/>
          <w:sz w:val="36"/>
          <w:szCs w:val="36"/>
        </w:rPr>
        <w:t>五、授予合同</w:t>
      </w:r>
    </w:p>
    <w:p>
      <w:pPr>
        <w:snapToGrid w:val="0"/>
        <w:spacing w:line="440" w:lineRule="exact"/>
        <w:jc w:val="left"/>
        <w:rPr>
          <w:rFonts w:ascii="仿宋" w:hAnsi="仿宋" w:eastAsia="仿宋" w:cs="仿宋"/>
          <w:b/>
        </w:rPr>
      </w:pPr>
      <w:r>
        <w:rPr>
          <w:rFonts w:hint="eastAsia" w:ascii="仿宋" w:hAnsi="仿宋" w:eastAsia="仿宋" w:cs="仿宋"/>
          <w:b/>
          <w:sz w:val="24"/>
        </w:rPr>
        <w:t>1．</w:t>
      </w:r>
      <w:bookmarkStart w:id="5" w:name="_Toc84325929"/>
      <w:bookmarkStart w:id="6" w:name="_Toc81372953"/>
      <w:bookmarkStart w:id="7" w:name="_Toc81372776"/>
      <w:r>
        <w:rPr>
          <w:rFonts w:hint="eastAsia" w:ascii="仿宋" w:hAnsi="仿宋" w:eastAsia="仿宋" w:cs="仿宋"/>
          <w:b/>
        </w:rPr>
        <w:t>成交条件</w:t>
      </w:r>
    </w:p>
    <w:p>
      <w:pPr>
        <w:pStyle w:val="23"/>
        <w:spacing w:afterLines="0" w:line="440" w:lineRule="exact"/>
        <w:ind w:left="0" w:firstLine="0"/>
        <w:rPr>
          <w:rFonts w:ascii="仿宋" w:hAnsi="仿宋" w:eastAsia="仿宋" w:cs="仿宋"/>
          <w:szCs w:val="24"/>
        </w:rPr>
      </w:pPr>
      <w:r>
        <w:rPr>
          <w:rFonts w:hint="eastAsia" w:ascii="仿宋" w:hAnsi="仿宋" w:eastAsia="仿宋" w:cs="仿宋"/>
          <w:szCs w:val="24"/>
        </w:rPr>
        <w:t>1.1磋商响应文件基本符合磋商文件要求；</w:t>
      </w:r>
    </w:p>
    <w:p>
      <w:pPr>
        <w:pStyle w:val="23"/>
        <w:spacing w:afterLines="0" w:line="440" w:lineRule="exact"/>
        <w:ind w:left="0" w:firstLine="0"/>
        <w:rPr>
          <w:rFonts w:ascii="仿宋" w:hAnsi="仿宋" w:eastAsia="仿宋" w:cs="仿宋"/>
          <w:szCs w:val="24"/>
        </w:rPr>
      </w:pPr>
      <w:r>
        <w:rPr>
          <w:rFonts w:hint="eastAsia" w:ascii="仿宋" w:hAnsi="仿宋" w:eastAsia="仿宋" w:cs="仿宋"/>
          <w:szCs w:val="24"/>
        </w:rPr>
        <w:t>1.2供应商有很好的执行合同的能力；</w:t>
      </w:r>
    </w:p>
    <w:p>
      <w:pPr>
        <w:pStyle w:val="23"/>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1.3实施方案最合理并对采购人最为有利，最大限度满足磋商文件的要求；</w:t>
      </w:r>
    </w:p>
    <w:p>
      <w:pPr>
        <w:pStyle w:val="23"/>
        <w:spacing w:afterLines="0" w:line="440" w:lineRule="exact"/>
        <w:ind w:left="0" w:firstLine="0"/>
        <w:rPr>
          <w:rFonts w:ascii="仿宋" w:hAnsi="仿宋" w:eastAsia="仿宋" w:cs="仿宋"/>
          <w:szCs w:val="24"/>
        </w:rPr>
      </w:pPr>
      <w:r>
        <w:rPr>
          <w:rFonts w:hint="eastAsia" w:ascii="仿宋" w:hAnsi="仿宋" w:eastAsia="仿宋" w:cs="仿宋"/>
          <w:szCs w:val="24"/>
        </w:rPr>
        <w:t>1.4供应商能够提供质量技术、商务经济占综合优势的系统及服务。</w:t>
      </w:r>
    </w:p>
    <w:p>
      <w:pPr>
        <w:spacing w:line="440" w:lineRule="exact"/>
        <w:jc w:val="left"/>
        <w:rPr>
          <w:rFonts w:ascii="仿宋" w:hAnsi="仿宋" w:eastAsia="仿宋" w:cs="仿宋"/>
          <w:b/>
          <w:sz w:val="24"/>
        </w:rPr>
      </w:pPr>
      <w:r>
        <w:rPr>
          <w:rFonts w:hint="eastAsia" w:ascii="仿宋" w:hAnsi="仿宋" w:eastAsia="仿宋" w:cs="仿宋"/>
          <w:b/>
          <w:sz w:val="24"/>
        </w:rPr>
        <w:t>2.成交确认</w:t>
      </w:r>
    </w:p>
    <w:p>
      <w:pPr>
        <w:spacing w:line="440" w:lineRule="exact"/>
        <w:jc w:val="left"/>
        <w:rPr>
          <w:rFonts w:ascii="仿宋" w:hAnsi="仿宋" w:eastAsia="仿宋" w:cs="仿宋"/>
          <w:sz w:val="24"/>
        </w:rPr>
      </w:pPr>
      <w:r>
        <w:rPr>
          <w:rFonts w:hint="eastAsia" w:ascii="仿宋" w:hAnsi="仿宋" w:eastAsia="仿宋" w:cs="仿宋"/>
          <w:sz w:val="24"/>
        </w:rPr>
        <w:t>2.1采购人应当在收到评审报告之日起５个工作日内，在评审报告提出的成交候选供应商单中确定成交供应商。</w:t>
      </w:r>
    </w:p>
    <w:p>
      <w:pPr>
        <w:spacing w:line="440" w:lineRule="exact"/>
        <w:jc w:val="left"/>
        <w:rPr>
          <w:rFonts w:ascii="仿宋" w:hAnsi="仿宋" w:eastAsia="仿宋" w:cs="仿宋"/>
          <w:sz w:val="24"/>
        </w:rPr>
      </w:pPr>
      <w:r>
        <w:rPr>
          <w:rFonts w:hint="eastAsia" w:ascii="仿宋" w:hAnsi="仿宋" w:eastAsia="仿宋" w:cs="仿宋"/>
          <w:sz w:val="24"/>
        </w:rPr>
        <w:t>2.2采购人逾期未确定成交供应商的，视为确定评审报告提出的成交候选供应商为成交供应商。</w:t>
      </w:r>
    </w:p>
    <w:p>
      <w:pPr>
        <w:spacing w:line="440" w:lineRule="exact"/>
        <w:jc w:val="left"/>
        <w:rPr>
          <w:rFonts w:ascii="仿宋" w:hAnsi="仿宋" w:eastAsia="仿宋" w:cs="仿宋"/>
          <w:sz w:val="24"/>
        </w:rPr>
      </w:pPr>
      <w:r>
        <w:rPr>
          <w:rFonts w:hint="eastAsia" w:ascii="仿宋" w:hAnsi="仿宋" w:eastAsia="仿宋" w:cs="仿宋"/>
          <w:sz w:val="24"/>
        </w:rPr>
        <w:t>2.3采购人应在确认成交供应商前再次对资格条件和相关证件材料进一步查验核实。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3．成交通知</w:t>
      </w:r>
    </w:p>
    <w:bookmarkEnd w:id="5"/>
    <w:bookmarkEnd w:id="6"/>
    <w:bookmarkEnd w:id="7"/>
    <w:p>
      <w:pPr>
        <w:pStyle w:val="141"/>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95"/>
          <w:rFonts w:hint="eastAsia" w:ascii="仿宋" w:hAnsi="仿宋" w:eastAsia="仿宋" w:cs="仿宋"/>
          <w:color w:val="auto"/>
          <w:kern w:val="0"/>
        </w:rPr>
        <w:t>http://zfcg.czt.zj.gov.cn/</w:t>
      </w:r>
      <w:r>
        <w:rPr>
          <w:rStyle w:val="95"/>
          <w:rFonts w:hint="eastAsia" w:ascii="仿宋" w:hAnsi="仿宋" w:eastAsia="仿宋" w:cs="仿宋"/>
          <w:color w:val="auto"/>
          <w:kern w:val="0"/>
        </w:rPr>
        <w:fldChar w:fldCharType="end"/>
      </w:r>
      <w:r>
        <w:rPr>
          <w:rFonts w:hint="eastAsia" w:ascii="仿宋" w:hAnsi="仿宋" w:eastAsia="仿宋" w:cs="仿宋"/>
        </w:rPr>
        <w:t>，绍兴市人民医院官网http://www.sxrmyy.cn/</w:t>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3.3采购人、采购代理机构对成交结果不作任何说明和解释，也不回答任何提问。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向采购机构进行备案。</w:t>
      </w:r>
    </w:p>
    <w:p>
      <w:pPr>
        <w:spacing w:line="440" w:lineRule="exact"/>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采购人负责加强对成交人的履约管理，并按照采购合同约定，及时向成交人支付采购资金。对于成交人违反采购合同约定的行为，采购人应当及时处理，依法追究其违约责任。</w:t>
      </w:r>
    </w:p>
    <w:p>
      <w:pPr>
        <w:tabs>
          <w:tab w:val="left" w:pos="6780"/>
        </w:tabs>
        <w:spacing w:line="440" w:lineRule="exact"/>
        <w:jc w:val="left"/>
        <w:rPr>
          <w:rFonts w:ascii="仿宋" w:hAnsi="仿宋" w:eastAsia="仿宋" w:cs="仿宋"/>
          <w:b/>
          <w:sz w:val="24"/>
        </w:rPr>
      </w:pPr>
      <w:r>
        <w:rPr>
          <w:rFonts w:hint="eastAsia" w:ascii="仿宋" w:hAnsi="仿宋" w:eastAsia="仿宋" w:cs="仿宋"/>
          <w:b/>
          <w:sz w:val="24"/>
        </w:rPr>
        <w:t>7. 售后服务考核</w:t>
      </w:r>
      <w:r>
        <w:rPr>
          <w:rFonts w:hint="eastAsia" w:ascii="仿宋" w:hAnsi="仿宋" w:eastAsia="仿宋" w:cs="仿宋"/>
          <w:b/>
          <w:sz w:val="24"/>
        </w:rPr>
        <w:tab/>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autoSpaceDE w:val="0"/>
        <w:autoSpaceDN w:val="0"/>
        <w:spacing w:line="360" w:lineRule="auto"/>
        <w:ind w:firstLine="470" w:firstLineChars="196"/>
        <w:jc w:val="left"/>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2.1供应商认为磋商文件、采购过程和成交结果使自己的权益受到损害的，可以在知道或者应知其权益受到损害之日起七个工作日内，以书面形式向采购机构提出质疑，否则，采购机构不予受理：</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1）对磋商文件提出质疑的，质疑期限为供应商获得磋商文件之日或者磋商公告期限届满之日起计算，但磋商文件在磋商公告期限届满之日后获得的，应当自磋商公告截止之日起计算，且应当在采购响应截止时间之前提出。</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（2）对磋商过程提出质疑的，质疑期限为各磋商程序环节结束之日起计算。</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（3）对成交结果提出质疑的，质疑期限自成交结果公告（包括结果变更公告等）期限届满之日起计算。</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3.供应商提交的质疑书需一式三份，质疑书至少应包括下列主要内容：</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41"/>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spacing w:line="360" w:lineRule="auto"/>
        <w:ind w:firstLine="480" w:firstLineChars="200"/>
        <w:rPr>
          <w:rFonts w:ascii="仿宋" w:hAnsi="仿宋" w:eastAsia="仿宋" w:cs="仿宋"/>
          <w:sz w:val="24"/>
          <w:szCs w:val="20"/>
        </w:rPr>
      </w:pPr>
      <w:r>
        <w:rPr>
          <w:rFonts w:hint="eastAsia" w:ascii="仿宋" w:hAnsi="仿宋" w:eastAsia="仿宋" w:cs="仿宋"/>
          <w:sz w:val="24"/>
          <w:szCs w:val="20"/>
        </w:rPr>
        <w:t>4.</w:t>
      </w:r>
      <w:r>
        <w:rPr>
          <w:rFonts w:hint="eastAsia" w:ascii="仿宋" w:hAnsi="仿宋" w:eastAsia="仿宋" w:cs="仿宋"/>
          <w:sz w:val="24"/>
          <w:szCs w:val="20"/>
        </w:rPr>
        <w:tab/>
      </w:r>
      <w:r>
        <w:rPr>
          <w:rFonts w:hint="eastAsia" w:ascii="仿宋" w:hAnsi="仿宋" w:eastAsia="仿宋" w:cs="仿宋"/>
          <w:sz w:val="24"/>
          <w:szCs w:val="20"/>
        </w:rPr>
        <w:t>原则上由采购人回复的质疑：</w:t>
      </w:r>
    </w:p>
    <w:p>
      <w:pPr>
        <w:spacing w:line="360" w:lineRule="auto"/>
        <w:ind w:firstLine="480" w:firstLineChars="200"/>
        <w:rPr>
          <w:rFonts w:ascii="仿宋" w:hAnsi="仿宋" w:eastAsia="仿宋" w:cs="仿宋"/>
          <w:sz w:val="24"/>
          <w:szCs w:val="20"/>
        </w:rPr>
      </w:pPr>
      <w:r>
        <w:rPr>
          <w:rFonts w:hint="eastAsia" w:ascii="仿宋" w:hAnsi="仿宋" w:eastAsia="仿宋" w:cs="仿宋"/>
          <w:sz w:val="24"/>
          <w:szCs w:val="20"/>
        </w:rPr>
        <w:t>（1）对采购文件中特定资格条件、采购需求、评分办法提出的质疑；</w:t>
      </w:r>
    </w:p>
    <w:p>
      <w:pPr>
        <w:spacing w:line="360" w:lineRule="auto"/>
        <w:ind w:firstLine="480" w:firstLineChars="200"/>
        <w:rPr>
          <w:rFonts w:ascii="仿宋" w:hAnsi="仿宋" w:eastAsia="仿宋" w:cs="仿宋"/>
          <w:sz w:val="24"/>
          <w:szCs w:val="20"/>
        </w:rPr>
      </w:pPr>
      <w:r>
        <w:rPr>
          <w:rFonts w:hint="eastAsia" w:ascii="仿宋" w:hAnsi="仿宋" w:eastAsia="仿宋" w:cs="仿宋"/>
          <w:sz w:val="24"/>
          <w:szCs w:val="20"/>
        </w:rPr>
        <w:t>（2）对采购过程中有关现场考察或开标前答疑会事项提出的质疑。</w:t>
      </w:r>
    </w:p>
    <w:p>
      <w:pPr>
        <w:spacing w:line="360" w:lineRule="auto"/>
        <w:ind w:firstLine="720" w:firstLineChars="300"/>
        <w:rPr>
          <w:rFonts w:ascii="仿宋" w:hAnsi="仿宋" w:eastAsia="仿宋" w:cs="仿宋"/>
          <w:sz w:val="24"/>
          <w:szCs w:val="20"/>
        </w:rPr>
      </w:pPr>
      <w:r>
        <w:rPr>
          <w:rFonts w:hint="eastAsia" w:ascii="仿宋" w:hAnsi="仿宋" w:eastAsia="仿宋" w:cs="仿宋"/>
          <w:sz w:val="24"/>
          <w:szCs w:val="20"/>
        </w:rPr>
        <w:t>原则上由采购代理机构回复的质疑：</w:t>
      </w:r>
    </w:p>
    <w:p>
      <w:pPr>
        <w:spacing w:line="360" w:lineRule="auto"/>
        <w:ind w:firstLine="480" w:firstLineChars="200"/>
        <w:rPr>
          <w:rFonts w:ascii="仿宋" w:hAnsi="仿宋" w:eastAsia="仿宋" w:cs="仿宋"/>
          <w:sz w:val="24"/>
          <w:szCs w:val="20"/>
        </w:rPr>
      </w:pPr>
      <w:r>
        <w:rPr>
          <w:rFonts w:hint="eastAsia" w:ascii="仿宋" w:hAnsi="仿宋" w:eastAsia="仿宋" w:cs="仿宋"/>
          <w:sz w:val="24"/>
          <w:szCs w:val="20"/>
        </w:rPr>
        <w:t>（1）除特定资格条件、采购需求、评分办法外，对采购文件中其他内容提出的质疑；</w:t>
      </w:r>
    </w:p>
    <w:p>
      <w:pPr>
        <w:spacing w:line="360" w:lineRule="auto"/>
        <w:ind w:firstLine="480" w:firstLineChars="200"/>
        <w:rPr>
          <w:rFonts w:ascii="仿宋" w:hAnsi="仿宋" w:eastAsia="仿宋" w:cs="仿宋"/>
          <w:sz w:val="24"/>
          <w:szCs w:val="20"/>
        </w:rPr>
      </w:pPr>
      <w:r>
        <w:rPr>
          <w:rFonts w:hint="eastAsia" w:ascii="仿宋" w:hAnsi="仿宋" w:eastAsia="仿宋" w:cs="仿宋"/>
          <w:sz w:val="24"/>
          <w:szCs w:val="20"/>
        </w:rPr>
        <w:t>（2）除有关现场考察或开标前答疑会事项外，对采购过程中其它事项提出的质疑；</w:t>
      </w:r>
    </w:p>
    <w:p>
      <w:pPr>
        <w:spacing w:line="360" w:lineRule="auto"/>
        <w:ind w:firstLine="480" w:firstLineChars="200"/>
        <w:rPr>
          <w:rFonts w:ascii="仿宋" w:hAnsi="仿宋" w:eastAsia="仿宋" w:cs="仿宋"/>
          <w:sz w:val="24"/>
          <w:szCs w:val="20"/>
        </w:rPr>
      </w:pPr>
      <w:r>
        <w:rPr>
          <w:rFonts w:hint="eastAsia" w:ascii="仿宋" w:hAnsi="仿宋" w:eastAsia="仿宋" w:cs="仿宋"/>
          <w:sz w:val="24"/>
          <w:szCs w:val="20"/>
        </w:rPr>
        <w:t>（3）对采购结果提出的质疑。</w:t>
      </w:r>
    </w:p>
    <w:p>
      <w:pPr>
        <w:spacing w:line="360" w:lineRule="auto"/>
        <w:ind w:firstLine="480" w:firstLineChars="200"/>
        <w:rPr>
          <w:rFonts w:ascii="仿宋" w:hAnsi="仿宋" w:eastAsia="仿宋" w:cs="仿宋"/>
          <w:sz w:val="24"/>
          <w:szCs w:val="20"/>
        </w:rPr>
      </w:pPr>
      <w:r>
        <w:rPr>
          <w:rFonts w:hint="eastAsia" w:ascii="仿宋" w:hAnsi="仿宋" w:eastAsia="仿宋" w:cs="仿宋"/>
          <w:sz w:val="24"/>
          <w:szCs w:val="20"/>
        </w:rPr>
        <w:t>5.采购机构应当在收到供应商的书面质疑后七个工作日内作出答复，并以书面形式通知质疑供应商和其他与质疑处理结果有利害关系的政府采购当事人，但答复的内容不得涉及商业秘密。</w:t>
      </w:r>
    </w:p>
    <w:p>
      <w:pPr>
        <w:spacing w:line="360" w:lineRule="auto"/>
        <w:ind w:firstLine="480" w:firstLineChars="200"/>
        <w:rPr>
          <w:rFonts w:ascii="仿宋" w:hAnsi="仿宋" w:eastAsia="仿宋" w:cs="仿宋"/>
          <w:sz w:val="24"/>
          <w:szCs w:val="20"/>
        </w:rPr>
      </w:pPr>
      <w:r>
        <w:rPr>
          <w:rFonts w:hint="eastAsia" w:ascii="仿宋" w:hAnsi="仿宋" w:eastAsia="仿宋" w:cs="仿宋"/>
          <w:sz w:val="24"/>
          <w:szCs w:val="20"/>
        </w:rPr>
        <w:t>6.询问或者质疑事项可能影响采购结果的，采购人应当暂停签订合同，已经签订合同的，应当中止履行合同。</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szCs w:val="20"/>
        </w:rPr>
        <w:t>7.质疑函范本、投诉书范本请到浙江政府采购网下载专区下载。</w:t>
      </w:r>
    </w:p>
    <w:p>
      <w:pPr>
        <w:pStyle w:val="41"/>
        <w:spacing w:line="360" w:lineRule="auto"/>
        <w:ind w:firstLine="480" w:firstLineChars="200"/>
        <w:rPr>
          <w:rFonts w:ascii="仿宋" w:hAnsi="仿宋" w:eastAsia="仿宋" w:cs="仿宋"/>
          <w:sz w:val="24"/>
        </w:rPr>
      </w:pPr>
    </w:p>
    <w:p>
      <w:pPr>
        <w:pageBreakBefore/>
        <w:snapToGrid w:val="0"/>
        <w:spacing w:line="800" w:lineRule="exact"/>
        <w:jc w:val="center"/>
        <w:rPr>
          <w:rFonts w:ascii="仿宋" w:hAnsi="仿宋" w:eastAsia="仿宋" w:cs="仿宋"/>
          <w:b/>
          <w:sz w:val="24"/>
        </w:rPr>
      </w:pPr>
      <w:r>
        <w:rPr>
          <w:rFonts w:hint="eastAsia" w:ascii="仿宋" w:hAnsi="仿宋" w:eastAsia="仿宋" w:cs="仿宋"/>
          <w:b/>
          <w:sz w:val="36"/>
          <w:szCs w:val="36"/>
        </w:rPr>
        <w:t>第三部分 磋商项目范围及要求</w:t>
      </w:r>
    </w:p>
    <w:p>
      <w:pPr>
        <w:snapToGrid w:val="0"/>
        <w:spacing w:line="440" w:lineRule="exact"/>
        <w:rPr>
          <w:rFonts w:ascii="仿宋" w:hAnsi="仿宋" w:eastAsia="仿宋" w:cs="仿宋"/>
          <w:b/>
          <w:sz w:val="24"/>
          <w:szCs w:val="22"/>
        </w:rPr>
      </w:pPr>
      <w:bookmarkStart w:id="8" w:name="_Toc81372964"/>
      <w:bookmarkStart w:id="9" w:name="_Toc81372787"/>
      <w:bookmarkStart w:id="10" w:name="_Toc84325981"/>
      <w:bookmarkStart w:id="11" w:name="_Toc80157775"/>
      <w:r>
        <w:rPr>
          <w:rFonts w:hint="eastAsia" w:ascii="仿宋" w:hAnsi="仿宋" w:eastAsia="仿宋" w:cs="仿宋"/>
          <w:b/>
          <w:sz w:val="24"/>
          <w:szCs w:val="22"/>
          <w:bdr w:val="single" w:color="auto" w:sz="4" w:space="0"/>
        </w:rPr>
        <w:t>01标</w:t>
      </w:r>
      <w:r>
        <w:rPr>
          <w:rFonts w:hint="eastAsia" w:ascii="仿宋" w:hAnsi="仿宋" w:eastAsia="仿宋" w:cs="仿宋"/>
          <w:b/>
          <w:sz w:val="24"/>
          <w:szCs w:val="22"/>
        </w:rPr>
        <w:t>绍兴市人民医院党建大花园建设项目     预算金额：30万</w:t>
      </w:r>
    </w:p>
    <w:p>
      <w:pPr>
        <w:numPr>
          <w:ilvl w:val="0"/>
          <w:numId w:val="4"/>
        </w:numPr>
        <w:spacing w:line="360" w:lineRule="auto"/>
        <w:ind w:firstLine="482" w:firstLineChars="200"/>
        <w:rPr>
          <w:rFonts w:ascii="仿宋" w:hAnsi="仿宋" w:eastAsia="仿宋" w:cs="仿宋"/>
          <w:b/>
          <w:bCs/>
          <w:sz w:val="24"/>
        </w:rPr>
      </w:pPr>
      <w:r>
        <w:rPr>
          <w:rFonts w:hint="eastAsia" w:ascii="仿宋" w:hAnsi="仿宋" w:eastAsia="仿宋" w:cs="仿宋"/>
          <w:b/>
          <w:bCs/>
          <w:sz w:val="24"/>
        </w:rPr>
        <w:t>项目清单：</w:t>
      </w:r>
    </w:p>
    <w:tbl>
      <w:tblPr>
        <w:tblStyle w:val="88"/>
        <w:tblW w:w="5024" w:type="pct"/>
        <w:jc w:val="center"/>
        <w:tblLayout w:type="fixed"/>
        <w:tblCellMar>
          <w:top w:w="0" w:type="dxa"/>
          <w:left w:w="0" w:type="dxa"/>
          <w:bottom w:w="0" w:type="dxa"/>
          <w:right w:w="0" w:type="dxa"/>
        </w:tblCellMar>
      </w:tblPr>
      <w:tblGrid>
        <w:gridCol w:w="685"/>
        <w:gridCol w:w="1201"/>
        <w:gridCol w:w="4448"/>
        <w:gridCol w:w="619"/>
        <w:gridCol w:w="516"/>
        <w:gridCol w:w="880"/>
      </w:tblGrid>
      <w:tr>
        <w:tblPrEx>
          <w:tblCellMar>
            <w:top w:w="0" w:type="dxa"/>
            <w:left w:w="0" w:type="dxa"/>
            <w:bottom w:w="0" w:type="dxa"/>
            <w:right w:w="0" w:type="dxa"/>
          </w:tblCellMar>
        </w:tblPrEx>
        <w:trPr>
          <w:trHeight w:val="375" w:hRule="atLeast"/>
          <w:jc w:val="center"/>
        </w:trPr>
        <w:tc>
          <w:tcPr>
            <w:tcW w:w="41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序号</w:t>
            </w: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产品名称</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产品规格及材质</w:t>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参考用量</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上限单价（元）</w:t>
            </w:r>
          </w:p>
        </w:tc>
      </w:tr>
      <w:tr>
        <w:tblPrEx>
          <w:tblCellMar>
            <w:top w:w="0" w:type="dxa"/>
            <w:left w:w="0" w:type="dxa"/>
            <w:bottom w:w="0" w:type="dxa"/>
            <w:right w:w="0" w:type="dxa"/>
          </w:tblCellMar>
        </w:tblPrEx>
        <w:trPr>
          <w:trHeight w:val="375" w:hRule="atLeast"/>
          <w:jc w:val="center"/>
        </w:trPr>
        <w:tc>
          <w:tcPr>
            <w:tcW w:w="41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1</w:t>
            </w: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展板：二十大精神</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b/>
                <w:bCs/>
                <w:color w:val="000000"/>
                <w:sz w:val="24"/>
              </w:rPr>
            </w:pPr>
            <w:r>
              <w:rPr>
                <w:rFonts w:hint="eastAsia" w:ascii="仿宋" w:hAnsi="仿宋" w:eastAsia="仿宋" w:cs="仿宋"/>
                <w:color w:val="000000"/>
                <w:sz w:val="24"/>
              </w:rPr>
              <w:t>规格：不大于3.5m×0.9m,</w:t>
            </w:r>
          </w:p>
          <w:p>
            <w:pPr>
              <w:jc w:val="left"/>
              <w:rPr>
                <w:rFonts w:ascii="仿宋" w:hAnsi="仿宋" w:eastAsia="仿宋" w:cs="仿宋"/>
                <w:b/>
                <w:bCs/>
                <w:color w:val="000000"/>
                <w:sz w:val="24"/>
              </w:rPr>
            </w:pPr>
            <w:r>
              <w:rPr>
                <w:rFonts w:hint="eastAsia" w:ascii="仿宋" w:hAnsi="仿宋" w:eastAsia="仿宋" w:cs="仿宋"/>
                <w:color w:val="000000"/>
                <w:sz w:val="24"/>
              </w:rPr>
              <w:t>材质要求：</w:t>
            </w:r>
            <w:r>
              <w:rPr>
                <w:rFonts w:hint="eastAsia" w:ascii="仿宋" w:hAnsi="仿宋" w:eastAsia="仿宋" w:cs="仿宋"/>
                <w:b/>
                <w:bCs/>
                <w:color w:val="000000"/>
                <w:sz w:val="24"/>
              </w:rPr>
              <w:t>10mm厚PVC雕刻、UV图文</w:t>
            </w:r>
          </w:p>
          <w:p>
            <w:pPr>
              <w:jc w:val="left"/>
              <w:rPr>
                <w:rFonts w:ascii="仿宋" w:hAnsi="仿宋" w:eastAsia="仿宋" w:cs="仿宋"/>
                <w:color w:val="000000"/>
                <w:sz w:val="24"/>
              </w:rPr>
            </w:pPr>
            <w:r>
              <w:rPr>
                <w:rFonts w:hint="eastAsia" w:ascii="仿宋" w:hAnsi="仿宋" w:eastAsia="仿宋" w:cs="仿宋"/>
                <w:color w:val="000000"/>
                <w:sz w:val="24"/>
              </w:rPr>
              <w:drawing>
                <wp:inline distT="0" distB="0" distL="0" distR="0">
                  <wp:extent cx="2220595" cy="1666240"/>
                  <wp:effectExtent l="0" t="0" r="4445" b="10160"/>
                  <wp:docPr id="3" name="图片 3" descr="C:\Users\user.DESKTOP-AGFJ1SV\AppData\Local\Temp\WeChat Files\5f0ad1e7104484d3ab7a6f68c14b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user.DESKTOP-AGFJ1SV\AppData\Local\Temp\WeChat Files\5f0ad1e7104484d3ab7a6f68c14b4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38825" cy="1679775"/>
                          </a:xfrm>
                          <a:prstGeom prst="rect">
                            <a:avLst/>
                          </a:prstGeom>
                          <a:noFill/>
                          <a:ln>
                            <a:noFill/>
                          </a:ln>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3000</w:t>
            </w:r>
          </w:p>
        </w:tc>
      </w:tr>
      <w:tr>
        <w:tblPrEx>
          <w:tblCellMar>
            <w:top w:w="0" w:type="dxa"/>
            <w:left w:w="0" w:type="dxa"/>
            <w:bottom w:w="0" w:type="dxa"/>
            <w:right w:w="0" w:type="dxa"/>
          </w:tblCellMar>
        </w:tblPrEx>
        <w:trPr>
          <w:trHeight w:val="375" w:hRule="atLeast"/>
          <w:jc w:val="center"/>
        </w:trPr>
        <w:tc>
          <w:tcPr>
            <w:tcW w:w="41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2</w:t>
            </w: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展板：党支部科室介绍</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color w:val="000000"/>
                <w:sz w:val="24"/>
              </w:rPr>
            </w:pPr>
            <w:r>
              <w:rPr>
                <w:rFonts w:hint="eastAsia" w:ascii="仿宋" w:hAnsi="仿宋" w:eastAsia="仿宋" w:cs="仿宋"/>
                <w:color w:val="000000"/>
                <w:sz w:val="24"/>
              </w:rPr>
              <w:t>规格：不大于7.2m×1.6m,</w:t>
            </w:r>
          </w:p>
          <w:p>
            <w:pPr>
              <w:jc w:val="left"/>
              <w:rPr>
                <w:rFonts w:ascii="仿宋" w:hAnsi="仿宋" w:eastAsia="仿宋" w:cs="仿宋"/>
                <w:color w:val="000000"/>
                <w:sz w:val="24"/>
              </w:rPr>
            </w:pPr>
            <w:r>
              <w:rPr>
                <w:rFonts w:hint="eastAsia" w:ascii="仿宋" w:hAnsi="仿宋" w:eastAsia="仿宋" w:cs="仿宋"/>
                <w:color w:val="000000"/>
                <w:sz w:val="24"/>
              </w:rPr>
              <w:t>材质要求：10mm厚</w:t>
            </w:r>
            <w:r>
              <w:rPr>
                <w:rFonts w:hint="eastAsia" w:ascii="仿宋" w:hAnsi="仿宋" w:eastAsia="仿宋" w:cs="仿宋"/>
                <w:b/>
                <w:bCs/>
                <w:color w:val="000000"/>
                <w:sz w:val="24"/>
              </w:rPr>
              <w:t>PVC雕刻、UV图文、照片展示需采用磁吸或透明亚克力插盒等易于替换的形式</w:t>
            </w:r>
            <w:r>
              <w:rPr>
                <w:rFonts w:hint="eastAsia" w:ascii="仿宋" w:hAnsi="仿宋" w:eastAsia="仿宋" w:cs="仿宋"/>
                <w:color w:val="000000"/>
                <w:sz w:val="24"/>
              </w:rPr>
              <w:drawing>
                <wp:inline distT="0" distB="0" distL="0" distR="0">
                  <wp:extent cx="2220595" cy="1666240"/>
                  <wp:effectExtent l="0" t="0" r="4445" b="10160"/>
                  <wp:docPr id="2" name="图片 2" descr="C:\Users\user.DESKTOP-AGFJ1SV\AppData\Local\Temp\WeChat Files\973667885f37adfdb2af57df47b1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ser.DESKTOP-AGFJ1SV\AppData\Local\Temp\WeChat Files\973667885f37adfdb2af57df47b171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48518" cy="1687048"/>
                          </a:xfrm>
                          <a:prstGeom prst="rect">
                            <a:avLst/>
                          </a:prstGeom>
                          <a:noFill/>
                          <a:ln>
                            <a:noFill/>
                          </a:ln>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30</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4500</w:t>
            </w:r>
          </w:p>
        </w:tc>
      </w:tr>
      <w:tr>
        <w:tblPrEx>
          <w:tblCellMar>
            <w:top w:w="0" w:type="dxa"/>
            <w:left w:w="0" w:type="dxa"/>
            <w:bottom w:w="0" w:type="dxa"/>
            <w:right w:w="0" w:type="dxa"/>
          </w:tblCellMar>
        </w:tblPrEx>
        <w:trPr>
          <w:trHeight w:val="375" w:hRule="atLeast"/>
          <w:jc w:val="center"/>
        </w:trPr>
        <w:tc>
          <w:tcPr>
            <w:tcW w:w="41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3</w:t>
            </w: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rPr>
              <w:t>室外雕塑小品1（点位：食堂对面草坪）</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sz w:val="24"/>
              </w:rPr>
            </w:pPr>
            <w:r>
              <w:rPr>
                <w:rFonts w:hint="eastAsia" w:ascii="仿宋" w:hAnsi="仿宋" w:eastAsia="仿宋" w:cs="仿宋"/>
                <w:color w:val="000000"/>
                <w:sz w:val="24"/>
              </w:rPr>
              <w:t>规格：不大于</w:t>
            </w:r>
            <w:r>
              <w:rPr>
                <w:rFonts w:hint="eastAsia" w:ascii="仿宋" w:hAnsi="仿宋" w:eastAsia="仿宋" w:cs="仿宋"/>
                <w:sz w:val="24"/>
              </w:rPr>
              <w:t>2.46m×1.8m,</w:t>
            </w:r>
          </w:p>
          <w:p>
            <w:pPr>
              <w:jc w:val="left"/>
              <w:rPr>
                <w:rFonts w:ascii="仿宋" w:hAnsi="仿宋" w:eastAsia="仿宋" w:cs="仿宋"/>
                <w:sz w:val="24"/>
              </w:rPr>
            </w:pPr>
            <w:r>
              <w:rPr>
                <w:rFonts w:hint="eastAsia" w:ascii="仿宋" w:hAnsi="仿宋" w:eastAsia="仿宋" w:cs="仿宋"/>
                <w:color w:val="000000"/>
                <w:sz w:val="24"/>
              </w:rPr>
              <w:t>材质要求：</w:t>
            </w:r>
            <w:r>
              <w:rPr>
                <w:rFonts w:hint="eastAsia" w:ascii="仿宋" w:hAnsi="仿宋" w:eastAsia="仿宋" w:cs="仿宋"/>
                <w:sz w:val="24"/>
              </w:rPr>
              <w:t>不锈钢、2.5mm厚</w:t>
            </w:r>
            <w:r>
              <w:rPr>
                <w:rFonts w:hint="eastAsia" w:ascii="仿宋" w:hAnsi="仿宋" w:eastAsia="仿宋" w:cs="仿宋"/>
                <w:b/>
                <w:bCs/>
                <w:sz w:val="24"/>
              </w:rPr>
              <w:t>304不锈钢造型</w:t>
            </w:r>
            <w:r>
              <w:rPr>
                <w:rFonts w:hint="eastAsia" w:ascii="仿宋" w:hAnsi="仿宋" w:eastAsia="仿宋" w:cs="仿宋"/>
                <w:sz w:val="24"/>
              </w:rPr>
              <w:drawing>
                <wp:inline distT="0" distB="0" distL="0" distR="0">
                  <wp:extent cx="2220595" cy="1495425"/>
                  <wp:effectExtent l="0" t="0" r="4445" b="13335"/>
                  <wp:docPr id="7" name="图片 7" descr="C:\Users\user.DESKTOP-AGFJ1SV\AppData\Local\Temp\WeChat Files\0aaf34619fb5868b55b6883bc1de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ser.DESKTOP-AGFJ1SV\AppData\Local\Temp\WeChat Files\0aaf34619fb5868b55b6883bc1de9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24873" cy="1498306"/>
                          </a:xfrm>
                          <a:prstGeom prst="rect">
                            <a:avLst/>
                          </a:prstGeom>
                          <a:noFill/>
                          <a:ln>
                            <a:noFill/>
                          </a:ln>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30000</w:t>
            </w:r>
          </w:p>
        </w:tc>
      </w:tr>
      <w:tr>
        <w:tblPrEx>
          <w:tblCellMar>
            <w:top w:w="0" w:type="dxa"/>
            <w:left w:w="0" w:type="dxa"/>
            <w:bottom w:w="0" w:type="dxa"/>
            <w:right w:w="0" w:type="dxa"/>
          </w:tblCellMar>
        </w:tblPrEx>
        <w:trPr>
          <w:trHeight w:val="375" w:hRule="atLeast"/>
          <w:jc w:val="center"/>
        </w:trPr>
        <w:tc>
          <w:tcPr>
            <w:tcW w:w="41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4</w:t>
            </w: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rPr>
              <w:t>室外雕塑小品2(点位：急诊对面草坪)</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sz w:val="24"/>
              </w:rPr>
            </w:pPr>
            <w:r>
              <w:rPr>
                <w:rFonts w:hint="eastAsia" w:ascii="仿宋" w:hAnsi="仿宋" w:eastAsia="仿宋" w:cs="仿宋"/>
                <w:color w:val="000000"/>
                <w:sz w:val="24"/>
              </w:rPr>
              <w:t>规格：不大于</w:t>
            </w:r>
            <w:r>
              <w:rPr>
                <w:rFonts w:hint="eastAsia" w:ascii="仿宋" w:hAnsi="仿宋" w:eastAsia="仿宋" w:cs="仿宋"/>
                <w:sz w:val="24"/>
              </w:rPr>
              <w:t>4.88m×1.8m,</w:t>
            </w:r>
          </w:p>
          <w:p>
            <w:pPr>
              <w:jc w:val="left"/>
              <w:rPr>
                <w:rFonts w:ascii="仿宋" w:hAnsi="仿宋" w:eastAsia="仿宋" w:cs="仿宋"/>
                <w:sz w:val="24"/>
              </w:rPr>
            </w:pPr>
            <w:r>
              <w:rPr>
                <w:rFonts w:hint="eastAsia" w:ascii="仿宋" w:hAnsi="仿宋" w:eastAsia="仿宋" w:cs="仿宋"/>
                <w:color w:val="000000"/>
                <w:sz w:val="24"/>
              </w:rPr>
              <w:t>材质要求：</w:t>
            </w:r>
            <w:r>
              <w:rPr>
                <w:rFonts w:hint="eastAsia" w:ascii="仿宋" w:hAnsi="仿宋" w:eastAsia="仿宋" w:cs="仿宋"/>
                <w:sz w:val="24"/>
              </w:rPr>
              <w:t>2.5mm厚</w:t>
            </w:r>
            <w:r>
              <w:rPr>
                <w:rFonts w:hint="eastAsia" w:ascii="仿宋" w:hAnsi="仿宋" w:eastAsia="仿宋" w:cs="仿宋"/>
                <w:b/>
                <w:bCs/>
                <w:sz w:val="24"/>
              </w:rPr>
              <w:t>304不锈钢造型</w:t>
            </w:r>
            <w:r>
              <w:rPr>
                <w:rFonts w:hint="eastAsia" w:ascii="仿宋" w:hAnsi="仿宋" w:eastAsia="仿宋" w:cs="仿宋"/>
                <w:b/>
                <w:bCs/>
                <w:sz w:val="24"/>
              </w:rPr>
              <w:drawing>
                <wp:inline distT="0" distB="0" distL="0" distR="0">
                  <wp:extent cx="2170430" cy="1628140"/>
                  <wp:effectExtent l="0" t="0" r="8890" b="2540"/>
                  <wp:docPr id="8" name="图片 8" descr="C:\Users\user.DESKTOP-AGFJ1SV\AppData\Local\Temp\WeChat Files\f441d48846063269a8de699f9e35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user.DESKTOP-AGFJ1SV\AppData\Local\Temp\WeChat Files\f441d48846063269a8de699f9e35ca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91105" cy="1643971"/>
                          </a:xfrm>
                          <a:prstGeom prst="rect">
                            <a:avLst/>
                          </a:prstGeom>
                          <a:noFill/>
                          <a:ln>
                            <a:noFill/>
                          </a:ln>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40000</w:t>
            </w:r>
          </w:p>
        </w:tc>
      </w:tr>
      <w:tr>
        <w:tblPrEx>
          <w:tblCellMar>
            <w:top w:w="0" w:type="dxa"/>
            <w:left w:w="0" w:type="dxa"/>
            <w:bottom w:w="0" w:type="dxa"/>
            <w:right w:w="0" w:type="dxa"/>
          </w:tblCellMar>
        </w:tblPrEx>
        <w:trPr>
          <w:trHeight w:val="375" w:hRule="atLeast"/>
          <w:jc w:val="center"/>
        </w:trPr>
        <w:tc>
          <w:tcPr>
            <w:tcW w:w="410"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5</w:t>
            </w: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rPr>
              <w:t>室外雕塑小品3（点位：门诊西侧草坪）</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sz w:val="24"/>
              </w:rPr>
            </w:pPr>
            <w:r>
              <w:rPr>
                <w:rFonts w:hint="eastAsia" w:ascii="仿宋" w:hAnsi="仿宋" w:eastAsia="仿宋" w:cs="仿宋"/>
                <w:color w:val="000000"/>
                <w:sz w:val="24"/>
              </w:rPr>
              <w:t>规格：不大于</w:t>
            </w:r>
            <w:r>
              <w:rPr>
                <w:rFonts w:hint="eastAsia" w:ascii="仿宋" w:hAnsi="仿宋" w:eastAsia="仿宋" w:cs="仿宋"/>
                <w:sz w:val="24"/>
              </w:rPr>
              <w:t>2.1m*2.1m,</w:t>
            </w:r>
          </w:p>
          <w:p>
            <w:pPr>
              <w:jc w:val="left"/>
              <w:rPr>
                <w:rFonts w:ascii="仿宋" w:hAnsi="仿宋" w:eastAsia="仿宋" w:cs="仿宋"/>
                <w:sz w:val="24"/>
              </w:rPr>
            </w:pPr>
            <w:r>
              <w:rPr>
                <w:rFonts w:hint="eastAsia" w:ascii="仿宋" w:hAnsi="仿宋" w:eastAsia="仿宋" w:cs="仿宋"/>
                <w:color w:val="000000"/>
                <w:sz w:val="24"/>
              </w:rPr>
              <w:t>材质要求：</w:t>
            </w:r>
            <w:r>
              <w:rPr>
                <w:rFonts w:hint="eastAsia" w:ascii="仿宋" w:hAnsi="仿宋" w:eastAsia="仿宋" w:cs="仿宋"/>
                <w:sz w:val="24"/>
              </w:rPr>
              <w:t>2.5mm厚</w:t>
            </w:r>
            <w:r>
              <w:rPr>
                <w:rFonts w:hint="eastAsia" w:ascii="仿宋" w:hAnsi="仿宋" w:eastAsia="仿宋" w:cs="仿宋"/>
                <w:b/>
                <w:bCs/>
                <w:sz w:val="24"/>
              </w:rPr>
              <w:t>304不锈钢造型</w:t>
            </w:r>
            <w:r>
              <w:rPr>
                <w:rFonts w:hint="eastAsia" w:ascii="仿宋" w:hAnsi="仿宋" w:eastAsia="仿宋" w:cs="仿宋"/>
                <w:b/>
                <w:bCs/>
                <w:sz w:val="24"/>
              </w:rPr>
              <w:drawing>
                <wp:inline distT="0" distB="0" distL="0" distR="0">
                  <wp:extent cx="2271395" cy="1704340"/>
                  <wp:effectExtent l="0" t="0" r="14605" b="2540"/>
                  <wp:docPr id="9" name="图片 9" descr="C:\Users\user.DESKTOP-AGFJ1SV\AppData\Local\Temp\WeChat Files\46699a391a222e1deca9d3535add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user.DESKTOP-AGFJ1SV\AppData\Local\Temp\WeChat Files\46699a391a222e1deca9d3535add4d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80168" cy="1710794"/>
                          </a:xfrm>
                          <a:prstGeom prst="rect">
                            <a:avLst/>
                          </a:prstGeom>
                          <a:noFill/>
                          <a:ln>
                            <a:noFill/>
                          </a:ln>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30000</w:t>
            </w:r>
          </w:p>
        </w:tc>
      </w:tr>
      <w:tr>
        <w:tblPrEx>
          <w:tblCellMar>
            <w:top w:w="0" w:type="dxa"/>
            <w:left w:w="0" w:type="dxa"/>
            <w:bottom w:w="0" w:type="dxa"/>
            <w:right w:w="0" w:type="dxa"/>
          </w:tblCellMar>
        </w:tblPrEx>
        <w:trPr>
          <w:trHeight w:val="375" w:hRule="atLeast"/>
          <w:jc w:val="center"/>
        </w:trPr>
        <w:tc>
          <w:tcPr>
            <w:tcW w:w="410"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6</w:t>
            </w:r>
          </w:p>
          <w:p>
            <w:pPr>
              <w:widowControl/>
              <w:jc w:val="center"/>
              <w:textAlignment w:val="center"/>
              <w:rPr>
                <w:rFonts w:ascii="仿宋" w:hAnsi="仿宋" w:eastAsia="仿宋" w:cs="仿宋"/>
                <w:color w:val="000000"/>
                <w:kern w:val="0"/>
                <w:sz w:val="24"/>
              </w:rPr>
            </w:pP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sz w:val="24"/>
              </w:rPr>
            </w:pPr>
            <w:r>
              <w:rPr>
                <w:rFonts w:hint="eastAsia" w:ascii="仿宋" w:hAnsi="仿宋" w:eastAsia="仿宋" w:cs="仿宋"/>
                <w:color w:val="000000"/>
                <w:kern w:val="0"/>
                <w:sz w:val="24"/>
              </w:rPr>
              <w:t>宣传标语1（点位：行政楼电梯）</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color w:val="000000"/>
                <w:sz w:val="24"/>
              </w:rPr>
            </w:pPr>
            <w:r>
              <w:rPr>
                <w:rFonts w:hint="eastAsia" w:ascii="仿宋" w:hAnsi="仿宋" w:eastAsia="仿宋" w:cs="仿宋"/>
                <w:color w:val="000000"/>
                <w:sz w:val="24"/>
              </w:rPr>
              <w:t>材质要求：5mm亚克力UV金色为底，面贴3mm瓷白亚克力雕刻字</w:t>
            </w:r>
            <w:r>
              <w:rPr>
                <w:rFonts w:hint="eastAsia" w:ascii="仿宋" w:hAnsi="仿宋" w:eastAsia="仿宋" w:cs="仿宋"/>
                <w:sz w:val="24"/>
              </w:rPr>
              <w:drawing>
                <wp:inline distT="0" distB="0" distL="0" distR="0">
                  <wp:extent cx="2479040" cy="1536700"/>
                  <wp:effectExtent l="0" t="0" r="508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2479040" cy="1536700"/>
                          </a:xfrm>
                          <a:prstGeom prst="rect">
                            <a:avLst/>
                          </a:prstGeom>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2500</w:t>
            </w:r>
          </w:p>
        </w:tc>
      </w:tr>
      <w:tr>
        <w:tblPrEx>
          <w:tblCellMar>
            <w:top w:w="0" w:type="dxa"/>
            <w:left w:w="0" w:type="dxa"/>
            <w:bottom w:w="0" w:type="dxa"/>
            <w:right w:w="0" w:type="dxa"/>
          </w:tblCellMar>
        </w:tblPrEx>
        <w:trPr>
          <w:trHeight w:val="375" w:hRule="atLeast"/>
          <w:jc w:val="center"/>
        </w:trPr>
        <w:tc>
          <w:tcPr>
            <w:tcW w:w="410" w:type="pct"/>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宣传标语2（点位：行政楼入口）</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color w:val="000000"/>
                <w:sz w:val="24"/>
              </w:rPr>
            </w:pPr>
            <w:r>
              <w:rPr>
                <w:rFonts w:hint="eastAsia" w:ascii="仿宋" w:hAnsi="仿宋" w:eastAsia="仿宋" w:cs="仿宋"/>
                <w:color w:val="000000"/>
                <w:sz w:val="24"/>
              </w:rPr>
              <w:t>规格：单字高度不小于15cm</w:t>
            </w:r>
          </w:p>
          <w:p>
            <w:pPr>
              <w:jc w:val="left"/>
              <w:rPr>
                <w:rFonts w:ascii="仿宋" w:hAnsi="仿宋" w:eastAsia="仿宋" w:cs="仿宋"/>
                <w:color w:val="000000"/>
                <w:sz w:val="24"/>
              </w:rPr>
            </w:pPr>
            <w:r>
              <w:rPr>
                <w:rFonts w:hint="eastAsia" w:ascii="仿宋" w:hAnsi="仿宋" w:eastAsia="仿宋" w:cs="仿宋"/>
                <w:color w:val="000000"/>
                <w:sz w:val="24"/>
              </w:rPr>
              <w:t>材质要求：20mm厚金色</w:t>
            </w:r>
            <w:r>
              <w:rPr>
                <w:rFonts w:hint="eastAsia" w:ascii="仿宋" w:hAnsi="仿宋" w:eastAsia="仿宋" w:cs="仿宋"/>
                <w:b/>
                <w:bCs/>
                <w:color w:val="000000"/>
                <w:sz w:val="24"/>
              </w:rPr>
              <w:t>PVC雕刻、UV图文</w:t>
            </w:r>
            <w:r>
              <w:rPr>
                <w:rFonts w:hint="eastAsia" w:ascii="仿宋" w:hAnsi="仿宋" w:eastAsia="仿宋" w:cs="仿宋"/>
                <w:sz w:val="24"/>
              </w:rPr>
              <w:drawing>
                <wp:inline distT="0" distB="0" distL="0" distR="0">
                  <wp:extent cx="2479040" cy="1994535"/>
                  <wp:effectExtent l="0" t="0" r="508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stretch>
                            <a:fillRect/>
                          </a:stretch>
                        </pic:blipFill>
                        <pic:spPr>
                          <a:xfrm>
                            <a:off x="0" y="0"/>
                            <a:ext cx="2479040" cy="1994535"/>
                          </a:xfrm>
                          <a:prstGeom prst="rect">
                            <a:avLst/>
                          </a:prstGeom>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2500</w:t>
            </w:r>
          </w:p>
        </w:tc>
      </w:tr>
      <w:tr>
        <w:tblPrEx>
          <w:tblCellMar>
            <w:top w:w="0" w:type="dxa"/>
            <w:left w:w="0" w:type="dxa"/>
            <w:bottom w:w="0" w:type="dxa"/>
            <w:right w:w="0" w:type="dxa"/>
          </w:tblCellMar>
        </w:tblPrEx>
        <w:trPr>
          <w:trHeight w:val="375" w:hRule="atLeast"/>
          <w:jc w:val="center"/>
        </w:trPr>
        <w:tc>
          <w:tcPr>
            <w:tcW w:w="410" w:type="pct"/>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宣传标语3（点位：门诊大厅入口）</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color w:val="000000"/>
                <w:sz w:val="24"/>
              </w:rPr>
            </w:pPr>
            <w:r>
              <w:rPr>
                <w:rFonts w:hint="eastAsia" w:ascii="仿宋" w:hAnsi="仿宋" w:eastAsia="仿宋" w:cs="仿宋"/>
                <w:color w:val="000000"/>
                <w:sz w:val="24"/>
              </w:rPr>
              <w:t>规格：单字高度不小于35cm</w:t>
            </w:r>
          </w:p>
          <w:p>
            <w:pPr>
              <w:jc w:val="left"/>
              <w:rPr>
                <w:rFonts w:ascii="仿宋" w:hAnsi="仿宋" w:eastAsia="仿宋" w:cs="仿宋"/>
                <w:color w:val="000000"/>
                <w:sz w:val="24"/>
              </w:rPr>
            </w:pPr>
            <w:r>
              <w:rPr>
                <w:rFonts w:hint="eastAsia" w:ascii="仿宋" w:hAnsi="仿宋" w:eastAsia="仿宋" w:cs="仿宋"/>
                <w:color w:val="000000"/>
                <w:sz w:val="24"/>
              </w:rPr>
              <w:t>材质要求：20mm厚金色</w:t>
            </w:r>
            <w:r>
              <w:rPr>
                <w:rFonts w:hint="eastAsia" w:ascii="仿宋" w:hAnsi="仿宋" w:eastAsia="仿宋" w:cs="仿宋"/>
                <w:b/>
                <w:bCs/>
                <w:color w:val="000000"/>
                <w:sz w:val="24"/>
              </w:rPr>
              <w:t>PVC雕刻、UV图文</w:t>
            </w:r>
            <w:r>
              <w:rPr>
                <w:rFonts w:hint="eastAsia" w:ascii="仿宋" w:hAnsi="仿宋" w:eastAsia="仿宋" w:cs="仿宋"/>
                <w:sz w:val="24"/>
              </w:rPr>
              <w:drawing>
                <wp:inline distT="0" distB="0" distL="0" distR="0">
                  <wp:extent cx="2479040" cy="825500"/>
                  <wp:effectExtent l="0" t="0" r="508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stretch>
                            <a:fillRect/>
                          </a:stretch>
                        </pic:blipFill>
                        <pic:spPr>
                          <a:xfrm>
                            <a:off x="0" y="0"/>
                            <a:ext cx="2479040" cy="825500"/>
                          </a:xfrm>
                          <a:prstGeom prst="rect">
                            <a:avLst/>
                          </a:prstGeom>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2500</w:t>
            </w:r>
          </w:p>
        </w:tc>
      </w:tr>
      <w:tr>
        <w:tblPrEx>
          <w:tblCellMar>
            <w:top w:w="0" w:type="dxa"/>
            <w:left w:w="0" w:type="dxa"/>
            <w:bottom w:w="0" w:type="dxa"/>
            <w:right w:w="0" w:type="dxa"/>
          </w:tblCellMar>
        </w:tblPrEx>
        <w:trPr>
          <w:trHeight w:val="375" w:hRule="atLeast"/>
          <w:jc w:val="center"/>
        </w:trPr>
        <w:tc>
          <w:tcPr>
            <w:tcW w:w="410" w:type="pct"/>
            <w:vMerge w:val="continue"/>
            <w:tcBorders>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宣传标语4（点位：原抗疫墙）</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color w:val="000000"/>
                <w:sz w:val="24"/>
              </w:rPr>
            </w:pPr>
            <w:r>
              <w:rPr>
                <w:rFonts w:hint="eastAsia" w:ascii="仿宋" w:hAnsi="仿宋" w:eastAsia="仿宋" w:cs="仿宋"/>
                <w:color w:val="000000"/>
                <w:sz w:val="24"/>
              </w:rPr>
              <w:t>规格：单字高度不小于15cm</w:t>
            </w:r>
          </w:p>
          <w:p>
            <w:pPr>
              <w:jc w:val="left"/>
              <w:rPr>
                <w:rFonts w:ascii="仿宋" w:hAnsi="仿宋" w:eastAsia="仿宋" w:cs="仿宋"/>
                <w:color w:val="000000"/>
                <w:sz w:val="24"/>
              </w:rPr>
            </w:pPr>
            <w:r>
              <w:rPr>
                <w:rFonts w:hint="eastAsia" w:ascii="仿宋" w:hAnsi="仿宋" w:eastAsia="仿宋" w:cs="仿宋"/>
                <w:color w:val="000000"/>
                <w:sz w:val="24"/>
              </w:rPr>
              <w:t>材质要求：20mm厚金色</w:t>
            </w:r>
            <w:r>
              <w:rPr>
                <w:rFonts w:hint="eastAsia" w:ascii="仿宋" w:hAnsi="仿宋" w:eastAsia="仿宋" w:cs="仿宋"/>
                <w:b/>
                <w:bCs/>
                <w:color w:val="000000"/>
                <w:sz w:val="24"/>
              </w:rPr>
              <w:t>PVC雕刻、UV图文</w:t>
            </w:r>
            <w:r>
              <w:rPr>
                <w:rFonts w:hint="eastAsia" w:ascii="仿宋" w:hAnsi="仿宋" w:eastAsia="仿宋" w:cs="仿宋"/>
                <w:sz w:val="24"/>
              </w:rPr>
              <w:drawing>
                <wp:inline distT="0" distB="0" distL="0" distR="0">
                  <wp:extent cx="2479040" cy="1802130"/>
                  <wp:effectExtent l="0" t="0" r="508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2479040" cy="1802130"/>
                          </a:xfrm>
                          <a:prstGeom prst="rect">
                            <a:avLst/>
                          </a:prstGeom>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2500</w:t>
            </w:r>
          </w:p>
        </w:tc>
      </w:tr>
      <w:tr>
        <w:tblPrEx>
          <w:tblCellMar>
            <w:top w:w="0" w:type="dxa"/>
            <w:left w:w="0" w:type="dxa"/>
            <w:bottom w:w="0" w:type="dxa"/>
            <w:right w:w="0" w:type="dxa"/>
          </w:tblCellMar>
        </w:tblPrEx>
        <w:trPr>
          <w:trHeight w:val="375" w:hRule="atLeast"/>
          <w:jc w:val="center"/>
        </w:trPr>
        <w:tc>
          <w:tcPr>
            <w:tcW w:w="410"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宣传标语5（点位：科教处入口）</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color w:val="000000"/>
                <w:sz w:val="24"/>
              </w:rPr>
            </w:pPr>
            <w:r>
              <w:rPr>
                <w:rFonts w:hint="eastAsia" w:ascii="仿宋" w:hAnsi="仿宋" w:eastAsia="仿宋" w:cs="仿宋"/>
                <w:color w:val="000000"/>
                <w:sz w:val="24"/>
              </w:rPr>
              <w:t>规格：单字高度不小于15cm</w:t>
            </w:r>
          </w:p>
          <w:p>
            <w:pPr>
              <w:jc w:val="left"/>
              <w:rPr>
                <w:rFonts w:ascii="仿宋" w:hAnsi="仿宋" w:eastAsia="仿宋" w:cs="仿宋"/>
                <w:color w:val="000000"/>
                <w:sz w:val="24"/>
              </w:rPr>
            </w:pPr>
            <w:r>
              <w:rPr>
                <w:rFonts w:hint="eastAsia" w:ascii="仿宋" w:hAnsi="仿宋" w:eastAsia="仿宋" w:cs="仿宋"/>
                <w:color w:val="000000"/>
                <w:sz w:val="24"/>
              </w:rPr>
              <w:t>材质要求：20mm厚金色</w:t>
            </w:r>
            <w:r>
              <w:rPr>
                <w:rFonts w:hint="eastAsia" w:ascii="仿宋" w:hAnsi="仿宋" w:eastAsia="仿宋" w:cs="仿宋"/>
                <w:b/>
                <w:bCs/>
                <w:color w:val="000000"/>
                <w:sz w:val="24"/>
              </w:rPr>
              <w:t>PVC雕刻、UV图文</w:t>
            </w:r>
            <w:r>
              <w:rPr>
                <w:rFonts w:hint="eastAsia" w:ascii="仿宋" w:hAnsi="仿宋" w:eastAsia="仿宋" w:cs="仿宋"/>
                <w:sz w:val="24"/>
              </w:rPr>
              <w:drawing>
                <wp:inline distT="0" distB="0" distL="0" distR="0">
                  <wp:extent cx="2479040" cy="751205"/>
                  <wp:effectExtent l="0" t="0" r="508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stretch>
                            <a:fillRect/>
                          </a:stretch>
                        </pic:blipFill>
                        <pic:spPr>
                          <a:xfrm>
                            <a:off x="0" y="0"/>
                            <a:ext cx="2479040" cy="751205"/>
                          </a:xfrm>
                          <a:prstGeom prst="rect">
                            <a:avLst/>
                          </a:prstGeom>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块</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2500</w:t>
            </w:r>
          </w:p>
        </w:tc>
      </w:tr>
      <w:tr>
        <w:tblPrEx>
          <w:tblCellMar>
            <w:top w:w="0" w:type="dxa"/>
            <w:left w:w="0" w:type="dxa"/>
            <w:bottom w:w="0" w:type="dxa"/>
            <w:right w:w="0" w:type="dxa"/>
          </w:tblCellMar>
        </w:tblPrEx>
        <w:trPr>
          <w:trHeight w:val="375" w:hRule="atLeast"/>
          <w:jc w:val="center"/>
        </w:trPr>
        <w:tc>
          <w:tcPr>
            <w:tcW w:w="410"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7</w:t>
            </w: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温馨提示1（草坪）</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color w:val="000000"/>
                <w:sz w:val="24"/>
              </w:rPr>
            </w:pPr>
            <w:r>
              <w:rPr>
                <w:rFonts w:hint="eastAsia" w:ascii="仿宋" w:hAnsi="仿宋" w:eastAsia="仿宋" w:cs="仿宋"/>
                <w:color w:val="000000"/>
                <w:sz w:val="24"/>
              </w:rPr>
              <w:t>规格：不大于0.72m*0.8m，</w:t>
            </w:r>
          </w:p>
          <w:p>
            <w:pPr>
              <w:jc w:val="left"/>
              <w:rPr>
                <w:rFonts w:ascii="仿宋" w:hAnsi="仿宋" w:eastAsia="仿宋" w:cs="仿宋"/>
                <w:color w:val="000000"/>
                <w:sz w:val="24"/>
              </w:rPr>
            </w:pPr>
            <w:r>
              <w:rPr>
                <w:rFonts w:hint="eastAsia" w:ascii="仿宋" w:hAnsi="仿宋" w:eastAsia="仿宋" w:cs="仿宋"/>
                <w:color w:val="000000"/>
                <w:sz w:val="24"/>
              </w:rPr>
              <w:t>材质要求：2mm</w:t>
            </w:r>
            <w:r>
              <w:rPr>
                <w:rFonts w:hint="eastAsia" w:ascii="仿宋" w:hAnsi="仿宋" w:eastAsia="仿宋" w:cs="仿宋"/>
                <w:b/>
                <w:bCs/>
                <w:color w:val="000000"/>
                <w:sz w:val="24"/>
              </w:rPr>
              <w:t>304不锈钢</w:t>
            </w:r>
            <w:r>
              <w:rPr>
                <w:rFonts w:hint="eastAsia" w:ascii="仿宋" w:hAnsi="仿宋" w:eastAsia="仿宋" w:cs="仿宋"/>
                <w:color w:val="000000"/>
                <w:sz w:val="24"/>
              </w:rPr>
              <w:t>，厚度3cm</w:t>
            </w:r>
          </w:p>
          <w:p>
            <w:pPr>
              <w:jc w:val="left"/>
              <w:rPr>
                <w:rFonts w:ascii="仿宋" w:hAnsi="仿宋" w:eastAsia="仿宋" w:cs="仿宋"/>
                <w:color w:val="000000"/>
                <w:sz w:val="24"/>
              </w:rPr>
            </w:pPr>
            <w:r>
              <w:rPr>
                <w:rFonts w:hint="eastAsia" w:ascii="仿宋" w:hAnsi="仿宋" w:eastAsia="仿宋" w:cs="仿宋"/>
                <w:color w:val="000000"/>
                <w:sz w:val="24"/>
              </w:rPr>
              <w:drawing>
                <wp:inline distT="0" distB="0" distL="0" distR="0">
                  <wp:extent cx="2133600" cy="1294765"/>
                  <wp:effectExtent l="0" t="0" r="0" b="635"/>
                  <wp:docPr id="4" name="图片 4" descr="C:\Users\user.DESKTOP-AGFJ1SV\AppData\Local\Temp\WeChat Files\41a9b8b61d170798874c245a82c1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DESKTOP-AGFJ1SV\AppData\Local\Temp\WeChat Files\41a9b8b61d170798874c245a82c1f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44534" cy="1301400"/>
                          </a:xfrm>
                          <a:prstGeom prst="rect">
                            <a:avLst/>
                          </a:prstGeom>
                          <a:noFill/>
                          <a:ln>
                            <a:noFill/>
                          </a:ln>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sz w:val="24"/>
              </w:rPr>
              <w:t>个</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10</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2000</w:t>
            </w:r>
          </w:p>
        </w:tc>
      </w:tr>
      <w:tr>
        <w:tblPrEx>
          <w:tblCellMar>
            <w:top w:w="0" w:type="dxa"/>
            <w:left w:w="0" w:type="dxa"/>
            <w:bottom w:w="0" w:type="dxa"/>
            <w:right w:w="0" w:type="dxa"/>
          </w:tblCellMar>
        </w:tblPrEx>
        <w:trPr>
          <w:trHeight w:val="375" w:hRule="atLeast"/>
          <w:jc w:val="center"/>
        </w:trPr>
        <w:tc>
          <w:tcPr>
            <w:tcW w:w="410" w:type="pct"/>
            <w:vMerge w:val="continue"/>
            <w:tcBorders>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p>
        </w:tc>
        <w:tc>
          <w:tcPr>
            <w:tcW w:w="71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仿宋" w:hAnsi="仿宋" w:eastAsia="仿宋" w:cs="仿宋"/>
                <w:color w:val="000000"/>
                <w:kern w:val="0"/>
                <w:sz w:val="24"/>
              </w:rPr>
            </w:pPr>
            <w:r>
              <w:rPr>
                <w:rFonts w:hint="eastAsia" w:ascii="仿宋" w:hAnsi="仿宋" w:eastAsia="仿宋" w:cs="仿宋"/>
                <w:color w:val="000000"/>
                <w:kern w:val="0"/>
                <w:sz w:val="24"/>
              </w:rPr>
              <w:t>温馨提示2（草坪）</w:t>
            </w:r>
          </w:p>
        </w:tc>
        <w:tc>
          <w:tcPr>
            <w:tcW w:w="266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仿宋" w:hAnsi="仿宋" w:eastAsia="仿宋" w:cs="仿宋"/>
                <w:color w:val="000000"/>
                <w:sz w:val="24"/>
              </w:rPr>
            </w:pPr>
            <w:r>
              <w:rPr>
                <w:rFonts w:hint="eastAsia" w:ascii="仿宋" w:hAnsi="仿宋" w:eastAsia="仿宋" w:cs="仿宋"/>
                <w:color w:val="000000"/>
                <w:sz w:val="24"/>
              </w:rPr>
              <w:t>规格：不大于0.5m*0.48m,</w:t>
            </w:r>
          </w:p>
          <w:p>
            <w:pPr>
              <w:jc w:val="left"/>
              <w:rPr>
                <w:rFonts w:ascii="仿宋" w:hAnsi="仿宋" w:eastAsia="仿宋" w:cs="仿宋"/>
                <w:color w:val="000000"/>
                <w:sz w:val="24"/>
              </w:rPr>
            </w:pPr>
            <w:r>
              <w:rPr>
                <w:rFonts w:hint="eastAsia" w:ascii="仿宋" w:hAnsi="仿宋" w:eastAsia="仿宋" w:cs="仿宋"/>
                <w:color w:val="000000"/>
                <w:sz w:val="24"/>
              </w:rPr>
              <w:t>材质要求：2mm</w:t>
            </w:r>
            <w:r>
              <w:rPr>
                <w:rFonts w:hint="eastAsia" w:ascii="仿宋" w:hAnsi="仿宋" w:eastAsia="仿宋" w:cs="仿宋"/>
                <w:b/>
                <w:bCs/>
                <w:color w:val="000000"/>
                <w:sz w:val="24"/>
              </w:rPr>
              <w:t>304不锈钢</w:t>
            </w:r>
            <w:r>
              <w:rPr>
                <w:rFonts w:hint="eastAsia" w:ascii="仿宋" w:hAnsi="仿宋" w:eastAsia="仿宋" w:cs="仿宋"/>
                <w:color w:val="000000"/>
                <w:sz w:val="24"/>
              </w:rPr>
              <w:t>，厚度3cm</w:t>
            </w:r>
            <w:r>
              <w:rPr>
                <w:rFonts w:hint="eastAsia" w:ascii="仿宋" w:hAnsi="仿宋" w:eastAsia="仿宋" w:cs="仿宋"/>
                <w:color w:val="000000"/>
                <w:sz w:val="24"/>
              </w:rPr>
              <w:drawing>
                <wp:inline distT="0" distB="0" distL="0" distR="0">
                  <wp:extent cx="2209800" cy="1294765"/>
                  <wp:effectExtent l="0" t="0" r="0" b="635"/>
                  <wp:docPr id="1" name="图片 1" descr="C:\Users\user.DESKTOP-AGFJ1SV\AppData\Local\Temp\WeChat Files\41a9b8b61d170798874c245a82c1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user.DESKTOP-AGFJ1SV\AppData\Local\Temp\WeChat Files\41a9b8b61d170798874c245a82c1f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09800" cy="1301400"/>
                          </a:xfrm>
                          <a:prstGeom prst="rect">
                            <a:avLst/>
                          </a:prstGeom>
                          <a:noFill/>
                          <a:ln>
                            <a:noFill/>
                          </a:ln>
                        </pic:spPr>
                      </pic:pic>
                    </a:graphicData>
                  </a:graphic>
                </wp:inline>
              </w:drawing>
            </w:r>
          </w:p>
        </w:tc>
        <w:tc>
          <w:tcPr>
            <w:tcW w:w="37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个</w:t>
            </w:r>
          </w:p>
        </w:tc>
        <w:tc>
          <w:tcPr>
            <w:tcW w:w="30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10</w:t>
            </w:r>
          </w:p>
        </w:tc>
        <w:tc>
          <w:tcPr>
            <w:tcW w:w="52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 w:hAnsi="仿宋" w:eastAsia="仿宋" w:cs="仿宋"/>
                <w:color w:val="000000"/>
                <w:sz w:val="24"/>
              </w:rPr>
            </w:pPr>
            <w:r>
              <w:rPr>
                <w:rFonts w:hint="eastAsia" w:ascii="仿宋" w:hAnsi="仿宋" w:eastAsia="仿宋" w:cs="仿宋"/>
                <w:color w:val="000000"/>
                <w:sz w:val="24"/>
              </w:rPr>
              <w:t>2000</w:t>
            </w:r>
          </w:p>
        </w:tc>
      </w:tr>
    </w:tbl>
    <w:p>
      <w:pPr>
        <w:snapToGrid w:val="0"/>
        <w:ind w:firstLine="482" w:firstLineChars="200"/>
        <w:jc w:val="left"/>
        <w:rPr>
          <w:rFonts w:ascii="仿宋" w:hAnsi="仿宋" w:eastAsia="仿宋" w:cs="仿宋"/>
          <w:b/>
          <w:bCs/>
          <w:sz w:val="24"/>
        </w:rPr>
      </w:pPr>
      <w:bookmarkStart w:id="169" w:name="_GoBack"/>
      <w:bookmarkEnd w:id="169"/>
      <w:r>
        <w:rPr>
          <w:rFonts w:hint="eastAsia" w:ascii="仿宋" w:hAnsi="仿宋" w:eastAsia="仿宋" w:cs="仿宋"/>
          <w:b/>
          <w:bCs/>
          <w:sz w:val="24"/>
        </w:rPr>
        <w:t>注1：项目报价以设计制作项目清单中的上限单价为基准，投标人按统一折扣报价。折扣报价=成交单价/上限单价*100%。投标人根据自身实际情况，自行确定一个折扣，折扣保留百分比小数点后一位，即**.*%</w:t>
      </w:r>
    </w:p>
    <w:p>
      <w:pPr>
        <w:pStyle w:val="293"/>
        <w:ind w:firstLine="482"/>
        <w:rPr>
          <w:rFonts w:ascii="仿宋" w:hAnsi="仿宋" w:eastAsia="仿宋" w:cs="仿宋"/>
          <w:b/>
          <w:bCs/>
          <w:szCs w:val="24"/>
          <w:lang w:val="en-US"/>
        </w:rPr>
      </w:pPr>
      <w:r>
        <w:rPr>
          <w:rFonts w:hint="eastAsia" w:ascii="仿宋" w:hAnsi="仿宋" w:eastAsia="仿宋" w:cs="仿宋"/>
          <w:b/>
          <w:bCs/>
          <w:szCs w:val="24"/>
          <w:lang w:val="en-US"/>
        </w:rPr>
        <w:t>注：1、表中尺寸仅供参考，中标单位在项目实施前应根据招标方的实际场地进行设计，尺寸误差率在10%范围内，价格不作调整；招标人保留在签约时调整采购数量的权力，投标人按投标单价不变的前提下进行调整。</w:t>
      </w:r>
    </w:p>
    <w:p>
      <w:pPr>
        <w:pStyle w:val="293"/>
        <w:numPr>
          <w:ilvl w:val="0"/>
          <w:numId w:val="5"/>
        </w:numPr>
        <w:ind w:left="421" w:firstLine="482"/>
        <w:rPr>
          <w:rFonts w:ascii="仿宋" w:hAnsi="仿宋" w:eastAsia="仿宋" w:cs="仿宋"/>
          <w:b/>
          <w:bCs/>
          <w:szCs w:val="24"/>
          <w:lang w:val="en-US"/>
        </w:rPr>
      </w:pPr>
      <w:r>
        <w:rPr>
          <w:rFonts w:hint="eastAsia" w:ascii="仿宋" w:hAnsi="仿宋" w:eastAsia="仿宋" w:cs="仿宋"/>
          <w:b/>
          <w:bCs/>
          <w:szCs w:val="24"/>
          <w:lang w:val="en-US"/>
        </w:rPr>
        <w:t>本项目投标人全套设计成果归招标人所有，设计成果的使用由招标人决定，包括实施方案调整、修改、传播、宣传、介绍和展示等。</w:t>
      </w:r>
    </w:p>
    <w:p>
      <w:pPr>
        <w:spacing w:line="440" w:lineRule="exact"/>
        <w:jc w:val="left"/>
        <w:rPr>
          <w:rFonts w:ascii="仿宋" w:hAnsi="仿宋" w:eastAsia="仿宋" w:cs="仿宋"/>
          <w:b/>
          <w:bCs/>
          <w:sz w:val="24"/>
        </w:rPr>
      </w:pPr>
      <w:r>
        <w:rPr>
          <w:rFonts w:hint="eastAsia" w:ascii="仿宋" w:hAnsi="仿宋" w:eastAsia="仿宋" w:cs="仿宋"/>
          <w:b/>
          <w:bCs/>
          <w:sz w:val="24"/>
        </w:rPr>
        <w:t xml:space="preserve">二、设计要求： </w:t>
      </w:r>
    </w:p>
    <w:p>
      <w:pPr>
        <w:spacing w:line="440" w:lineRule="exact"/>
        <w:jc w:val="left"/>
        <w:rPr>
          <w:rFonts w:ascii="仿宋" w:hAnsi="仿宋" w:eastAsia="仿宋" w:cs="仿宋"/>
          <w:sz w:val="24"/>
        </w:rPr>
      </w:pPr>
      <w:r>
        <w:rPr>
          <w:rFonts w:hint="eastAsia" w:ascii="仿宋" w:hAnsi="仿宋" w:eastAsia="仿宋" w:cs="仿宋"/>
          <w:sz w:val="24"/>
        </w:rPr>
        <w:t>1、产品需根据绍兴市人民医院党建文化来设计。</w:t>
      </w:r>
    </w:p>
    <w:p>
      <w:pPr>
        <w:spacing w:line="440" w:lineRule="exact"/>
        <w:jc w:val="left"/>
        <w:rPr>
          <w:rFonts w:ascii="仿宋" w:hAnsi="仿宋" w:eastAsia="仿宋" w:cs="仿宋"/>
          <w:sz w:val="24"/>
        </w:rPr>
      </w:pPr>
      <w:r>
        <w:rPr>
          <w:rFonts w:hint="eastAsia" w:ascii="仿宋" w:hAnsi="仿宋" w:eastAsia="仿宋" w:cs="仿宋"/>
          <w:sz w:val="24"/>
        </w:rPr>
        <w:t>2、产品设计要求富有创意，布局合理，功能完善，综合分析现场环境情况，充分展现医院特色。设计上要与原有的生态自然景观相融合，在设计和施工中突出“因地制宜、彰显特色、绿色低碳”等核心要素，后期维护要求简单易行，成本低廉。</w:t>
      </w:r>
    </w:p>
    <w:p>
      <w:pPr>
        <w:widowControl/>
        <w:spacing w:line="360" w:lineRule="auto"/>
        <w:rPr>
          <w:rFonts w:ascii="仿宋" w:hAnsi="仿宋" w:eastAsia="仿宋" w:cs="仿宋"/>
          <w:sz w:val="24"/>
        </w:rPr>
      </w:pPr>
      <w:r>
        <w:rPr>
          <w:rFonts w:hint="eastAsia" w:ascii="仿宋" w:hAnsi="仿宋" w:eastAsia="仿宋" w:cs="仿宋"/>
          <w:sz w:val="24"/>
        </w:rPr>
        <w:t>3、产品体现形式应充分考虑多样性和个性化定制，做到表现手法服务于内容，服务于空间，技术表现注重创意和创新性。</w:t>
      </w:r>
    </w:p>
    <w:p>
      <w:pPr>
        <w:widowControl/>
        <w:spacing w:line="360" w:lineRule="auto"/>
        <w:rPr>
          <w:rFonts w:ascii="仿宋" w:hAnsi="仿宋" w:eastAsia="仿宋" w:cs="仿宋"/>
          <w:sz w:val="24"/>
        </w:rPr>
      </w:pPr>
      <w:r>
        <w:rPr>
          <w:rFonts w:hint="eastAsia" w:ascii="仿宋" w:hAnsi="仿宋" w:eastAsia="仿宋" w:cs="仿宋"/>
          <w:sz w:val="24"/>
        </w:rPr>
        <w:t>4. 如需成批产品批量制作安装，投标人应先制作安装单个产品供招标人确认。</w:t>
      </w:r>
    </w:p>
    <w:p>
      <w:pPr>
        <w:widowControl/>
        <w:spacing w:line="360" w:lineRule="auto"/>
        <w:rPr>
          <w:rFonts w:ascii="仿宋" w:hAnsi="仿宋" w:eastAsia="仿宋" w:cs="仿宋"/>
          <w:sz w:val="24"/>
        </w:rPr>
      </w:pPr>
      <w:r>
        <w:rPr>
          <w:rFonts w:hint="eastAsia" w:ascii="仿宋" w:hAnsi="仿宋" w:eastAsia="仿宋" w:cs="仿宋"/>
          <w:sz w:val="24"/>
        </w:rPr>
        <w:t>5. 中标人应承诺保护招标人在使用合同产品或其任何一部分时不受第三方提出侵犯专利权、商标权和工业设计权等的起诉。如果任何第三方提出侵权指控，由中标人负责与第三方交涉并承担可能发生的一切费用和相关法律责任，招标人不承担由此引起的一切经济和法律责任。</w:t>
      </w:r>
    </w:p>
    <w:p>
      <w:pPr>
        <w:widowControl/>
        <w:spacing w:line="360" w:lineRule="auto"/>
        <w:rPr>
          <w:rFonts w:ascii="仿宋" w:hAnsi="仿宋" w:eastAsia="仿宋" w:cs="仿宋"/>
          <w:sz w:val="24"/>
        </w:rPr>
      </w:pPr>
      <w:r>
        <w:rPr>
          <w:rFonts w:hint="eastAsia" w:ascii="仿宋" w:hAnsi="仿宋" w:eastAsia="仿宋" w:cs="仿宋"/>
          <w:sz w:val="24"/>
        </w:rPr>
        <w:t>6.产品质量技术要求</w:t>
      </w:r>
    </w:p>
    <w:p>
      <w:pPr>
        <w:widowControl/>
        <w:spacing w:line="360" w:lineRule="auto"/>
        <w:rPr>
          <w:rFonts w:ascii="仿宋" w:hAnsi="仿宋" w:eastAsia="仿宋" w:cs="仿宋"/>
          <w:sz w:val="24"/>
        </w:rPr>
      </w:pPr>
      <w:r>
        <w:rPr>
          <w:rFonts w:hint="eastAsia" w:ascii="仿宋" w:hAnsi="仿宋" w:eastAsia="仿宋" w:cs="仿宋"/>
          <w:sz w:val="24"/>
        </w:rPr>
        <w:t>6.1 所有设计的图形符合GB10001-94公共信息标志图形符号的规定，以及相关的国家，行业标准要求。</w:t>
      </w:r>
    </w:p>
    <w:p>
      <w:pPr>
        <w:widowControl/>
        <w:spacing w:line="360" w:lineRule="auto"/>
        <w:rPr>
          <w:rFonts w:ascii="仿宋" w:hAnsi="仿宋" w:eastAsia="仿宋" w:cs="仿宋"/>
          <w:sz w:val="24"/>
        </w:rPr>
      </w:pPr>
      <w:r>
        <w:rPr>
          <w:rFonts w:hint="eastAsia" w:ascii="仿宋" w:hAnsi="仿宋" w:eastAsia="仿宋" w:cs="仿宋"/>
          <w:sz w:val="24"/>
        </w:rPr>
        <w:t>6.2 产品所使用的各种钢材均应使用国标钢材，焊接均为满焊，并应打磨光滑。折边及连接缝光滑平顺。</w:t>
      </w:r>
    </w:p>
    <w:p>
      <w:pPr>
        <w:widowControl/>
        <w:spacing w:line="360" w:lineRule="auto"/>
        <w:rPr>
          <w:rFonts w:ascii="仿宋" w:hAnsi="仿宋" w:eastAsia="仿宋" w:cs="仿宋"/>
          <w:sz w:val="24"/>
        </w:rPr>
      </w:pPr>
      <w:r>
        <w:rPr>
          <w:rFonts w:hint="eastAsia" w:ascii="仿宋" w:hAnsi="仿宋" w:eastAsia="仿宋" w:cs="仿宋"/>
          <w:sz w:val="24"/>
        </w:rPr>
        <w:t>6.3 产品使用的材料应为优质产品，并符合环保要求，所含有的可能危害环境和人体健康的元素不得超过限量标准。</w:t>
      </w:r>
    </w:p>
    <w:p>
      <w:pPr>
        <w:widowControl/>
        <w:spacing w:line="360" w:lineRule="auto"/>
        <w:rPr>
          <w:rFonts w:ascii="仿宋" w:hAnsi="仿宋" w:eastAsia="仿宋" w:cs="仿宋"/>
          <w:sz w:val="24"/>
        </w:rPr>
      </w:pPr>
      <w:r>
        <w:rPr>
          <w:rFonts w:hint="eastAsia" w:ascii="仿宋" w:hAnsi="仿宋" w:eastAsia="仿宋" w:cs="仿宋"/>
          <w:sz w:val="24"/>
        </w:rPr>
        <w:t>6.4 发光产品保证亮度均匀一致，所有发光标牌均要考虑安装及检修的方便。</w:t>
      </w:r>
    </w:p>
    <w:p>
      <w:pPr>
        <w:widowControl/>
        <w:spacing w:line="360" w:lineRule="auto"/>
        <w:rPr>
          <w:rFonts w:ascii="仿宋" w:hAnsi="仿宋" w:eastAsia="仿宋" w:cs="仿宋"/>
          <w:sz w:val="24"/>
        </w:rPr>
      </w:pPr>
      <w:r>
        <w:rPr>
          <w:rFonts w:hint="eastAsia" w:ascii="仿宋" w:hAnsi="仿宋" w:eastAsia="仿宋" w:cs="仿宋"/>
          <w:sz w:val="24"/>
        </w:rPr>
        <w:t>6.5 所有大型的安装挂件、预埋件，螺栓均采用镀锌防腐处理。户外产品应特别做好防腐、防水、防紫外线老化的措施。</w:t>
      </w:r>
    </w:p>
    <w:p>
      <w:pPr>
        <w:widowControl/>
        <w:spacing w:line="360" w:lineRule="auto"/>
        <w:rPr>
          <w:rFonts w:ascii="仿宋" w:hAnsi="仿宋" w:eastAsia="仿宋" w:cs="仿宋"/>
          <w:sz w:val="24"/>
        </w:rPr>
      </w:pPr>
      <w:r>
        <w:rPr>
          <w:rFonts w:hint="eastAsia" w:ascii="仿宋" w:hAnsi="仿宋" w:eastAsia="仿宋" w:cs="仿宋"/>
          <w:sz w:val="24"/>
        </w:rPr>
        <w:t>6.6 产品烤漆表面应保证光滑致密，可靠耐磨，无明显气泡、划痕、鼓包等瑕疵。丝网印刷和反光膜字符、图画应清晰平正、无明显瑕疵。</w:t>
      </w:r>
    </w:p>
    <w:p>
      <w:pPr>
        <w:widowControl/>
        <w:spacing w:line="360" w:lineRule="auto"/>
        <w:rPr>
          <w:rFonts w:ascii="仿宋" w:hAnsi="仿宋" w:eastAsia="仿宋" w:cs="仿宋"/>
          <w:sz w:val="24"/>
        </w:rPr>
      </w:pPr>
      <w:r>
        <w:rPr>
          <w:rFonts w:hint="eastAsia" w:ascii="仿宋" w:hAnsi="仿宋" w:eastAsia="仿宋" w:cs="仿宋"/>
          <w:sz w:val="24"/>
        </w:rPr>
        <w:t>6.7 大型产品各部应连接可靠、整体横平竖直，埋地的产品稳固牢靠，抗风耐雨，不得歪斜松动。</w:t>
      </w:r>
    </w:p>
    <w:p>
      <w:pPr>
        <w:widowControl/>
        <w:spacing w:line="360" w:lineRule="auto"/>
        <w:rPr>
          <w:rFonts w:ascii="仿宋" w:hAnsi="仿宋" w:eastAsia="仿宋" w:cs="仿宋"/>
          <w:sz w:val="24"/>
        </w:rPr>
      </w:pPr>
      <w:r>
        <w:rPr>
          <w:rFonts w:hint="eastAsia" w:ascii="仿宋" w:hAnsi="仿宋" w:eastAsia="仿宋" w:cs="仿宋"/>
          <w:sz w:val="24"/>
        </w:rPr>
        <w:t>6.8 产品切口不留有毛刺、金属削及其他污染物。成品的表面，不论是表面或其他涂层，均无划痕和碰损。</w:t>
      </w:r>
    </w:p>
    <w:p>
      <w:pPr>
        <w:pStyle w:val="293"/>
        <w:ind w:firstLine="0" w:firstLineChars="0"/>
        <w:rPr>
          <w:rFonts w:ascii="仿宋" w:hAnsi="仿宋" w:eastAsia="仿宋" w:cs="仿宋"/>
          <w:szCs w:val="24"/>
        </w:rPr>
      </w:pPr>
      <w:r>
        <w:rPr>
          <w:rFonts w:hint="eastAsia" w:ascii="仿宋" w:hAnsi="仿宋" w:eastAsia="仿宋" w:cs="仿宋"/>
          <w:szCs w:val="24"/>
          <w:lang w:val="en-US"/>
        </w:rPr>
        <w:t>6</w:t>
      </w:r>
      <w:r>
        <w:rPr>
          <w:rFonts w:hint="eastAsia" w:ascii="仿宋" w:hAnsi="仿宋" w:eastAsia="仿宋" w:cs="仿宋"/>
          <w:szCs w:val="24"/>
        </w:rPr>
        <w:t>.9 存在管、柱等空腔构件的产品应将空腔密封，不得暴露（泄水孔除外）。</w:t>
      </w:r>
    </w:p>
    <w:p>
      <w:pPr>
        <w:spacing w:line="440" w:lineRule="exact"/>
        <w:jc w:val="left"/>
        <w:rPr>
          <w:rFonts w:ascii="仿宋" w:hAnsi="仿宋" w:eastAsia="仿宋" w:cs="仿宋"/>
          <w:b/>
          <w:bCs/>
          <w:sz w:val="24"/>
        </w:rPr>
      </w:pPr>
      <w:r>
        <w:rPr>
          <w:rFonts w:hint="eastAsia" w:ascii="仿宋" w:hAnsi="仿宋" w:eastAsia="仿宋" w:cs="仿宋"/>
          <w:b/>
          <w:bCs/>
          <w:sz w:val="24"/>
        </w:rPr>
        <w:t>三、设计成果及设计阶段要求：</w:t>
      </w:r>
    </w:p>
    <w:p>
      <w:pPr>
        <w:spacing w:line="440" w:lineRule="exact"/>
        <w:jc w:val="left"/>
        <w:rPr>
          <w:rFonts w:ascii="仿宋" w:hAnsi="仿宋" w:eastAsia="仿宋" w:cs="仿宋"/>
          <w:sz w:val="24"/>
        </w:rPr>
      </w:pPr>
      <w:r>
        <w:rPr>
          <w:rFonts w:hint="eastAsia" w:ascii="仿宋" w:hAnsi="仿宋" w:eastAsia="仿宋" w:cs="仿宋"/>
          <w:sz w:val="24"/>
        </w:rPr>
        <w:t>1、设计成果：必须符合国家有关规定的深度要求和技术标准。</w:t>
      </w:r>
    </w:p>
    <w:p>
      <w:pPr>
        <w:spacing w:line="440" w:lineRule="exact"/>
        <w:jc w:val="left"/>
        <w:rPr>
          <w:rFonts w:ascii="仿宋" w:hAnsi="仿宋" w:eastAsia="仿宋" w:cs="仿宋"/>
          <w:sz w:val="24"/>
        </w:rPr>
      </w:pPr>
      <w:r>
        <w:rPr>
          <w:rFonts w:hint="eastAsia" w:ascii="仿宋" w:hAnsi="仿宋" w:eastAsia="仿宋" w:cs="仿宋"/>
          <w:sz w:val="24"/>
        </w:rPr>
        <w:t>2、设计阶段：根据项目进度情况，工作内容包括设计背景、设计分析、方案设计效果图、初步施工图设计等。</w:t>
      </w:r>
    </w:p>
    <w:p>
      <w:pPr>
        <w:widowControl/>
        <w:spacing w:line="360" w:lineRule="auto"/>
        <w:rPr>
          <w:rFonts w:ascii="仿宋" w:hAnsi="仿宋" w:eastAsia="仿宋" w:cs="仿宋"/>
          <w:sz w:val="24"/>
          <w:lang w:val="zh-CN"/>
        </w:rPr>
      </w:pPr>
      <w:r>
        <w:rPr>
          <w:rFonts w:hint="eastAsia" w:ascii="仿宋" w:hAnsi="仿宋" w:eastAsia="仿宋" w:cs="仿宋"/>
          <w:b/>
          <w:bCs/>
          <w:sz w:val="24"/>
        </w:rPr>
        <w:t>四、投标人需提供设计方案：</w:t>
      </w:r>
      <w:r>
        <w:rPr>
          <w:rFonts w:hint="eastAsia" w:ascii="仿宋" w:hAnsi="仿宋" w:eastAsia="仿宋" w:cs="仿宋"/>
          <w:sz w:val="24"/>
          <w:lang w:val="zh-CN"/>
        </w:rPr>
        <w:t>按采购人提供的文字内容(详见项目清单6)，完成设计，并提供设计稿图册（整体设计要求符合</w:t>
      </w:r>
      <w:r>
        <w:rPr>
          <w:rFonts w:hint="eastAsia" w:ascii="仿宋" w:hAnsi="仿宋" w:eastAsia="仿宋" w:cs="仿宋"/>
          <w:sz w:val="24"/>
        </w:rPr>
        <w:t>绍兴市人民医院</w:t>
      </w:r>
      <w:r>
        <w:rPr>
          <w:rFonts w:hint="eastAsia" w:ascii="仿宋" w:hAnsi="仿宋" w:eastAsia="仿宋" w:cs="仿宋"/>
          <w:sz w:val="24"/>
          <w:lang w:val="zh-CN"/>
        </w:rPr>
        <w:t>风格），</w:t>
      </w:r>
      <w:r>
        <w:rPr>
          <w:rFonts w:hint="eastAsia" w:ascii="仿宋" w:hAnsi="仿宋" w:eastAsia="仿宋" w:cs="仿宋"/>
          <w:b/>
          <w:bCs/>
          <w:sz w:val="24"/>
        </w:rPr>
        <w:t>主要内容包含：</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4.1.设计背景；</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4.2.设计分析、定位和目标；</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4.3.方案效果图；</w:t>
      </w:r>
    </w:p>
    <w:p>
      <w:pPr>
        <w:spacing w:line="440" w:lineRule="exact"/>
        <w:ind w:firstLine="480" w:firstLineChars="200"/>
        <w:jc w:val="left"/>
        <w:rPr>
          <w:rFonts w:ascii="仿宋" w:hAnsi="仿宋" w:eastAsia="仿宋" w:cs="仿宋"/>
          <w:b/>
          <w:bCs/>
          <w:sz w:val="24"/>
        </w:rPr>
      </w:pPr>
      <w:r>
        <w:rPr>
          <w:rFonts w:hint="eastAsia" w:ascii="仿宋" w:hAnsi="仿宋" w:eastAsia="仿宋" w:cs="仿宋"/>
          <w:sz w:val="24"/>
        </w:rPr>
        <w:t>4.4.初步施工图设计；</w:t>
      </w:r>
    </w:p>
    <w:p>
      <w:pPr>
        <w:pStyle w:val="293"/>
        <w:ind w:firstLine="0" w:firstLineChars="0"/>
        <w:rPr>
          <w:rFonts w:ascii="仿宋" w:hAnsi="仿宋" w:eastAsia="仿宋" w:cs="仿宋"/>
          <w:b/>
          <w:bCs/>
          <w:szCs w:val="24"/>
          <w:lang w:val="en-US"/>
        </w:rPr>
      </w:pPr>
      <w:r>
        <w:rPr>
          <w:rFonts w:hint="eastAsia" w:ascii="仿宋" w:hAnsi="仿宋" w:eastAsia="仿宋" w:cs="仿宋"/>
          <w:b/>
          <w:bCs/>
          <w:szCs w:val="24"/>
          <w:lang w:val="en-US"/>
        </w:rPr>
        <w:t>五、售后服务要求</w:t>
      </w:r>
    </w:p>
    <w:p>
      <w:pPr>
        <w:widowControl/>
        <w:spacing w:line="360" w:lineRule="auto"/>
        <w:ind w:firstLine="240" w:firstLineChars="100"/>
        <w:rPr>
          <w:rFonts w:ascii="仿宋" w:hAnsi="仿宋" w:eastAsia="仿宋" w:cs="仿宋"/>
          <w:sz w:val="24"/>
        </w:rPr>
      </w:pPr>
      <w:r>
        <w:rPr>
          <w:rFonts w:hint="eastAsia" w:ascii="仿宋" w:hAnsi="仿宋" w:eastAsia="仿宋" w:cs="仿宋"/>
          <w:sz w:val="24"/>
        </w:rPr>
        <w:t>1. 严格按照招标人的设计要求进行产品制作，特别需要投标人设计的，要求符合医院的功能性质和原有的视觉识别系统，设计图纸方案须经招标人批准后方可进行制作和安装。设计及产品制作安装后的尺寸比例、外观效果应与平面效果图相符。</w:t>
      </w:r>
    </w:p>
    <w:p>
      <w:pPr>
        <w:widowControl/>
        <w:spacing w:line="360" w:lineRule="auto"/>
        <w:ind w:firstLine="240" w:firstLineChars="100"/>
        <w:rPr>
          <w:rFonts w:ascii="仿宋" w:hAnsi="仿宋" w:eastAsia="仿宋" w:cs="仿宋"/>
          <w:sz w:val="24"/>
        </w:rPr>
      </w:pPr>
      <w:r>
        <w:rPr>
          <w:rFonts w:hint="eastAsia" w:ascii="仿宋" w:hAnsi="仿宋" w:eastAsia="仿宋" w:cs="仿宋"/>
          <w:sz w:val="24"/>
        </w:rPr>
        <w:t>2. 中标人所提供的产品及安装符合规定的各项要求，如发现质量不符或服务不到位，医院有权拒绝接收，由此产生的损失有中标公司承担。产品质量保证期为一年（自所有标识产品安装验收合格之日起计），一年内除人为损坏以外的质量问题投标人负责免费维修安装等；</w:t>
      </w:r>
    </w:p>
    <w:p>
      <w:pPr>
        <w:widowControl/>
        <w:spacing w:line="360" w:lineRule="auto"/>
        <w:rPr>
          <w:rFonts w:ascii="仿宋" w:hAnsi="仿宋" w:eastAsia="仿宋" w:cs="仿宋"/>
          <w:sz w:val="24"/>
        </w:rPr>
      </w:pPr>
      <w:r>
        <w:rPr>
          <w:rFonts w:hint="eastAsia" w:ascii="仿宋" w:hAnsi="仿宋" w:eastAsia="仿宋" w:cs="仿宋"/>
          <w:sz w:val="24"/>
        </w:rPr>
        <w:t xml:space="preserve">  3. 中标人保证确认货物因装卸、运输、安装中发生损坏或短缺后，在招标人指定期限内给予调换和补齐缺件至招标人满意为止，不管其造成的原因如何，均不能因为以办理索赔为由而拖延。无论在质保期内还是质保期满后，中标单位负责对其实施的项目提供现场服务；</w:t>
      </w:r>
    </w:p>
    <w:p>
      <w:pPr>
        <w:widowControl/>
        <w:spacing w:line="360" w:lineRule="auto"/>
        <w:rPr>
          <w:rFonts w:ascii="仿宋" w:hAnsi="仿宋" w:eastAsia="仿宋" w:cs="仿宋"/>
          <w:sz w:val="24"/>
        </w:rPr>
      </w:pPr>
      <w:r>
        <w:rPr>
          <w:rFonts w:hint="eastAsia" w:ascii="仿宋" w:hAnsi="仿宋" w:eastAsia="仿宋" w:cs="仿宋"/>
          <w:sz w:val="24"/>
        </w:rPr>
        <w:t xml:space="preserve">  4. 若招标人在质保期内，发现产品设计、工艺或材料存在缺陷或故障，中标人必须免费修理或更换有缺陷的配件或整件，并且招标人有权提出索赔；</w:t>
      </w:r>
    </w:p>
    <w:p>
      <w:pPr>
        <w:widowControl/>
        <w:spacing w:line="360" w:lineRule="auto"/>
        <w:rPr>
          <w:rFonts w:ascii="仿宋" w:hAnsi="仿宋" w:eastAsia="仿宋" w:cs="仿宋"/>
          <w:sz w:val="24"/>
        </w:rPr>
      </w:pPr>
      <w:r>
        <w:rPr>
          <w:rFonts w:hint="eastAsia" w:ascii="仿宋" w:hAnsi="仿宋" w:eastAsia="仿宋" w:cs="仿宋"/>
          <w:sz w:val="24"/>
        </w:rPr>
        <w:t xml:space="preserve">  5. 接到招标人通知后，中标人须保证小件物品在5天内制作完成安装，大件物品在30天内完成并安装；</w:t>
      </w:r>
    </w:p>
    <w:p>
      <w:pPr>
        <w:spacing w:line="360" w:lineRule="auto"/>
        <w:rPr>
          <w:rFonts w:ascii="仿宋" w:hAnsi="仿宋" w:eastAsia="仿宋" w:cs="仿宋"/>
          <w:sz w:val="24"/>
        </w:rPr>
      </w:pPr>
      <w:r>
        <w:rPr>
          <w:rFonts w:hint="eastAsia" w:ascii="仿宋" w:hAnsi="仿宋" w:eastAsia="仿宋" w:cs="仿宋"/>
          <w:sz w:val="24"/>
        </w:rPr>
        <w:t xml:space="preserve">  6. 投标人可提供其他更优惠的售后服务承诺，并以书面形式写入投标文件中。</w:t>
      </w:r>
    </w:p>
    <w:p>
      <w:pPr>
        <w:pStyle w:val="293"/>
        <w:ind w:firstLine="0" w:firstLineChars="0"/>
        <w:rPr>
          <w:rFonts w:ascii="仿宋" w:hAnsi="仿宋" w:eastAsia="仿宋" w:cs="仿宋"/>
          <w:b/>
          <w:bCs/>
          <w:szCs w:val="24"/>
          <w:lang w:val="en-US"/>
        </w:rPr>
      </w:pPr>
      <w:r>
        <w:rPr>
          <w:rFonts w:hint="eastAsia" w:ascii="仿宋" w:hAnsi="仿宋" w:eastAsia="仿宋" w:cs="仿宋"/>
          <w:b/>
          <w:bCs/>
          <w:szCs w:val="24"/>
          <w:lang w:val="en-US"/>
        </w:rPr>
        <w:t>六、付款方式</w:t>
      </w:r>
    </w:p>
    <w:p>
      <w:pPr>
        <w:pStyle w:val="151"/>
        <w:spacing w:line="336" w:lineRule="auto"/>
        <w:ind w:left="0" w:firstLine="480" w:firstLineChars="200"/>
        <w:rPr>
          <w:rFonts w:ascii="仿宋" w:hAnsi="仿宋" w:eastAsia="仿宋" w:cs="仿宋"/>
          <w:sz w:val="24"/>
          <w:szCs w:val="24"/>
          <w:lang w:val="zh-CN"/>
        </w:rPr>
      </w:pPr>
      <w:r>
        <w:rPr>
          <w:rFonts w:hint="eastAsia" w:ascii="仿宋" w:hAnsi="仿宋" w:eastAsia="仿宋" w:cs="仿宋"/>
          <w:sz w:val="24"/>
          <w:szCs w:val="24"/>
          <w:lang w:val="zh-CN"/>
        </w:rPr>
        <w:t>付款方式</w:t>
      </w:r>
      <w:r>
        <w:rPr>
          <w:rFonts w:hint="eastAsia" w:ascii="仿宋" w:hAnsi="仿宋" w:eastAsia="仿宋" w:cs="仿宋"/>
          <w:sz w:val="24"/>
          <w:szCs w:val="24"/>
        </w:rPr>
        <w:t>按</w:t>
      </w:r>
      <w:r>
        <w:rPr>
          <w:rFonts w:hint="eastAsia" w:ascii="仿宋" w:hAnsi="仿宋" w:eastAsia="仿宋" w:cs="仿宋"/>
          <w:sz w:val="24"/>
          <w:szCs w:val="24"/>
          <w:lang w:val="zh-CN"/>
        </w:rPr>
        <w:t>《浙江省财政厅关于进一步发挥政府采购政策功能全力推动经济稳进提质的通知》（浙财采监〔2022〕3号）</w:t>
      </w:r>
      <w:r>
        <w:rPr>
          <w:rFonts w:hint="eastAsia" w:ascii="仿宋" w:hAnsi="仿宋" w:eastAsia="仿宋" w:cs="仿宋"/>
          <w:sz w:val="24"/>
          <w:szCs w:val="24"/>
        </w:rPr>
        <w:t>等</w:t>
      </w:r>
      <w:r>
        <w:rPr>
          <w:rFonts w:hint="eastAsia" w:ascii="仿宋" w:hAnsi="仿宋" w:eastAsia="仿宋" w:cs="仿宋"/>
          <w:sz w:val="24"/>
          <w:szCs w:val="24"/>
          <w:lang w:val="zh-CN"/>
        </w:rPr>
        <w:t>文件要求执行，具体付款方式由双方协商后在合同中明确。</w:t>
      </w:r>
    </w:p>
    <w:p>
      <w:pPr>
        <w:rPr>
          <w:rFonts w:ascii="仿宋" w:hAnsi="仿宋" w:eastAsia="仿宋" w:cs="仿宋"/>
        </w:rPr>
      </w:pPr>
    </w:p>
    <w:p>
      <w:pPr>
        <w:rPr>
          <w:rFonts w:ascii="仿宋" w:hAnsi="仿宋" w:eastAsia="仿宋" w:cs="仿宋"/>
          <w:b/>
          <w:sz w:val="36"/>
          <w:szCs w:val="36"/>
        </w:rPr>
      </w:pPr>
      <w:r>
        <w:rPr>
          <w:rFonts w:hint="eastAsia" w:ascii="仿宋" w:hAnsi="仿宋" w:eastAsia="仿宋" w:cs="仿宋"/>
          <w:b/>
          <w:sz w:val="36"/>
          <w:szCs w:val="36"/>
        </w:rPr>
        <w:br w:type="page"/>
      </w:r>
    </w:p>
    <w:p>
      <w:pPr>
        <w:pStyle w:val="2"/>
        <w:rPr>
          <w:rFonts w:ascii="仿宋" w:hAnsi="仿宋" w:eastAsia="仿宋" w:cs="仿宋"/>
        </w:rPr>
      </w:pPr>
    </w:p>
    <w:p>
      <w:pPr>
        <w:autoSpaceDE w:val="0"/>
        <w:autoSpaceDN w:val="0"/>
        <w:adjustRightInd w:val="0"/>
        <w:spacing w:line="440" w:lineRule="exact"/>
        <w:ind w:firstLine="723" w:firstLineChars="200"/>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ind w:left="-283" w:leftChars="-135" w:right="-651" w:rightChars="-310"/>
        <w:rPr>
          <w:rFonts w:ascii="仿宋" w:hAnsi="仿宋" w:eastAsia="仿宋" w:cs="仿宋"/>
          <w:sz w:val="24"/>
          <w:u w:val="single"/>
        </w:rPr>
      </w:pPr>
      <w:r>
        <w:rPr>
          <w:rFonts w:hint="eastAsia" w:ascii="仿宋" w:hAnsi="仿宋" w:eastAsia="仿宋" w:cs="仿宋"/>
          <w:sz w:val="24"/>
        </w:rPr>
        <w:t>合同编号：</w:t>
      </w:r>
    </w:p>
    <w:p>
      <w:pPr>
        <w:spacing w:line="480" w:lineRule="auto"/>
        <w:ind w:left="-283" w:leftChars="-135" w:right="-651" w:rightChars="-310"/>
        <w:jc w:val="center"/>
        <w:rPr>
          <w:rFonts w:ascii="仿宋" w:hAnsi="仿宋" w:eastAsia="仿宋" w:cs="仿宋"/>
          <w:b/>
          <w:sz w:val="28"/>
          <w:szCs w:val="28"/>
        </w:rPr>
      </w:pPr>
    </w:p>
    <w:p>
      <w:pPr>
        <w:spacing w:line="480" w:lineRule="auto"/>
        <w:ind w:left="-283" w:leftChars="-135" w:right="-651" w:rightChars="-310"/>
        <w:jc w:val="center"/>
        <w:rPr>
          <w:rFonts w:ascii="仿宋" w:hAnsi="仿宋" w:eastAsia="仿宋" w:cs="仿宋"/>
          <w:b/>
          <w:sz w:val="24"/>
        </w:rPr>
      </w:pPr>
    </w:p>
    <w:p>
      <w:pPr>
        <w:spacing w:line="480" w:lineRule="auto"/>
        <w:ind w:left="-283" w:leftChars="-135" w:right="-651" w:rightChars="-310"/>
        <w:jc w:val="center"/>
        <w:rPr>
          <w:rFonts w:ascii="仿宋" w:hAnsi="仿宋" w:eastAsia="仿宋" w:cs="仿宋"/>
          <w:b/>
          <w:sz w:val="24"/>
        </w:rPr>
      </w:pPr>
    </w:p>
    <w:p>
      <w:pPr>
        <w:spacing w:line="480" w:lineRule="auto"/>
        <w:ind w:left="-283" w:leftChars="-135" w:right="-651" w:rightChars="-310"/>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ind w:left="-283" w:leftChars="-135" w:right="-651" w:rightChars="-310"/>
        <w:jc w:val="center"/>
        <w:rPr>
          <w:rFonts w:ascii="仿宋" w:hAnsi="仿宋" w:eastAsia="仿宋" w:cs="仿宋"/>
          <w:b/>
          <w:sz w:val="36"/>
          <w:szCs w:val="36"/>
        </w:rPr>
      </w:pPr>
      <w:r>
        <w:rPr>
          <w:rFonts w:hint="eastAsia" w:ascii="仿宋" w:hAnsi="仿宋" w:eastAsia="仿宋" w:cs="仿宋"/>
          <w:b/>
          <w:sz w:val="36"/>
          <w:szCs w:val="36"/>
        </w:rPr>
        <w:t>（服务类）</w:t>
      </w:r>
    </w:p>
    <w:p>
      <w:pPr>
        <w:pStyle w:val="7"/>
        <w:ind w:left="-283" w:leftChars="-135" w:right="-651" w:rightChars="-310"/>
        <w:rPr>
          <w:rFonts w:ascii="仿宋" w:hAnsi="仿宋" w:eastAsia="仿宋" w:cs="仿宋"/>
        </w:rPr>
      </w:pPr>
    </w:p>
    <w:p>
      <w:pPr>
        <w:pStyle w:val="7"/>
        <w:ind w:left="-283" w:leftChars="-135" w:right="-651" w:rightChars="-310"/>
        <w:rPr>
          <w:rFonts w:ascii="仿宋" w:hAnsi="仿宋" w:eastAsia="仿宋" w:cs="仿宋"/>
        </w:rPr>
      </w:pPr>
    </w:p>
    <w:p>
      <w:pPr>
        <w:pStyle w:val="7"/>
        <w:ind w:left="-283" w:leftChars="-135" w:right="-651" w:rightChars="-310" w:firstLine="562"/>
        <w:jc w:val="center"/>
        <w:rPr>
          <w:rFonts w:ascii="仿宋" w:hAnsi="仿宋" w:eastAsia="仿宋" w:cs="仿宋"/>
          <w:b/>
          <w:sz w:val="28"/>
        </w:rPr>
      </w:pPr>
      <w:r>
        <w:rPr>
          <w:rFonts w:hint="eastAsia" w:ascii="仿宋" w:hAnsi="仿宋" w:eastAsia="仿宋" w:cs="仿宋"/>
          <w:b/>
          <w:sz w:val="28"/>
        </w:rPr>
        <w:t>第一部分   合同书</w:t>
      </w:r>
    </w:p>
    <w:p>
      <w:pPr>
        <w:pStyle w:val="7"/>
        <w:ind w:left="-283" w:leftChars="-135" w:right="-651" w:rightChars="-310"/>
        <w:rPr>
          <w:rFonts w:ascii="仿宋" w:hAnsi="仿宋" w:eastAsia="仿宋" w:cs="仿宋"/>
        </w:rPr>
      </w:pPr>
    </w:p>
    <w:p>
      <w:pPr>
        <w:pStyle w:val="7"/>
        <w:ind w:left="-283" w:leftChars="-135" w:right="-651" w:rightChars="-310"/>
        <w:rPr>
          <w:rFonts w:ascii="仿宋" w:hAnsi="仿宋" w:eastAsia="仿宋" w:cs="仿宋"/>
        </w:rPr>
      </w:pPr>
    </w:p>
    <w:p>
      <w:pPr>
        <w:spacing w:before="120" w:line="22" w:lineRule="atLeast"/>
        <w:ind w:left="-283" w:leftChars="-135" w:right="-651" w:rightChars="-310"/>
        <w:rPr>
          <w:rFonts w:ascii="仿宋" w:hAnsi="仿宋" w:eastAsia="仿宋" w:cs="仿宋"/>
          <w:sz w:val="24"/>
        </w:rPr>
      </w:pPr>
    </w:p>
    <w:p>
      <w:pPr>
        <w:spacing w:before="120" w:line="22" w:lineRule="atLeast"/>
        <w:ind w:left="708" w:leftChars="337" w:right="-651" w:rightChars="-310"/>
        <w:rPr>
          <w:rFonts w:ascii="仿宋" w:hAnsi="仿宋" w:eastAsia="仿宋" w:cs="仿宋"/>
          <w:sz w:val="24"/>
        </w:rPr>
      </w:pPr>
      <w:r>
        <w:rPr>
          <w:rFonts w:hint="eastAsia" w:ascii="仿宋" w:hAnsi="仿宋" w:eastAsia="仿宋" w:cs="仿宋"/>
          <w:sz w:val="24"/>
        </w:rPr>
        <w:t>项目名称：</w:t>
      </w:r>
    </w:p>
    <w:p>
      <w:pPr>
        <w:pStyle w:val="289"/>
        <w:spacing w:before="120" w:line="22" w:lineRule="atLeast"/>
        <w:ind w:left="708" w:leftChars="337" w:right="-651" w:rightChars="-310"/>
        <w:rPr>
          <w:rFonts w:ascii="仿宋" w:hAnsi="仿宋" w:eastAsia="仿宋" w:cs="仿宋"/>
          <w:szCs w:val="24"/>
        </w:rPr>
      </w:pPr>
    </w:p>
    <w:p>
      <w:pPr>
        <w:pStyle w:val="289"/>
        <w:spacing w:before="120" w:line="22" w:lineRule="atLeast"/>
        <w:ind w:left="708" w:leftChars="337" w:right="-651" w:rightChars="-310"/>
        <w:rPr>
          <w:rFonts w:ascii="仿宋" w:hAnsi="仿宋" w:eastAsia="仿宋" w:cs="仿宋"/>
          <w:szCs w:val="24"/>
        </w:rPr>
      </w:pPr>
    </w:p>
    <w:p>
      <w:pPr>
        <w:ind w:left="708" w:leftChars="337" w:right="-651" w:rightChars="-310"/>
        <w:rPr>
          <w:rFonts w:ascii="仿宋" w:hAnsi="仿宋" w:eastAsia="仿宋" w:cs="仿宋"/>
          <w:sz w:val="24"/>
        </w:rPr>
      </w:pPr>
    </w:p>
    <w:p>
      <w:pPr>
        <w:spacing w:before="120" w:line="22" w:lineRule="atLeast"/>
        <w:ind w:left="708" w:leftChars="337" w:right="-651" w:rightChars="-310"/>
        <w:rPr>
          <w:rFonts w:ascii="仿宋" w:hAnsi="仿宋" w:eastAsia="仿宋" w:cs="仿宋"/>
          <w:sz w:val="24"/>
          <w:u w:val="single"/>
        </w:rPr>
      </w:pPr>
      <w:r>
        <w:rPr>
          <w:rFonts w:hint="eastAsia" w:ascii="仿宋" w:hAnsi="仿宋" w:eastAsia="仿宋" w:cs="仿宋"/>
          <w:sz w:val="24"/>
        </w:rPr>
        <w:t>甲方：</w:t>
      </w:r>
    </w:p>
    <w:p>
      <w:pPr>
        <w:spacing w:before="120" w:line="22" w:lineRule="atLeast"/>
        <w:ind w:left="708" w:leftChars="337" w:right="-651" w:rightChars="-310"/>
        <w:rPr>
          <w:rFonts w:ascii="仿宋" w:hAnsi="仿宋" w:eastAsia="仿宋" w:cs="仿宋"/>
          <w:sz w:val="24"/>
        </w:rPr>
      </w:pPr>
    </w:p>
    <w:p>
      <w:pPr>
        <w:spacing w:before="120" w:line="22" w:lineRule="atLeast"/>
        <w:ind w:left="708" w:leftChars="337" w:right="-651" w:rightChars="-310"/>
        <w:rPr>
          <w:rFonts w:ascii="仿宋" w:hAnsi="仿宋" w:eastAsia="仿宋" w:cs="仿宋"/>
          <w:sz w:val="24"/>
          <w:u w:val="single"/>
        </w:rPr>
      </w:pPr>
      <w:r>
        <w:rPr>
          <w:rFonts w:hint="eastAsia" w:ascii="仿宋" w:hAnsi="仿宋" w:eastAsia="仿宋" w:cs="仿宋"/>
          <w:sz w:val="24"/>
        </w:rPr>
        <w:t>乙方：</w:t>
      </w:r>
    </w:p>
    <w:p>
      <w:pPr>
        <w:spacing w:before="120" w:line="22" w:lineRule="atLeast"/>
        <w:ind w:left="-283" w:leftChars="-135" w:right="-651" w:rightChars="-310"/>
        <w:rPr>
          <w:rFonts w:ascii="仿宋" w:hAnsi="仿宋" w:eastAsia="仿宋" w:cs="仿宋"/>
          <w:sz w:val="24"/>
        </w:rPr>
      </w:pPr>
    </w:p>
    <w:p>
      <w:pPr>
        <w:spacing w:before="120" w:line="22" w:lineRule="atLeast"/>
        <w:ind w:left="-283" w:leftChars="-135" w:right="-651" w:rightChars="-310"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ind w:left="-283" w:leftChars="-135" w:right="-651" w:rightChars="-310"/>
        <w:rPr>
          <w:rFonts w:ascii="仿宋" w:hAnsi="仿宋" w:eastAsia="仿宋" w:cs="仿宋"/>
          <w:sz w:val="24"/>
        </w:rPr>
      </w:pPr>
    </w:p>
    <w:p>
      <w:pPr>
        <w:spacing w:before="120" w:line="22" w:lineRule="atLeast"/>
        <w:ind w:left="-283" w:leftChars="-135" w:right="-651" w:rightChars="-310"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ind w:left="-283" w:leftChars="-135" w:right="-651" w:rightChars="-310"/>
        <w:jc w:val="left"/>
        <w:rPr>
          <w:rFonts w:ascii="仿宋" w:hAnsi="仿宋" w:eastAsia="仿宋" w:cs="仿宋"/>
          <w:kern w:val="0"/>
          <w:sz w:val="24"/>
        </w:rPr>
        <w:sectPr>
          <w:footerReference r:id="rId11" w:type="first"/>
          <w:headerReference r:id="rId9" w:type="default"/>
          <w:footerReference r:id="rId10" w:type="default"/>
          <w:pgSz w:w="11907" w:h="16840"/>
          <w:pgMar w:top="1474" w:right="1814" w:bottom="1474" w:left="1814" w:header="851" w:footer="851" w:gutter="0"/>
          <w:pgNumType w:start="2"/>
          <w:cols w:space="720" w:num="1"/>
          <w:titlePg/>
          <w:docGrid w:linePitch="286" w:charSpace="0"/>
        </w:sectPr>
      </w:pP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为该项目成交供应商。现于成交通知书发出之日起三十日内，按照采购文件确定的事项签订本合同。</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left="-283" w:leftChars="-135" w:right="-651" w:rightChars="-310" w:firstLine="482" w:firstLineChars="200"/>
        <w:outlineLvl w:val="0"/>
        <w:rPr>
          <w:rFonts w:ascii="仿宋" w:hAnsi="仿宋" w:eastAsia="仿宋" w:cs="仿宋"/>
          <w:b/>
          <w:sz w:val="24"/>
        </w:rPr>
      </w:pPr>
      <w:bookmarkStart w:id="12" w:name="_Toc2232"/>
      <w:bookmarkStart w:id="13" w:name="_Toc24059"/>
      <w:bookmarkStart w:id="14" w:name="_Toc3029"/>
      <w:r>
        <w:rPr>
          <w:rFonts w:hint="eastAsia" w:ascii="仿宋" w:hAnsi="仿宋" w:eastAsia="仿宋" w:cs="仿宋"/>
          <w:b/>
          <w:sz w:val="24"/>
        </w:rPr>
        <w:t>1.1 合同组成部分</w:t>
      </w:r>
      <w:bookmarkEnd w:id="12"/>
      <w:bookmarkEnd w:id="13"/>
      <w:bookmarkEnd w:id="14"/>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1.1.2 成交通知书；</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1.1.3 磋商响应文件（含澄清或者说明文件）；</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1.1.4 磋商文件（含澄清或者修改文件）；</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left="-283" w:leftChars="-135" w:right="-651" w:rightChars="-310" w:firstLine="482" w:firstLineChars="200"/>
        <w:outlineLvl w:val="0"/>
        <w:rPr>
          <w:rFonts w:ascii="仿宋" w:hAnsi="仿宋" w:eastAsia="仿宋" w:cs="仿宋"/>
          <w:b/>
          <w:sz w:val="24"/>
        </w:rPr>
      </w:pPr>
      <w:bookmarkStart w:id="15" w:name="_Toc21295"/>
      <w:bookmarkStart w:id="16" w:name="_Toc24300"/>
      <w:bookmarkStart w:id="17" w:name="_Toc27126"/>
      <w:r>
        <w:rPr>
          <w:rFonts w:hint="eastAsia" w:ascii="仿宋" w:hAnsi="仿宋" w:eastAsia="仿宋" w:cs="仿宋"/>
          <w:b/>
          <w:sz w:val="24"/>
        </w:rPr>
        <w:t xml:space="preserve">1.2 </w:t>
      </w:r>
      <w:bookmarkEnd w:id="15"/>
      <w:bookmarkEnd w:id="16"/>
      <w:bookmarkEnd w:id="17"/>
      <w:r>
        <w:rPr>
          <w:rFonts w:hint="eastAsia" w:ascii="仿宋" w:hAnsi="仿宋" w:eastAsia="仿宋" w:cs="仿宋"/>
          <w:b/>
          <w:sz w:val="24"/>
        </w:rPr>
        <w:t>服务</w:t>
      </w:r>
    </w:p>
    <w:p>
      <w:pPr>
        <w:spacing w:line="560" w:lineRule="exact"/>
        <w:ind w:left="-283" w:leftChars="-135" w:right="-651" w:rightChars="-310" w:firstLine="480" w:firstLineChars="200"/>
        <w:rPr>
          <w:rFonts w:ascii="仿宋" w:hAnsi="仿宋" w:eastAsia="仿宋" w:cs="仿宋"/>
          <w:sz w:val="24"/>
          <w:u w:val="single"/>
        </w:rPr>
      </w:pPr>
      <w:r>
        <w:rPr>
          <w:rFonts w:hint="eastAsia" w:ascii="仿宋" w:hAnsi="仿宋" w:eastAsia="仿宋" w:cs="仿宋"/>
          <w:sz w:val="24"/>
        </w:rPr>
        <w:t>1.2.1 服务名称：；</w:t>
      </w:r>
    </w:p>
    <w:p>
      <w:pPr>
        <w:spacing w:line="560" w:lineRule="exact"/>
        <w:ind w:left="-283" w:leftChars="-135" w:right="-651" w:rightChars="-310" w:firstLine="480" w:firstLineChars="200"/>
        <w:rPr>
          <w:rFonts w:ascii="仿宋" w:hAnsi="仿宋" w:eastAsia="仿宋" w:cs="仿宋"/>
          <w:sz w:val="24"/>
          <w:u w:val="single"/>
        </w:rPr>
      </w:pPr>
      <w:r>
        <w:rPr>
          <w:rFonts w:hint="eastAsia" w:ascii="仿宋" w:hAnsi="仿宋" w:eastAsia="仿宋" w:cs="仿宋"/>
          <w:sz w:val="24"/>
        </w:rPr>
        <w:t>1.2.2 服务期限和内容：；</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left="-283" w:leftChars="-135" w:right="-651" w:rightChars="-310" w:firstLine="482" w:firstLineChars="200"/>
        <w:outlineLvl w:val="0"/>
        <w:rPr>
          <w:rFonts w:ascii="仿宋" w:hAnsi="仿宋" w:eastAsia="仿宋" w:cs="仿宋"/>
          <w:b/>
          <w:sz w:val="24"/>
        </w:rPr>
      </w:pPr>
      <w:bookmarkStart w:id="18" w:name="_Toc21631"/>
      <w:bookmarkStart w:id="19" w:name="_Toc21551"/>
      <w:bookmarkStart w:id="20" w:name="_Toc23292"/>
      <w:r>
        <w:rPr>
          <w:rFonts w:hint="eastAsia" w:ascii="仿宋" w:hAnsi="仿宋" w:eastAsia="仿宋" w:cs="仿宋"/>
          <w:b/>
          <w:sz w:val="24"/>
        </w:rPr>
        <w:t>1.3 价款</w:t>
      </w:r>
      <w:bookmarkEnd w:id="18"/>
      <w:bookmarkEnd w:id="19"/>
      <w:bookmarkEnd w:id="20"/>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left="-283" w:leftChars="-135" w:right="-651" w:rightChars="-310"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8"/>
              <w:spacing w:line="560" w:lineRule="exact"/>
              <w:ind w:left="-283" w:leftChars="-135" w:right="-651" w:rightChars="-310" w:firstLine="200"/>
              <w:jc w:val="center"/>
              <w:rPr>
                <w:rFonts w:ascii="仿宋" w:hAnsi="仿宋" w:eastAsia="仿宋" w:cs="仿宋"/>
                <w:sz w:val="24"/>
                <w:szCs w:val="24"/>
              </w:rPr>
            </w:pPr>
          </w:p>
        </w:tc>
      </w:tr>
    </w:tbl>
    <w:p>
      <w:pPr>
        <w:spacing w:line="440" w:lineRule="exact"/>
        <w:ind w:left="-283" w:leftChars="-135" w:right="-651" w:rightChars="-310" w:firstLine="482" w:firstLineChars="200"/>
        <w:outlineLvl w:val="0"/>
        <w:rPr>
          <w:rFonts w:ascii="仿宋" w:hAnsi="仿宋" w:eastAsia="仿宋" w:cs="仿宋"/>
          <w:b/>
          <w:sz w:val="24"/>
        </w:rPr>
      </w:pPr>
      <w:bookmarkStart w:id="21" w:name="_Toc22618"/>
      <w:bookmarkStart w:id="22" w:name="_Toc1814"/>
      <w:bookmarkStart w:id="23" w:name="_Toc10340"/>
      <w:bookmarkStart w:id="24" w:name="_Toc2846"/>
      <w:bookmarkStart w:id="25" w:name="_Toc32071"/>
      <w:bookmarkStart w:id="26" w:name="_Toc19304"/>
      <w:r>
        <w:rPr>
          <w:rFonts w:hint="eastAsia" w:ascii="仿宋" w:hAnsi="仿宋" w:eastAsia="仿宋" w:cs="仿宋"/>
          <w:b/>
          <w:sz w:val="24"/>
        </w:rPr>
        <w:t>1.4 付款</w:t>
      </w:r>
      <w:bookmarkEnd w:id="21"/>
      <w:bookmarkEnd w:id="22"/>
      <w:bookmarkEnd w:id="23"/>
      <w:r>
        <w:rPr>
          <w:rFonts w:hint="eastAsia" w:ascii="仿宋" w:hAnsi="仿宋" w:eastAsia="仿宋" w:cs="仿宋"/>
          <w:b/>
          <w:sz w:val="24"/>
        </w:rPr>
        <w:t>方式、时间和条件</w:t>
      </w:r>
    </w:p>
    <w:p>
      <w:pPr>
        <w:pStyle w:val="290"/>
        <w:spacing w:before="0" w:beforeAutospacing="0" w:after="0" w:afterAutospacing="0" w:line="440" w:lineRule="exact"/>
        <w:ind w:left="-283" w:leftChars="-135" w:right="-651" w:rightChars="-310"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left="-283" w:leftChars="-135" w:right="-651" w:rightChars="-310"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left="-283" w:leftChars="-135" w:right="-651" w:rightChars="-310" w:firstLine="482" w:firstLineChars="200"/>
        <w:outlineLvl w:val="0"/>
        <w:rPr>
          <w:rFonts w:ascii="仿宋" w:hAnsi="仿宋" w:eastAsia="仿宋" w:cs="仿宋"/>
          <w:b/>
          <w:sz w:val="24"/>
        </w:rPr>
      </w:pPr>
      <w:r>
        <w:rPr>
          <w:rFonts w:hint="eastAsia" w:ascii="仿宋" w:hAnsi="仿宋" w:eastAsia="仿宋" w:cs="仿宋"/>
          <w:b/>
          <w:sz w:val="24"/>
        </w:rPr>
        <w:t>1.5</w:t>
      </w:r>
      <w:bookmarkEnd w:id="24"/>
      <w:bookmarkEnd w:id="25"/>
      <w:bookmarkEnd w:id="26"/>
      <w:bookmarkStart w:id="27" w:name="_Toc27250"/>
      <w:bookmarkStart w:id="28" w:name="_Toc21423"/>
      <w:bookmarkStart w:id="29" w:name="_Toc19554"/>
      <w:r>
        <w:rPr>
          <w:rFonts w:hint="eastAsia" w:ascii="仿宋" w:hAnsi="仿宋" w:eastAsia="仿宋" w:cs="仿宋"/>
          <w:b/>
          <w:sz w:val="24"/>
        </w:rPr>
        <w:t>违约责任</w:t>
      </w:r>
      <w:bookmarkEnd w:id="27"/>
      <w:bookmarkEnd w:id="28"/>
      <w:bookmarkEnd w:id="29"/>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right="-651" w:rightChars="-31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right="-651" w:rightChars="-310"/>
        <w:outlineLvl w:val="0"/>
        <w:rPr>
          <w:rFonts w:ascii="仿宋" w:hAnsi="仿宋" w:eastAsia="仿宋" w:cs="仿宋"/>
          <w:b/>
          <w:sz w:val="24"/>
        </w:rPr>
      </w:pPr>
      <w:bookmarkStart w:id="30" w:name="_Toc16021"/>
      <w:bookmarkStart w:id="31" w:name="_Toc15583"/>
      <w:bookmarkStart w:id="32" w:name="_Toc28375"/>
      <w:r>
        <w:rPr>
          <w:rFonts w:hint="eastAsia" w:ascii="仿宋" w:hAnsi="仿宋" w:eastAsia="仿宋" w:cs="仿宋"/>
          <w:b/>
          <w:sz w:val="24"/>
        </w:rPr>
        <w:t>1.6 合同争议的解决</w:t>
      </w:r>
      <w:bookmarkEnd w:id="30"/>
      <w:bookmarkEnd w:id="31"/>
      <w:bookmarkEnd w:id="32"/>
    </w:p>
    <w:p>
      <w:pPr>
        <w:spacing w:line="560" w:lineRule="exact"/>
        <w:ind w:left="-283" w:leftChars="-135" w:right="-651" w:rightChars="-31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3" w:leftChars="-135" w:right="-651" w:rightChars="-310" w:hanging="240" w:hangingChars="10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left="-283" w:leftChars="-135" w:right="-651" w:rightChars="-310" w:firstLine="482" w:firstLineChars="200"/>
        <w:outlineLvl w:val="0"/>
        <w:rPr>
          <w:rFonts w:ascii="仿宋" w:hAnsi="仿宋" w:eastAsia="仿宋" w:cs="仿宋"/>
          <w:b/>
          <w:sz w:val="24"/>
        </w:rPr>
      </w:pPr>
      <w:bookmarkStart w:id="33" w:name="_Toc11173"/>
      <w:bookmarkStart w:id="34" w:name="_Toc15322"/>
      <w:bookmarkStart w:id="35" w:name="_Toc7245"/>
      <w:r>
        <w:rPr>
          <w:rFonts w:hint="eastAsia" w:ascii="仿宋" w:hAnsi="仿宋" w:eastAsia="仿宋" w:cs="仿宋"/>
          <w:b/>
          <w:sz w:val="24"/>
        </w:rPr>
        <w:t>1.7 合同生效</w:t>
      </w:r>
      <w:bookmarkEnd w:id="33"/>
      <w:bookmarkEnd w:id="34"/>
      <w:bookmarkEnd w:id="35"/>
    </w:p>
    <w:p>
      <w:pPr>
        <w:spacing w:line="560" w:lineRule="exact"/>
        <w:ind w:left="-283" w:leftChars="-135" w:right="-651" w:rightChars="-310"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ind w:left="-283" w:leftChars="-135" w:right="-651" w:rightChars="-310"/>
        <w:rPr>
          <w:rFonts w:ascii="仿宋" w:hAnsi="仿宋" w:eastAsia="仿宋" w:cs="仿宋"/>
          <w:sz w:val="24"/>
          <w:lang w:val="zh-CN"/>
        </w:rPr>
      </w:pP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ind w:left="-283" w:leftChars="-135" w:right="-651" w:rightChars="-310"/>
        <w:rPr>
          <w:rFonts w:ascii="仿宋" w:hAnsi="仿宋" w:eastAsia="仿宋" w:cs="仿宋"/>
          <w:sz w:val="24"/>
          <w:lang w:val="zh-CN"/>
        </w:rPr>
      </w:pP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ind w:left="-283" w:leftChars="-135" w:right="-651" w:rightChars="-310"/>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ind w:left="-283" w:leftChars="-135" w:right="-651" w:rightChars="-310"/>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ind w:left="-283" w:leftChars="-135" w:right="-651" w:rightChars="-310"/>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ind w:left="-283" w:leftChars="-135" w:right="-651" w:rightChars="-310"/>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ind w:left="-283" w:leftChars="-135" w:right="-651" w:rightChars="-310"/>
        <w:rPr>
          <w:rFonts w:ascii="仿宋" w:hAnsi="仿宋" w:eastAsia="仿宋" w:cs="仿宋"/>
          <w:sz w:val="24"/>
        </w:rPr>
      </w:pPr>
      <w:r>
        <w:rPr>
          <w:rFonts w:hint="eastAsia" w:ascii="仿宋" w:hAnsi="仿宋" w:eastAsia="仿宋" w:cs="仿宋"/>
          <w:sz w:val="24"/>
        </w:rPr>
        <w:t>开户账号：开户账号：</w:t>
      </w:r>
    </w:p>
    <w:p>
      <w:pPr>
        <w:widowControl/>
        <w:spacing w:line="560" w:lineRule="exact"/>
        <w:ind w:left="-283" w:leftChars="-135" w:right="-651" w:rightChars="-310"/>
        <w:jc w:val="left"/>
        <w:rPr>
          <w:rFonts w:ascii="仿宋" w:hAnsi="仿宋" w:eastAsia="仿宋" w:cs="仿宋"/>
          <w:b/>
          <w:sz w:val="24"/>
        </w:rPr>
      </w:pPr>
      <w:bookmarkStart w:id="36" w:name="_Toc331685783"/>
    </w:p>
    <w:p>
      <w:pPr>
        <w:pStyle w:val="7"/>
        <w:spacing w:line="560" w:lineRule="exact"/>
        <w:ind w:left="-283" w:leftChars="-135" w:right="-651" w:rightChars="-310" w:firstLine="422"/>
        <w:jc w:val="center"/>
        <w:rPr>
          <w:rFonts w:ascii="仿宋" w:hAnsi="仿宋" w:eastAsia="仿宋" w:cs="仿宋"/>
          <w:b/>
        </w:rPr>
      </w:pPr>
    </w:p>
    <w:p>
      <w:pPr>
        <w:pStyle w:val="7"/>
        <w:spacing w:line="560" w:lineRule="exact"/>
        <w:ind w:left="-283" w:leftChars="-135" w:right="-651" w:rightChars="-310" w:firstLine="422"/>
        <w:jc w:val="center"/>
        <w:rPr>
          <w:rFonts w:ascii="仿宋" w:hAnsi="仿宋" w:eastAsia="仿宋" w:cs="仿宋"/>
          <w:b/>
        </w:rPr>
      </w:pPr>
    </w:p>
    <w:p>
      <w:pPr>
        <w:pStyle w:val="7"/>
        <w:spacing w:line="560" w:lineRule="exact"/>
        <w:ind w:left="-283" w:leftChars="-135" w:right="-651" w:rightChars="-310" w:firstLine="422"/>
        <w:jc w:val="center"/>
        <w:rPr>
          <w:rFonts w:ascii="仿宋" w:hAnsi="仿宋" w:eastAsia="仿宋" w:cs="仿宋"/>
          <w:b/>
        </w:rPr>
      </w:pPr>
    </w:p>
    <w:p>
      <w:pPr>
        <w:pStyle w:val="7"/>
        <w:spacing w:line="560" w:lineRule="exact"/>
        <w:ind w:left="-283" w:leftChars="-135" w:right="-651" w:rightChars="-310" w:firstLine="422"/>
        <w:jc w:val="center"/>
        <w:rPr>
          <w:rFonts w:ascii="仿宋" w:hAnsi="仿宋" w:eastAsia="仿宋" w:cs="仿宋"/>
          <w:b/>
        </w:rPr>
      </w:pPr>
    </w:p>
    <w:p>
      <w:pPr>
        <w:pStyle w:val="7"/>
        <w:spacing w:line="560" w:lineRule="exact"/>
        <w:ind w:left="-283" w:leftChars="-135" w:right="-651" w:rightChars="-310" w:firstLine="422"/>
        <w:jc w:val="center"/>
        <w:rPr>
          <w:rFonts w:ascii="仿宋" w:hAnsi="仿宋" w:eastAsia="仿宋" w:cs="仿宋"/>
          <w:b/>
        </w:rPr>
      </w:pPr>
    </w:p>
    <w:p>
      <w:pPr>
        <w:pStyle w:val="7"/>
        <w:spacing w:line="560" w:lineRule="exact"/>
        <w:ind w:left="-283" w:leftChars="-135" w:right="-651" w:rightChars="-310" w:firstLine="422"/>
        <w:jc w:val="center"/>
        <w:rPr>
          <w:rFonts w:ascii="仿宋" w:hAnsi="仿宋" w:eastAsia="仿宋" w:cs="仿宋"/>
          <w:b/>
        </w:rPr>
      </w:pPr>
      <w:r>
        <w:rPr>
          <w:rFonts w:hint="eastAsia" w:ascii="仿宋" w:hAnsi="仿宋" w:eastAsia="仿宋" w:cs="仿宋"/>
          <w:b/>
        </w:rPr>
        <w:t>第二部分 合同一般条款</w:t>
      </w:r>
      <w:bookmarkEnd w:id="36"/>
    </w:p>
    <w:p>
      <w:pPr>
        <w:spacing w:line="560" w:lineRule="exact"/>
        <w:ind w:left="-283" w:leftChars="-135" w:right="-651" w:rightChars="-310" w:firstLine="482" w:firstLineChars="200"/>
        <w:outlineLvl w:val="0"/>
        <w:rPr>
          <w:rFonts w:ascii="仿宋" w:hAnsi="仿宋" w:eastAsia="仿宋" w:cs="仿宋"/>
          <w:b/>
          <w:sz w:val="24"/>
        </w:rPr>
      </w:pPr>
      <w:bookmarkStart w:id="37" w:name="_Ref467378404"/>
      <w:bookmarkStart w:id="38" w:name="_Ref467379109"/>
      <w:bookmarkStart w:id="39" w:name="_Ref467379214"/>
      <w:bookmarkStart w:id="40" w:name="_Toc28763"/>
      <w:bookmarkStart w:id="41" w:name="_Ref467379101"/>
      <w:bookmarkStart w:id="42" w:name="_Ref467378499"/>
      <w:bookmarkStart w:id="43" w:name="_Ref467379195"/>
      <w:bookmarkStart w:id="44" w:name="_Toc19614"/>
      <w:bookmarkStart w:id="45" w:name="_Ref467379225"/>
      <w:bookmarkStart w:id="46" w:name="_Ref467378463"/>
      <w:bookmarkStart w:id="47" w:name="_Toc259093669"/>
      <w:bookmarkStart w:id="48" w:name="_Toc487900349"/>
      <w:bookmarkStart w:id="49" w:name="_Ref467379205"/>
      <w:bookmarkStart w:id="50" w:name="_Toc279701240"/>
      <w:bookmarkStart w:id="51" w:name="_Toc16917"/>
      <w:bookmarkStart w:id="52" w:name="_Ref467379094"/>
      <w:r>
        <w:rPr>
          <w:rFonts w:hint="eastAsia" w:ascii="仿宋" w:hAnsi="仿宋" w:eastAsia="仿宋" w:cs="仿宋"/>
          <w:b/>
          <w:sz w:val="24"/>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2.1.1 “合同”系指采购人和成交供应商签订的载明双方当事人所达成的协议，并包括所有的附件、附录和构成合同的其他文件。</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2.1.2 “合同价”系指根据合同约定，成交供应商在完全履行合同义务后，采购人应支付给成交供应商的价格。</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2.1.3 “服务”系指成交供应商根据合同约定应向采购人提供的服务。</w:t>
      </w:r>
    </w:p>
    <w:p>
      <w:pPr>
        <w:spacing w:line="560" w:lineRule="exact"/>
        <w:ind w:left="-283" w:leftChars="-135" w:right="-651" w:rightChars="-310" w:firstLine="480" w:firstLineChars="200"/>
        <w:rPr>
          <w:rFonts w:ascii="仿宋" w:hAnsi="仿宋" w:eastAsia="仿宋" w:cs="仿宋"/>
          <w:sz w:val="24"/>
        </w:rPr>
      </w:pPr>
      <w:bookmarkStart w:id="53" w:name="_Ref467378840"/>
      <w:r>
        <w:rPr>
          <w:rFonts w:hint="eastAsia" w:ascii="仿宋" w:hAnsi="仿宋" w:eastAsia="仿宋" w:cs="仿宋"/>
          <w:sz w:val="24"/>
        </w:rPr>
        <w:t>2.1.4 “甲方”系指与成交供应商签署合同的采购人</w:t>
      </w:r>
      <w:bookmarkEnd w:id="53"/>
      <w:r>
        <w:rPr>
          <w:rFonts w:hint="eastAsia" w:ascii="仿宋" w:hAnsi="仿宋" w:eastAsia="仿宋" w:cs="仿宋"/>
          <w:sz w:val="24"/>
        </w:rPr>
        <w:t>。</w:t>
      </w:r>
    </w:p>
    <w:p>
      <w:pPr>
        <w:spacing w:line="560" w:lineRule="exact"/>
        <w:ind w:left="-283" w:leftChars="-135" w:right="-651" w:rightChars="-310" w:firstLine="480" w:firstLineChars="200"/>
        <w:rPr>
          <w:rFonts w:ascii="仿宋" w:hAnsi="仿宋" w:eastAsia="仿宋" w:cs="仿宋"/>
          <w:sz w:val="24"/>
        </w:rPr>
      </w:pPr>
      <w:bookmarkStart w:id="54" w:name="_Ref467379400"/>
      <w:r>
        <w:rPr>
          <w:rFonts w:hint="eastAsia" w:ascii="仿宋" w:hAnsi="仿宋" w:eastAsia="仿宋" w:cs="仿宋"/>
          <w:sz w:val="24"/>
        </w:rPr>
        <w:t>2.1.5 “乙方”系指根据合同约定提供服务的成交供应商</w:t>
      </w:r>
      <w:bookmarkEnd w:id="54"/>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left="-283" w:leftChars="-135" w:right="-651" w:rightChars="-310" w:firstLine="480" w:firstLineChars="200"/>
        <w:rPr>
          <w:rFonts w:ascii="仿宋" w:hAnsi="仿宋" w:eastAsia="仿宋" w:cs="仿宋"/>
          <w:sz w:val="24"/>
        </w:rPr>
      </w:pPr>
      <w:bookmarkStart w:id="55" w:name="_Ref467379436"/>
      <w:r>
        <w:rPr>
          <w:rFonts w:hint="eastAsia" w:ascii="仿宋" w:hAnsi="仿宋" w:eastAsia="仿宋" w:cs="仿宋"/>
          <w:sz w:val="24"/>
        </w:rPr>
        <w:t>2.1.6 “现场”系指合同约定服务提供地点。</w:t>
      </w:r>
      <w:bookmarkEnd w:id="55"/>
    </w:p>
    <w:p>
      <w:pPr>
        <w:spacing w:line="560" w:lineRule="exact"/>
        <w:ind w:left="-283" w:leftChars="-135" w:right="-651" w:rightChars="-310" w:firstLine="482" w:firstLineChars="200"/>
        <w:outlineLvl w:val="0"/>
        <w:rPr>
          <w:rFonts w:ascii="仿宋" w:hAnsi="仿宋" w:eastAsia="仿宋" w:cs="仿宋"/>
          <w:b/>
          <w:sz w:val="24"/>
        </w:rPr>
      </w:pPr>
      <w:bookmarkStart w:id="56" w:name="_Toc27635"/>
      <w:bookmarkStart w:id="57" w:name="_Toc259093670"/>
      <w:bookmarkStart w:id="58" w:name="_Toc32504"/>
      <w:bookmarkStart w:id="59" w:name="_Toc13336"/>
      <w:bookmarkStart w:id="60" w:name="_Toc487900350"/>
      <w:bookmarkStart w:id="61" w:name="_Toc279701241"/>
      <w:r>
        <w:rPr>
          <w:rFonts w:hint="eastAsia" w:ascii="仿宋" w:hAnsi="仿宋" w:eastAsia="仿宋" w:cs="仿宋"/>
          <w:b/>
          <w:sz w:val="24"/>
        </w:rPr>
        <w:t>2.2 技术规范</w:t>
      </w:r>
      <w:bookmarkEnd w:id="56"/>
      <w:bookmarkEnd w:id="57"/>
      <w:bookmarkEnd w:id="58"/>
      <w:bookmarkEnd w:id="59"/>
      <w:bookmarkEnd w:id="60"/>
      <w:bookmarkEnd w:id="61"/>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left="-283" w:leftChars="-135" w:right="-651" w:rightChars="-310" w:firstLine="482" w:firstLineChars="200"/>
        <w:outlineLvl w:val="0"/>
        <w:rPr>
          <w:rFonts w:ascii="仿宋" w:hAnsi="仿宋" w:eastAsia="仿宋" w:cs="仿宋"/>
          <w:b/>
          <w:sz w:val="24"/>
        </w:rPr>
      </w:pPr>
      <w:bookmarkStart w:id="62" w:name="_Toc31634"/>
      <w:bookmarkStart w:id="63" w:name="_Toc9829"/>
      <w:bookmarkStart w:id="64" w:name="_Toc487900351"/>
      <w:bookmarkStart w:id="65" w:name="_Toc279701242"/>
      <w:bookmarkStart w:id="66" w:name="_Toc259093671"/>
      <w:bookmarkStart w:id="67" w:name="_Toc27853"/>
      <w:r>
        <w:rPr>
          <w:rFonts w:hint="eastAsia" w:ascii="仿宋" w:hAnsi="仿宋" w:eastAsia="仿宋" w:cs="仿宋"/>
          <w:b/>
          <w:sz w:val="24"/>
        </w:rPr>
        <w:t>2.3 知识产权</w:t>
      </w:r>
      <w:bookmarkEnd w:id="62"/>
      <w:bookmarkEnd w:id="63"/>
      <w:bookmarkEnd w:id="64"/>
      <w:bookmarkEnd w:id="65"/>
      <w:bookmarkEnd w:id="66"/>
      <w:bookmarkEnd w:id="67"/>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left="-283" w:leftChars="-135" w:right="-651" w:rightChars="-310" w:firstLine="482" w:firstLineChars="200"/>
        <w:outlineLvl w:val="0"/>
        <w:rPr>
          <w:rFonts w:ascii="仿宋" w:hAnsi="仿宋" w:eastAsia="仿宋" w:cs="仿宋"/>
          <w:b/>
          <w:sz w:val="24"/>
        </w:rPr>
      </w:pPr>
      <w:bookmarkStart w:id="68" w:name="_Toc4194"/>
      <w:bookmarkStart w:id="69" w:name="_Toc11932"/>
      <w:bookmarkStart w:id="70" w:name="_Toc29149"/>
      <w:r>
        <w:rPr>
          <w:rFonts w:hint="eastAsia" w:ascii="仿宋" w:hAnsi="仿宋" w:eastAsia="仿宋" w:cs="仿宋"/>
          <w:b/>
          <w:sz w:val="24"/>
        </w:rPr>
        <w:t>2.4 包装和装运</w:t>
      </w:r>
      <w:bookmarkEnd w:id="68"/>
      <w:bookmarkEnd w:id="69"/>
      <w:bookmarkEnd w:id="70"/>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left="-283" w:leftChars="-135" w:right="-651" w:rightChars="-310" w:firstLine="482" w:firstLineChars="200"/>
        <w:outlineLvl w:val="0"/>
        <w:rPr>
          <w:rFonts w:ascii="仿宋" w:hAnsi="仿宋" w:eastAsia="仿宋" w:cs="仿宋"/>
          <w:b/>
          <w:sz w:val="24"/>
        </w:rPr>
      </w:pPr>
      <w:bookmarkStart w:id="71" w:name="_Ref467379527"/>
      <w:bookmarkStart w:id="72" w:name="_Ref467378541"/>
      <w:bookmarkStart w:id="73" w:name="_Toc279701245"/>
      <w:bookmarkStart w:id="74" w:name="_Toc259093674"/>
      <w:bookmarkStart w:id="75" w:name="_Ref467379542"/>
      <w:bookmarkStart w:id="76" w:name="_Ref467378591"/>
      <w:bookmarkStart w:id="77" w:name="_Ref467379536"/>
      <w:bookmarkStart w:id="78" w:name="_Toc487900354"/>
      <w:bookmarkStart w:id="79" w:name="_Toc26182"/>
      <w:bookmarkStart w:id="80" w:name="_Toc30272"/>
      <w:bookmarkStart w:id="81" w:name="_Toc19074"/>
      <w:r>
        <w:rPr>
          <w:rFonts w:hint="eastAsia" w:ascii="仿宋" w:hAnsi="仿宋" w:eastAsia="仿宋" w:cs="仿宋"/>
          <w:b/>
          <w:sz w:val="24"/>
        </w:rPr>
        <w:t>2.</w:t>
      </w:r>
      <w:bookmarkEnd w:id="71"/>
      <w:bookmarkEnd w:id="72"/>
      <w:bookmarkEnd w:id="73"/>
      <w:bookmarkEnd w:id="74"/>
      <w:bookmarkEnd w:id="75"/>
      <w:bookmarkEnd w:id="76"/>
      <w:bookmarkEnd w:id="77"/>
      <w:bookmarkEnd w:id="78"/>
      <w:r>
        <w:rPr>
          <w:rFonts w:hint="eastAsia" w:ascii="仿宋" w:hAnsi="仿宋" w:eastAsia="仿宋" w:cs="仿宋"/>
          <w:b/>
          <w:sz w:val="24"/>
        </w:rPr>
        <w:t>5 履约检查和问题反馈</w:t>
      </w:r>
      <w:bookmarkEnd w:id="79"/>
      <w:bookmarkEnd w:id="80"/>
      <w:bookmarkEnd w:id="81"/>
    </w:p>
    <w:p>
      <w:pPr>
        <w:spacing w:line="560" w:lineRule="exact"/>
        <w:ind w:left="-283" w:leftChars="-135" w:right="-651" w:rightChars="-310" w:firstLine="480" w:firstLineChars="200"/>
        <w:rPr>
          <w:rFonts w:ascii="仿宋" w:hAnsi="仿宋" w:eastAsia="仿宋" w:cs="仿宋"/>
          <w:sz w:val="24"/>
        </w:rPr>
      </w:pPr>
      <w:bookmarkStart w:id="82" w:name="_Ref467379657"/>
      <w:r>
        <w:rPr>
          <w:rFonts w:hint="eastAsia" w:ascii="仿宋" w:hAnsi="仿宋" w:eastAsia="仿宋" w:cs="仿宋"/>
          <w:sz w:val="24"/>
        </w:rPr>
        <w:t>2.5.1</w:t>
      </w:r>
      <w:bookmarkEnd w:id="82"/>
      <w:bookmarkStart w:id="83" w:name="_Toc186431854"/>
      <w:bookmarkStart w:id="84" w:name="_Toc279701247"/>
      <w:bookmarkStart w:id="85" w:name="_Toc259093676"/>
      <w:bookmarkStart w:id="86" w:name="_Ref467379807"/>
      <w:bookmarkStart w:id="87" w:name="_Ref467379793"/>
      <w:bookmarkStart w:id="88" w:name="_Toc487900357"/>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sz w:val="24"/>
        </w:rPr>
        <w:t>。</w:t>
      </w:r>
    </w:p>
    <w:bookmarkEnd w:id="84"/>
    <w:bookmarkEnd w:id="85"/>
    <w:bookmarkEnd w:id="86"/>
    <w:bookmarkEnd w:id="87"/>
    <w:bookmarkEnd w:id="88"/>
    <w:bookmarkEnd w:id="89"/>
    <w:p>
      <w:pPr>
        <w:spacing w:line="560" w:lineRule="exact"/>
        <w:ind w:left="-283" w:leftChars="-135" w:right="-651" w:rightChars="-310" w:firstLine="482" w:firstLineChars="200"/>
        <w:outlineLvl w:val="0"/>
        <w:rPr>
          <w:rFonts w:ascii="仿宋" w:hAnsi="仿宋" w:eastAsia="仿宋" w:cs="仿宋"/>
          <w:b/>
          <w:sz w:val="24"/>
        </w:rPr>
      </w:pPr>
      <w:bookmarkStart w:id="90" w:name="_Toc259093677"/>
      <w:bookmarkStart w:id="91" w:name="_Ref467379923"/>
      <w:bookmarkStart w:id="92" w:name="_Ref467379863"/>
      <w:bookmarkStart w:id="93" w:name="_Toc279701248"/>
      <w:bookmarkStart w:id="94" w:name="_Ref467379852"/>
      <w:bookmarkStart w:id="95" w:name="_Toc487900358"/>
      <w:bookmarkStart w:id="96" w:name="_Toc774"/>
      <w:bookmarkStart w:id="97" w:name="_Toc16110"/>
      <w:bookmarkStart w:id="98" w:name="_Toc3225"/>
      <w:r>
        <w:rPr>
          <w:rFonts w:hint="eastAsia" w:ascii="仿宋" w:hAnsi="仿宋" w:eastAsia="仿宋" w:cs="仿宋"/>
          <w:b/>
          <w:sz w:val="24"/>
        </w:rPr>
        <w:t>2.6 技术资料</w:t>
      </w:r>
      <w:bookmarkEnd w:id="90"/>
      <w:bookmarkEnd w:id="91"/>
      <w:bookmarkEnd w:id="92"/>
      <w:bookmarkEnd w:id="93"/>
      <w:bookmarkEnd w:id="94"/>
      <w:bookmarkEnd w:id="95"/>
      <w:r>
        <w:rPr>
          <w:rFonts w:hint="eastAsia" w:ascii="仿宋" w:hAnsi="仿宋" w:eastAsia="仿宋" w:cs="仿宋"/>
          <w:b/>
          <w:sz w:val="24"/>
        </w:rPr>
        <w:t>和保密义务</w:t>
      </w:r>
      <w:bookmarkEnd w:id="96"/>
      <w:bookmarkEnd w:id="97"/>
      <w:bookmarkEnd w:id="98"/>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left="-283" w:leftChars="-135" w:right="-651" w:rightChars="-310" w:firstLine="482" w:firstLineChars="200"/>
        <w:outlineLvl w:val="0"/>
        <w:rPr>
          <w:rFonts w:ascii="仿宋" w:hAnsi="仿宋" w:eastAsia="仿宋" w:cs="仿宋"/>
          <w:b/>
          <w:sz w:val="24"/>
        </w:rPr>
      </w:pPr>
      <w:bookmarkStart w:id="99" w:name="_Toc7860"/>
      <w:r>
        <w:rPr>
          <w:rFonts w:hint="eastAsia" w:ascii="仿宋" w:hAnsi="仿宋" w:eastAsia="仿宋" w:cs="仿宋"/>
          <w:b/>
          <w:sz w:val="24"/>
        </w:rPr>
        <w:t>2.7 质量保证</w:t>
      </w:r>
      <w:bookmarkEnd w:id="99"/>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left="-283" w:leftChars="-135" w:right="-651" w:rightChars="-310" w:firstLine="482" w:firstLineChars="200"/>
        <w:outlineLvl w:val="0"/>
        <w:rPr>
          <w:rFonts w:ascii="仿宋" w:hAnsi="仿宋" w:eastAsia="仿宋" w:cs="仿宋"/>
          <w:b/>
          <w:sz w:val="24"/>
        </w:rPr>
      </w:pPr>
      <w:bookmarkStart w:id="100" w:name="_Toc17244"/>
      <w:bookmarkStart w:id="101" w:name="_Toc487900362"/>
      <w:bookmarkStart w:id="102" w:name="_Toc259093681"/>
      <w:bookmarkStart w:id="103" w:name="_Toc279701252"/>
      <w:r>
        <w:rPr>
          <w:rFonts w:hint="eastAsia" w:ascii="仿宋" w:hAnsi="仿宋" w:eastAsia="仿宋" w:cs="仿宋"/>
          <w:b/>
          <w:sz w:val="24"/>
        </w:rPr>
        <w:t>2.8 服务的风险负担</w:t>
      </w:r>
      <w:bookmarkEnd w:id="100"/>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left="-283" w:leftChars="-135" w:right="-651" w:rightChars="-310" w:firstLine="482" w:firstLineChars="200"/>
        <w:outlineLvl w:val="0"/>
        <w:rPr>
          <w:rFonts w:ascii="仿宋" w:hAnsi="仿宋" w:eastAsia="仿宋" w:cs="仿宋"/>
          <w:b/>
          <w:sz w:val="24"/>
        </w:rPr>
      </w:pPr>
      <w:bookmarkStart w:id="104" w:name="_Toc14055"/>
      <w:r>
        <w:rPr>
          <w:rFonts w:hint="eastAsia" w:ascii="仿宋" w:hAnsi="仿宋" w:eastAsia="仿宋" w:cs="仿宋"/>
          <w:b/>
          <w:sz w:val="24"/>
        </w:rPr>
        <w:t>2.9 延迟</w:t>
      </w:r>
      <w:bookmarkEnd w:id="101"/>
      <w:bookmarkEnd w:id="102"/>
      <w:bookmarkEnd w:id="103"/>
      <w:bookmarkEnd w:id="104"/>
      <w:r>
        <w:rPr>
          <w:rFonts w:hint="eastAsia" w:ascii="仿宋" w:hAnsi="仿宋" w:eastAsia="仿宋" w:cs="仿宋"/>
          <w:b/>
          <w:sz w:val="24"/>
        </w:rPr>
        <w:t>交付</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left="-283" w:leftChars="-135" w:right="-651" w:rightChars="-310" w:firstLine="482" w:firstLineChars="200"/>
        <w:outlineLvl w:val="0"/>
        <w:rPr>
          <w:rFonts w:ascii="仿宋" w:hAnsi="仿宋" w:eastAsia="仿宋" w:cs="仿宋"/>
          <w:b/>
          <w:sz w:val="24"/>
        </w:rPr>
      </w:pPr>
      <w:bookmarkStart w:id="105" w:name="_Toc7502"/>
      <w:bookmarkStart w:id="106" w:name="_Ref467378121"/>
      <w:bookmarkStart w:id="107" w:name="_Toc259093683"/>
      <w:bookmarkStart w:id="108" w:name="_Toc487900364"/>
      <w:bookmarkStart w:id="109" w:name="_Toc279701254"/>
      <w:r>
        <w:rPr>
          <w:rFonts w:hint="eastAsia" w:ascii="仿宋" w:hAnsi="仿宋" w:eastAsia="仿宋" w:cs="仿宋"/>
          <w:b/>
          <w:sz w:val="24"/>
        </w:rPr>
        <w:t>2.10合同变更</w:t>
      </w:r>
      <w:bookmarkEnd w:id="105"/>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0" w:name="_Toc487900369"/>
      <w:bookmarkStart w:id="111" w:name="_Toc259093688"/>
      <w:bookmarkStart w:id="112" w:name="_Toc279701259"/>
    </w:p>
    <w:p>
      <w:pPr>
        <w:spacing w:line="560" w:lineRule="exact"/>
        <w:ind w:left="-283" w:leftChars="-135" w:right="-651" w:rightChars="-310" w:firstLine="482" w:firstLineChars="200"/>
        <w:outlineLvl w:val="0"/>
        <w:rPr>
          <w:rFonts w:ascii="仿宋" w:hAnsi="仿宋" w:eastAsia="仿宋" w:cs="仿宋"/>
          <w:b/>
          <w:sz w:val="24"/>
        </w:rPr>
      </w:pPr>
      <w:bookmarkStart w:id="113" w:name="_Toc10366"/>
      <w:bookmarkStart w:id="114" w:name="_Toc22955"/>
      <w:bookmarkStart w:id="115" w:name="_Toc15237"/>
      <w:r>
        <w:rPr>
          <w:rFonts w:hint="eastAsia" w:ascii="仿宋" w:hAnsi="仿宋" w:eastAsia="仿宋" w:cs="仿宋"/>
          <w:b/>
          <w:sz w:val="24"/>
        </w:rPr>
        <w:t>2.11合同转让</w:t>
      </w:r>
      <w:bookmarkEnd w:id="110"/>
      <w:bookmarkEnd w:id="111"/>
      <w:bookmarkEnd w:id="112"/>
      <w:r>
        <w:rPr>
          <w:rFonts w:hint="eastAsia" w:ascii="仿宋" w:hAnsi="仿宋" w:eastAsia="仿宋" w:cs="仿宋"/>
          <w:b/>
          <w:sz w:val="24"/>
        </w:rPr>
        <w:t>和分包</w:t>
      </w:r>
      <w:bookmarkEnd w:id="113"/>
      <w:bookmarkEnd w:id="114"/>
      <w:bookmarkEnd w:id="115"/>
      <w:r>
        <w:rPr>
          <w:rFonts w:hint="eastAsia" w:ascii="仿宋" w:hAnsi="仿宋" w:eastAsia="仿宋" w:cs="仿宋"/>
          <w:b/>
          <w:sz w:val="24"/>
        </w:rPr>
        <w:t>（如有）</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left="-283" w:leftChars="-135" w:right="-651" w:rightChars="-310" w:firstLine="482" w:firstLineChars="200"/>
        <w:outlineLvl w:val="0"/>
        <w:rPr>
          <w:rFonts w:ascii="仿宋" w:hAnsi="仿宋" w:eastAsia="仿宋" w:cs="仿宋"/>
          <w:b/>
          <w:sz w:val="24"/>
        </w:rPr>
      </w:pPr>
      <w:bookmarkStart w:id="116" w:name="_Toc14066"/>
      <w:bookmarkStart w:id="117" w:name="_Toc16508"/>
      <w:bookmarkStart w:id="118" w:name="_Toc13566"/>
      <w:r>
        <w:rPr>
          <w:rFonts w:hint="eastAsia" w:ascii="仿宋" w:hAnsi="仿宋" w:eastAsia="仿宋" w:cs="仿宋"/>
          <w:b/>
          <w:sz w:val="24"/>
        </w:rPr>
        <w:t>2.12不可抗力</w:t>
      </w:r>
      <w:bookmarkEnd w:id="116"/>
      <w:bookmarkEnd w:id="117"/>
      <w:bookmarkEnd w:id="118"/>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left="-283" w:leftChars="-135" w:right="-651" w:rightChars="-310" w:firstLine="482" w:firstLineChars="200"/>
        <w:outlineLvl w:val="0"/>
        <w:rPr>
          <w:rFonts w:ascii="仿宋" w:hAnsi="仿宋" w:eastAsia="仿宋" w:cs="仿宋"/>
          <w:b/>
          <w:sz w:val="24"/>
        </w:rPr>
      </w:pPr>
      <w:bookmarkStart w:id="119" w:name="_Toc487900365"/>
      <w:bookmarkStart w:id="120" w:name="_Toc6969"/>
      <w:bookmarkStart w:id="121" w:name="_Toc30676"/>
      <w:bookmarkStart w:id="122" w:name="_Toc279701255"/>
      <w:bookmarkStart w:id="123" w:name="_Toc259093684"/>
      <w:bookmarkStart w:id="124" w:name="_Toc689"/>
      <w:r>
        <w:rPr>
          <w:rFonts w:hint="eastAsia" w:ascii="仿宋" w:hAnsi="仿宋" w:eastAsia="仿宋" w:cs="仿宋"/>
          <w:b/>
          <w:sz w:val="24"/>
        </w:rPr>
        <w:t>2.13 税费</w:t>
      </w:r>
      <w:bookmarkEnd w:id="119"/>
      <w:bookmarkEnd w:id="120"/>
      <w:bookmarkEnd w:id="121"/>
      <w:bookmarkEnd w:id="122"/>
      <w:bookmarkEnd w:id="123"/>
      <w:bookmarkEnd w:id="124"/>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left="-283" w:leftChars="-135" w:right="-651" w:rightChars="-310" w:firstLine="482" w:firstLineChars="200"/>
        <w:outlineLvl w:val="0"/>
        <w:rPr>
          <w:rFonts w:ascii="仿宋" w:hAnsi="仿宋" w:eastAsia="仿宋" w:cs="仿宋"/>
          <w:b/>
          <w:sz w:val="24"/>
        </w:rPr>
      </w:pPr>
      <w:bookmarkStart w:id="125" w:name="_Toc7102"/>
      <w:bookmarkStart w:id="126" w:name="_Toc16959"/>
      <w:bookmarkStart w:id="127" w:name="_Toc487900368"/>
      <w:bookmarkStart w:id="128" w:name="_Toc8298"/>
      <w:bookmarkStart w:id="129" w:name="_Toc259093687"/>
      <w:bookmarkStart w:id="130" w:name="_Toc279701258"/>
      <w:r>
        <w:rPr>
          <w:rFonts w:hint="eastAsia" w:ascii="仿宋" w:hAnsi="仿宋" w:eastAsia="仿宋" w:cs="仿宋"/>
          <w:b/>
          <w:sz w:val="24"/>
        </w:rPr>
        <w:t>2.14乙方破产</w:t>
      </w:r>
      <w:bookmarkEnd w:id="125"/>
      <w:bookmarkEnd w:id="126"/>
      <w:bookmarkEnd w:id="127"/>
      <w:bookmarkEnd w:id="128"/>
      <w:bookmarkEnd w:id="129"/>
      <w:bookmarkEnd w:id="130"/>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left="-283" w:leftChars="-135" w:right="-651" w:rightChars="-310" w:firstLine="482" w:firstLineChars="200"/>
        <w:outlineLvl w:val="0"/>
        <w:rPr>
          <w:rFonts w:ascii="仿宋" w:hAnsi="仿宋" w:eastAsia="仿宋" w:cs="仿宋"/>
          <w:b/>
          <w:sz w:val="24"/>
        </w:rPr>
      </w:pPr>
      <w:bookmarkStart w:id="131" w:name="_Toc6134"/>
      <w:bookmarkStart w:id="132" w:name="_Toc29333"/>
      <w:bookmarkStart w:id="133" w:name="_Toc15387"/>
      <w:r>
        <w:rPr>
          <w:rFonts w:hint="eastAsia" w:ascii="仿宋" w:hAnsi="仿宋" w:eastAsia="仿宋" w:cs="仿宋"/>
          <w:b/>
          <w:sz w:val="24"/>
        </w:rPr>
        <w:t>2.15合同中止、终止</w:t>
      </w:r>
      <w:bookmarkEnd w:id="131"/>
      <w:bookmarkEnd w:id="132"/>
      <w:bookmarkEnd w:id="133"/>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left="-283" w:leftChars="-135" w:right="-651" w:rightChars="-310" w:firstLine="482" w:firstLineChars="200"/>
        <w:outlineLvl w:val="0"/>
        <w:rPr>
          <w:rFonts w:ascii="仿宋" w:hAnsi="仿宋" w:eastAsia="仿宋" w:cs="仿宋"/>
          <w:b/>
          <w:sz w:val="24"/>
        </w:rPr>
      </w:pPr>
      <w:bookmarkStart w:id="134" w:name="_Toc6596"/>
      <w:bookmarkStart w:id="135" w:name="_Toc1125"/>
      <w:bookmarkStart w:id="136" w:name="_Toc14563"/>
      <w:r>
        <w:rPr>
          <w:rFonts w:hint="eastAsia" w:ascii="仿宋" w:hAnsi="仿宋" w:eastAsia="仿宋" w:cs="仿宋"/>
          <w:b/>
          <w:sz w:val="24"/>
        </w:rPr>
        <w:t>2.16检验和验收</w:t>
      </w:r>
      <w:bookmarkEnd w:id="134"/>
      <w:bookmarkEnd w:id="135"/>
      <w:bookmarkEnd w:id="136"/>
    </w:p>
    <w:p>
      <w:pPr>
        <w:tabs>
          <w:tab w:val="left" w:pos="360"/>
          <w:tab w:val="left" w:pos="540"/>
          <w:tab w:val="left" w:pos="1080"/>
        </w:tabs>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6"/>
    <w:bookmarkEnd w:id="107"/>
    <w:bookmarkEnd w:id="108"/>
    <w:bookmarkEnd w:id="109"/>
    <w:p>
      <w:pPr>
        <w:spacing w:line="560" w:lineRule="exact"/>
        <w:ind w:left="-283" w:leftChars="-135" w:right="-651" w:rightChars="-310" w:firstLine="482" w:firstLineChars="200"/>
        <w:outlineLvl w:val="0"/>
        <w:rPr>
          <w:rFonts w:ascii="仿宋" w:hAnsi="仿宋" w:eastAsia="仿宋" w:cs="仿宋"/>
          <w:b/>
          <w:sz w:val="24"/>
        </w:rPr>
      </w:pPr>
      <w:bookmarkStart w:id="137" w:name="_Toc279701261"/>
      <w:bookmarkStart w:id="138" w:name="_Toc487900371"/>
      <w:bookmarkStart w:id="139" w:name="_Toc259093690"/>
      <w:bookmarkStart w:id="140" w:name="_Toc11284"/>
      <w:bookmarkStart w:id="141" w:name="_Toc25182"/>
      <w:bookmarkStart w:id="142" w:name="_Toc19604"/>
      <w:r>
        <w:rPr>
          <w:rFonts w:hint="eastAsia" w:ascii="仿宋" w:hAnsi="仿宋" w:eastAsia="仿宋" w:cs="仿宋"/>
          <w:b/>
          <w:sz w:val="24"/>
        </w:rPr>
        <w:t>2.17通知</w:t>
      </w:r>
      <w:bookmarkEnd w:id="137"/>
      <w:bookmarkEnd w:id="138"/>
      <w:bookmarkEnd w:id="139"/>
      <w:r>
        <w:rPr>
          <w:rFonts w:hint="eastAsia" w:ascii="仿宋" w:hAnsi="仿宋" w:eastAsia="仿宋" w:cs="仿宋"/>
          <w:b/>
          <w:sz w:val="24"/>
        </w:rPr>
        <w:t>和送达</w:t>
      </w:r>
      <w:bookmarkEnd w:id="140"/>
      <w:bookmarkEnd w:id="141"/>
      <w:bookmarkEnd w:id="142"/>
    </w:p>
    <w:p>
      <w:pPr>
        <w:spacing w:line="560" w:lineRule="exact"/>
        <w:ind w:left="-283" w:leftChars="-135" w:right="-651" w:rightChars="-310" w:firstLine="480" w:firstLineChars="200"/>
        <w:rPr>
          <w:rFonts w:ascii="仿宋" w:hAnsi="仿宋" w:eastAsia="仿宋" w:cs="仿宋"/>
          <w:sz w:val="24"/>
        </w:rPr>
      </w:pPr>
      <w:bookmarkStart w:id="143" w:name="_Toc3135"/>
      <w:bookmarkStart w:id="144" w:name="_Toc6698"/>
      <w:bookmarkStart w:id="145" w:name="_Toc279701262"/>
      <w:bookmarkStart w:id="146" w:name="_Toc259093691"/>
      <w:bookmarkStart w:id="147" w:name="_Toc487900372"/>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pPr>
        <w:spacing w:line="560" w:lineRule="exact"/>
        <w:ind w:left="-283" w:leftChars="-135" w:right="-651" w:rightChars="-310" w:firstLine="480" w:firstLineChars="200"/>
        <w:rPr>
          <w:rFonts w:ascii="仿宋" w:hAnsi="仿宋" w:eastAsia="仿宋" w:cs="仿宋"/>
          <w:sz w:val="24"/>
        </w:rPr>
      </w:pPr>
      <w:bookmarkStart w:id="148" w:name="_Toc23128"/>
      <w:bookmarkStart w:id="149"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560" w:lineRule="exact"/>
        <w:ind w:left="-283" w:leftChars="-135" w:right="-651" w:rightChars="-310" w:firstLine="482" w:firstLineChars="200"/>
        <w:outlineLvl w:val="0"/>
        <w:rPr>
          <w:rFonts w:ascii="仿宋" w:hAnsi="仿宋" w:eastAsia="仿宋" w:cs="仿宋"/>
          <w:b/>
          <w:sz w:val="24"/>
        </w:rPr>
      </w:pPr>
      <w:bookmarkStart w:id="150" w:name="_Toc18540"/>
      <w:bookmarkStart w:id="151" w:name="_Toc30599"/>
      <w:bookmarkStart w:id="152" w:name="_Toc4355"/>
      <w:r>
        <w:rPr>
          <w:rFonts w:hint="eastAsia" w:ascii="仿宋" w:hAnsi="仿宋" w:eastAsia="仿宋" w:cs="仿宋"/>
          <w:b/>
          <w:sz w:val="24"/>
        </w:rPr>
        <w:t>2.18 计量单位</w:t>
      </w:r>
      <w:bookmarkEnd w:id="145"/>
      <w:bookmarkEnd w:id="146"/>
      <w:bookmarkEnd w:id="147"/>
      <w:bookmarkEnd w:id="150"/>
      <w:bookmarkEnd w:id="151"/>
      <w:bookmarkEnd w:id="152"/>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left="-283" w:leftChars="-135" w:right="-651" w:rightChars="-310" w:firstLine="482" w:firstLineChars="200"/>
        <w:outlineLvl w:val="0"/>
        <w:rPr>
          <w:rFonts w:ascii="仿宋" w:hAnsi="仿宋" w:eastAsia="仿宋" w:cs="仿宋"/>
          <w:b/>
          <w:sz w:val="24"/>
        </w:rPr>
      </w:pPr>
      <w:bookmarkStart w:id="153" w:name="_Toc487900373"/>
      <w:bookmarkStart w:id="154" w:name="_Toc10330"/>
      <w:bookmarkStart w:id="155" w:name="_Toc259093692"/>
      <w:bookmarkStart w:id="156" w:name="_Toc12773"/>
      <w:bookmarkStart w:id="157" w:name="_Toc279701263"/>
      <w:bookmarkStart w:id="158" w:name="_Toc18567"/>
      <w:r>
        <w:rPr>
          <w:rFonts w:hint="eastAsia" w:ascii="仿宋" w:hAnsi="仿宋" w:eastAsia="仿宋" w:cs="仿宋"/>
          <w:b/>
          <w:sz w:val="24"/>
        </w:rPr>
        <w:t>2.19 合同使用的文字和适用的法律</w:t>
      </w:r>
      <w:bookmarkEnd w:id="153"/>
      <w:bookmarkEnd w:id="154"/>
      <w:bookmarkEnd w:id="155"/>
      <w:bookmarkEnd w:id="156"/>
      <w:bookmarkEnd w:id="157"/>
      <w:bookmarkEnd w:id="158"/>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left="-283" w:leftChars="-135" w:right="-651" w:rightChars="-310" w:firstLine="482" w:firstLineChars="200"/>
        <w:outlineLvl w:val="0"/>
        <w:rPr>
          <w:rFonts w:ascii="仿宋" w:hAnsi="仿宋" w:eastAsia="仿宋" w:cs="仿宋"/>
          <w:b/>
          <w:sz w:val="24"/>
        </w:rPr>
      </w:pPr>
      <w:bookmarkStart w:id="159" w:name="_Toc259093693"/>
      <w:bookmarkStart w:id="160" w:name="_Toc16673"/>
      <w:bookmarkStart w:id="161" w:name="_Toc3148"/>
      <w:bookmarkStart w:id="162" w:name="_Toc12004"/>
      <w:bookmarkStart w:id="163" w:name="_Toc279701264"/>
      <w:bookmarkStart w:id="164" w:name="_Toc487900374"/>
      <w:r>
        <w:rPr>
          <w:rFonts w:hint="eastAsia" w:ascii="仿宋" w:hAnsi="仿宋" w:eastAsia="仿宋" w:cs="仿宋"/>
          <w:b/>
          <w:sz w:val="24"/>
        </w:rPr>
        <w:t>2.20 履约保证金</w:t>
      </w:r>
      <w:bookmarkEnd w:id="159"/>
      <w:bookmarkEnd w:id="160"/>
      <w:bookmarkEnd w:id="161"/>
      <w:bookmarkEnd w:id="162"/>
      <w:bookmarkEnd w:id="163"/>
    </w:p>
    <w:p>
      <w:pPr>
        <w:spacing w:line="560" w:lineRule="exact"/>
        <w:ind w:left="-283" w:leftChars="-135" w:right="-651" w:rightChars="-310"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w:t>
      </w:r>
      <w:r>
        <w:rPr>
          <w:rFonts w:hint="eastAsia" w:ascii="仿宋" w:hAnsi="仿宋" w:eastAsia="仿宋" w:cs="仿宋"/>
        </w:rPr>
        <w:t>1%</w:t>
      </w:r>
      <w:r>
        <w:rPr>
          <w:rFonts w:hint="eastAsia" w:ascii="仿宋" w:hAnsi="仿宋" w:eastAsia="仿宋" w:cs="仿宋"/>
          <w:sz w:val="24"/>
        </w:rPr>
        <w:t>的履约保证金；鼓励和支持乙方以银行、保险公司出具的保函形式提供履约保证。</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left="-283" w:leftChars="-135" w:right="-651" w:rightChars="-310"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4"/>
    <w:p>
      <w:pPr>
        <w:spacing w:line="560" w:lineRule="exact"/>
        <w:ind w:left="-283" w:leftChars="-135" w:right="-651" w:rightChars="-310" w:firstLine="482" w:firstLineChars="200"/>
        <w:outlineLvl w:val="0"/>
        <w:rPr>
          <w:rFonts w:ascii="仿宋" w:hAnsi="仿宋" w:eastAsia="仿宋" w:cs="仿宋"/>
          <w:b/>
          <w:sz w:val="24"/>
        </w:rPr>
      </w:pPr>
      <w:bookmarkStart w:id="165" w:name="_Toc19890"/>
      <w:bookmarkStart w:id="166" w:name="_Toc6885"/>
      <w:bookmarkStart w:id="167" w:name="_Toc14001"/>
      <w:r>
        <w:rPr>
          <w:rFonts w:hint="eastAsia" w:ascii="仿宋" w:hAnsi="仿宋" w:eastAsia="仿宋" w:cs="仿宋"/>
          <w:b/>
          <w:sz w:val="24"/>
        </w:rPr>
        <w:t>2.22合同份数</w:t>
      </w:r>
      <w:bookmarkEnd w:id="165"/>
      <w:bookmarkEnd w:id="166"/>
      <w:bookmarkEnd w:id="167"/>
    </w:p>
    <w:p>
      <w:pPr>
        <w:spacing w:line="560" w:lineRule="exact"/>
        <w:ind w:left="-283" w:leftChars="-135" w:right="-651" w:rightChars="-310"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left="-283" w:leftChars="-135" w:firstLine="424" w:firstLineChars="177"/>
        <w:rPr>
          <w:rFonts w:ascii="仿宋" w:hAnsi="仿宋" w:eastAsia="仿宋" w:cs="仿宋"/>
          <w:sz w:val="24"/>
        </w:rPr>
      </w:pPr>
      <w:r>
        <w:rPr>
          <w:rFonts w:hint="eastAsia" w:ascii="仿宋" w:hAnsi="仿宋" w:eastAsia="仿宋" w:cs="仿宋"/>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7"/>
        <w:spacing w:line="560" w:lineRule="exact"/>
        <w:ind w:left="-283" w:leftChars="-135" w:right="-651" w:rightChars="-310"/>
        <w:jc w:val="center"/>
        <w:rPr>
          <w:rFonts w:ascii="仿宋" w:hAnsi="仿宋" w:eastAsia="仿宋" w:cs="仿宋"/>
          <w:b/>
        </w:rPr>
      </w:pPr>
      <w:r>
        <w:rPr>
          <w:rFonts w:hint="eastAsia" w:ascii="仿宋" w:hAnsi="仿宋" w:eastAsia="仿宋" w:cs="仿宋"/>
          <w:kern w:val="0"/>
        </w:rPr>
        <w:br w:type="page"/>
      </w:r>
      <w:bookmarkStart w:id="168" w:name="_Toc331685784"/>
      <w:bookmarkEnd w:id="168"/>
      <w:r>
        <w:rPr>
          <w:rFonts w:hint="eastAsia" w:ascii="仿宋" w:hAnsi="仿宋" w:eastAsia="仿宋" w:cs="仿宋"/>
          <w:b/>
        </w:rPr>
        <w:t>第三部分  合同专用条款</w:t>
      </w:r>
    </w:p>
    <w:p>
      <w:pPr>
        <w:spacing w:line="560" w:lineRule="exact"/>
        <w:ind w:left="-283" w:leftChars="-135" w:right="-651" w:rightChars="-31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88"/>
        <w:tblW w:w="5470" w:type="pct"/>
        <w:tblInd w:w="-25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644"/>
        <w:gridCol w:w="79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b/>
                <w:sz w:val="24"/>
              </w:rPr>
            </w:pPr>
            <w:r>
              <w:rPr>
                <w:rFonts w:hint="eastAsia" w:ascii="仿宋" w:hAnsi="仿宋" w:eastAsia="仿宋" w:cs="仿宋"/>
                <w:b/>
                <w:sz w:val="24"/>
              </w:rPr>
              <w:t>条款号</w:t>
            </w:r>
          </w:p>
        </w:tc>
        <w:tc>
          <w:tcPr>
            <w:tcW w:w="4145" w:type="pct"/>
            <w:vAlign w:val="center"/>
          </w:tcPr>
          <w:p>
            <w:pPr>
              <w:spacing w:line="360" w:lineRule="auto"/>
              <w:ind w:left="-283" w:leftChars="-135" w:right="-651" w:rightChars="-310"/>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1.4.4</w:t>
            </w:r>
          </w:p>
        </w:tc>
        <w:tc>
          <w:tcPr>
            <w:tcW w:w="4145" w:type="pct"/>
            <w:vAlign w:val="center"/>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1.5.7</w:t>
            </w:r>
          </w:p>
        </w:tc>
        <w:tc>
          <w:tcPr>
            <w:tcW w:w="4145" w:type="pct"/>
            <w:vAlign w:val="center"/>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1.6</w:t>
            </w:r>
          </w:p>
        </w:tc>
        <w:tc>
          <w:tcPr>
            <w:tcW w:w="4145" w:type="pct"/>
            <w:vAlign w:val="center"/>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1.6.1</w:t>
            </w:r>
          </w:p>
        </w:tc>
        <w:tc>
          <w:tcPr>
            <w:tcW w:w="4145" w:type="pct"/>
            <w:vAlign w:val="center"/>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1.6.2</w:t>
            </w:r>
          </w:p>
        </w:tc>
        <w:tc>
          <w:tcPr>
            <w:tcW w:w="4145" w:type="pct"/>
            <w:vAlign w:val="center"/>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2.3.2</w:t>
            </w:r>
          </w:p>
        </w:tc>
        <w:tc>
          <w:tcPr>
            <w:tcW w:w="4145" w:type="pct"/>
            <w:vAlign w:val="center"/>
          </w:tcPr>
          <w:p>
            <w:pPr>
              <w:spacing w:line="360" w:lineRule="auto"/>
              <w:ind w:left="-283" w:leftChars="-135" w:right="-651" w:rightChars="-31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2.4.2</w:t>
            </w:r>
          </w:p>
        </w:tc>
        <w:tc>
          <w:tcPr>
            <w:tcW w:w="4145" w:type="pct"/>
            <w:vAlign w:val="center"/>
          </w:tcPr>
          <w:p>
            <w:pPr>
              <w:spacing w:line="360" w:lineRule="auto"/>
              <w:ind w:left="-283" w:leftChars="-135" w:right="-651" w:rightChars="-31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2.8</w:t>
            </w:r>
          </w:p>
        </w:tc>
        <w:tc>
          <w:tcPr>
            <w:tcW w:w="4145" w:type="pct"/>
            <w:vAlign w:val="center"/>
          </w:tcPr>
          <w:p>
            <w:pPr>
              <w:spacing w:line="360" w:lineRule="auto"/>
              <w:ind w:left="-283" w:leftChars="-135" w:right="-651" w:rightChars="-31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2.12.3</w:t>
            </w:r>
          </w:p>
        </w:tc>
        <w:tc>
          <w:tcPr>
            <w:tcW w:w="4145" w:type="pct"/>
            <w:vAlign w:val="center"/>
          </w:tcPr>
          <w:p>
            <w:pPr>
              <w:spacing w:line="360" w:lineRule="auto"/>
              <w:ind w:left="-283" w:leftChars="-135" w:right="-651" w:rightChars="-31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2.12.4</w:t>
            </w:r>
          </w:p>
        </w:tc>
        <w:tc>
          <w:tcPr>
            <w:tcW w:w="4145" w:type="pct"/>
            <w:vAlign w:val="center"/>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2.16.2</w:t>
            </w:r>
          </w:p>
        </w:tc>
        <w:tc>
          <w:tcPr>
            <w:tcW w:w="4145" w:type="pct"/>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2.20.1</w:t>
            </w:r>
          </w:p>
        </w:tc>
        <w:tc>
          <w:tcPr>
            <w:tcW w:w="4145" w:type="pct"/>
            <w:vAlign w:val="center"/>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5" w:type="pct"/>
            <w:tcBorders>
              <w:left w:val="single" w:color="auto" w:sz="4" w:space="0"/>
            </w:tcBorders>
            <w:vAlign w:val="center"/>
          </w:tcPr>
          <w:p>
            <w:pPr>
              <w:spacing w:line="360" w:lineRule="auto"/>
              <w:ind w:left="-283" w:leftChars="-135" w:right="-651" w:rightChars="-310"/>
              <w:jc w:val="center"/>
              <w:rPr>
                <w:rFonts w:ascii="仿宋" w:hAnsi="仿宋" w:eastAsia="仿宋" w:cs="仿宋"/>
                <w:sz w:val="24"/>
              </w:rPr>
            </w:pPr>
            <w:r>
              <w:rPr>
                <w:rFonts w:hint="eastAsia" w:ascii="仿宋" w:hAnsi="仿宋" w:eastAsia="仿宋" w:cs="仿宋"/>
                <w:sz w:val="24"/>
              </w:rPr>
              <w:t>2.20.2</w:t>
            </w:r>
          </w:p>
        </w:tc>
        <w:tc>
          <w:tcPr>
            <w:tcW w:w="4145" w:type="pct"/>
            <w:vAlign w:val="center"/>
          </w:tcPr>
          <w:p>
            <w:pPr>
              <w:spacing w:line="360" w:lineRule="auto"/>
              <w:ind w:left="-283" w:leftChars="-135" w:right="-651" w:rightChars="-31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5" w:type="pct"/>
            <w:tcBorders>
              <w:left w:val="single" w:color="auto" w:sz="4" w:space="0"/>
            </w:tcBorders>
            <w:vAlign w:val="center"/>
          </w:tcPr>
          <w:p>
            <w:pPr>
              <w:spacing w:line="360" w:lineRule="auto"/>
              <w:ind w:left="-283" w:leftChars="-135" w:right="-651" w:rightChars="-310" w:firstLine="480" w:firstLineChars="200"/>
              <w:jc w:val="center"/>
              <w:outlineLvl w:val="0"/>
              <w:rPr>
                <w:rFonts w:ascii="仿宋" w:hAnsi="仿宋" w:eastAsia="仿宋" w:cs="仿宋"/>
                <w:sz w:val="24"/>
              </w:rPr>
            </w:pPr>
            <w:r>
              <w:rPr>
                <w:rFonts w:hint="eastAsia" w:ascii="仿宋" w:hAnsi="仿宋" w:eastAsia="仿宋" w:cs="仿宋"/>
                <w:sz w:val="24"/>
              </w:rPr>
              <w:t>2.22</w:t>
            </w:r>
          </w:p>
        </w:tc>
        <w:tc>
          <w:tcPr>
            <w:tcW w:w="4145" w:type="pct"/>
            <w:vAlign w:val="center"/>
          </w:tcPr>
          <w:p>
            <w:pPr>
              <w:spacing w:line="360" w:lineRule="auto"/>
              <w:ind w:left="-283" w:leftChars="-135" w:right="-651" w:rightChars="-310"/>
              <w:rPr>
                <w:rFonts w:ascii="仿宋" w:hAnsi="仿宋" w:eastAsia="仿宋" w:cs="仿宋"/>
                <w:sz w:val="24"/>
              </w:rPr>
            </w:pPr>
          </w:p>
        </w:tc>
      </w:tr>
    </w:tbl>
    <w:p>
      <w:pPr>
        <w:spacing w:line="360" w:lineRule="auto"/>
        <w:ind w:left="-283" w:leftChars="-135" w:right="-651" w:rightChars="-310" w:firstLine="480" w:firstLineChars="200"/>
        <w:rPr>
          <w:rFonts w:ascii="仿宋" w:hAnsi="仿宋" w:eastAsia="仿宋" w:cs="仿宋"/>
          <w:sz w:val="24"/>
        </w:rPr>
      </w:pPr>
    </w:p>
    <w:p>
      <w:pPr>
        <w:spacing w:line="380" w:lineRule="exact"/>
        <w:ind w:left="-283" w:leftChars="-135" w:right="-651" w:rightChars="-310" w:firstLine="480" w:firstLineChars="200"/>
        <w:jc w:val="left"/>
        <w:rPr>
          <w:rFonts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snapToGrid w:val="0"/>
        <w:spacing w:line="440" w:lineRule="exact"/>
        <w:ind w:left="-283" w:leftChars="-135" w:right="-651" w:rightChars="-310"/>
        <w:jc w:val="center"/>
        <w:rPr>
          <w:rFonts w:ascii="仿宋" w:hAnsi="仿宋" w:eastAsia="仿宋" w:cs="仿宋"/>
          <w:b/>
          <w:sz w:val="36"/>
          <w:szCs w:val="36"/>
        </w:rPr>
      </w:pPr>
    </w:p>
    <w:p>
      <w:pPr>
        <w:pStyle w:val="41"/>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磋商方法及标准</w:t>
      </w:r>
    </w:p>
    <w:p>
      <w:pPr>
        <w:spacing w:line="440" w:lineRule="exact"/>
        <w:jc w:val="left"/>
        <w:rPr>
          <w:rFonts w:ascii="仿宋" w:hAnsi="仿宋" w:eastAsia="仿宋" w:cs="仿宋"/>
          <w:b/>
          <w:sz w:val="24"/>
        </w:rPr>
      </w:pPr>
      <w:r>
        <w:rPr>
          <w:rFonts w:hint="eastAsia" w:ascii="仿宋" w:hAnsi="仿宋" w:eastAsia="仿宋" w:cs="仿宋"/>
          <w:b/>
          <w:sz w:val="24"/>
        </w:rPr>
        <w:t>1、磋商方法：</w:t>
      </w:r>
    </w:p>
    <w:p>
      <w:pPr>
        <w:spacing w:line="440" w:lineRule="exact"/>
        <w:ind w:firstLine="470" w:firstLineChars="196"/>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采用随机抽取的方式确定。。</w:t>
      </w:r>
    </w:p>
    <w:p>
      <w:pPr>
        <w:spacing w:line="440" w:lineRule="exact"/>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rPr>
          <w:rFonts w:ascii="仿宋" w:hAnsi="仿宋" w:eastAsia="仿宋" w:cs="仿宋"/>
          <w:sz w:val="24"/>
        </w:rPr>
      </w:pPr>
      <w:r>
        <w:rPr>
          <w:rFonts w:hint="eastAsia" w:ascii="仿宋" w:hAnsi="仿宋" w:eastAsia="仿宋" w:cs="仿宋"/>
          <w:b/>
          <w:sz w:val="24"/>
        </w:rPr>
        <w:t>2.评审标准：</w:t>
      </w:r>
      <w:r>
        <w:rPr>
          <w:rFonts w:hint="eastAsia" w:ascii="仿宋" w:hAnsi="仿宋" w:eastAsia="仿宋" w:cs="仿宋"/>
          <w:sz w:val="24"/>
        </w:rPr>
        <w:t>共100分，其中商务技术分70分，价格分30分。评分依下述所列为评审打分依据，分值如下（计算分值时，按其算术平均值保留小数2位）。</w:t>
      </w:r>
    </w:p>
    <w:p>
      <w:pPr>
        <w:spacing w:beforeLines="50" w:afterLines="50" w:line="440" w:lineRule="exact"/>
        <w:rPr>
          <w:rFonts w:ascii="仿宋" w:hAnsi="仿宋" w:eastAsia="仿宋" w:cs="仿宋"/>
          <w:b/>
          <w:bCs/>
          <w:iCs/>
          <w:sz w:val="24"/>
        </w:rPr>
      </w:pPr>
      <w:r>
        <w:rPr>
          <w:rFonts w:hint="eastAsia" w:ascii="仿宋" w:hAnsi="仿宋" w:eastAsia="仿宋" w:cs="仿宋"/>
          <w:b/>
          <w:sz w:val="24"/>
        </w:rPr>
        <w:t>2.1</w:t>
      </w:r>
      <w:r>
        <w:rPr>
          <w:rFonts w:hint="eastAsia" w:ascii="仿宋" w:hAnsi="仿宋" w:eastAsia="仿宋" w:cs="仿宋"/>
          <w:b/>
          <w:bCs/>
          <w:iCs/>
          <w:sz w:val="24"/>
        </w:rPr>
        <w:t>商务技术分（</w:t>
      </w:r>
      <w:r>
        <w:rPr>
          <w:rFonts w:hint="eastAsia" w:ascii="仿宋" w:hAnsi="仿宋" w:eastAsia="仿宋" w:cs="仿宋"/>
          <w:b/>
          <w:sz w:val="24"/>
        </w:rPr>
        <w:t>70分</w:t>
      </w:r>
      <w:r>
        <w:rPr>
          <w:rFonts w:hint="eastAsia" w:ascii="仿宋" w:hAnsi="仿宋" w:eastAsia="仿宋" w:cs="仿宋"/>
          <w:b/>
          <w:bCs/>
          <w:iCs/>
          <w:sz w:val="24"/>
        </w:rPr>
        <w:t>）</w:t>
      </w:r>
      <w:bookmarkEnd w:id="8"/>
      <w:bookmarkEnd w:id="9"/>
      <w:bookmarkEnd w:id="10"/>
      <w:bookmarkEnd w:id="11"/>
    </w:p>
    <w:tbl>
      <w:tblPr>
        <w:tblStyle w:val="8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80"/>
        <w:gridCol w:w="6675"/>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0" w:type="dxa"/>
            <w:noWrap/>
            <w:vAlign w:val="center"/>
          </w:tcPr>
          <w:p>
            <w:pPr>
              <w:jc w:val="center"/>
              <w:rPr>
                <w:rFonts w:ascii="仿宋" w:hAnsi="仿宋" w:eastAsia="仿宋" w:cs="仿宋"/>
                <w:b/>
                <w:bCs/>
                <w:sz w:val="24"/>
              </w:rPr>
            </w:pPr>
            <w:r>
              <w:rPr>
                <w:rFonts w:hint="eastAsia" w:ascii="仿宋" w:hAnsi="仿宋" w:eastAsia="仿宋" w:cs="仿宋"/>
                <w:b/>
                <w:bCs/>
                <w:sz w:val="24"/>
              </w:rPr>
              <w:t>序号</w:t>
            </w:r>
          </w:p>
        </w:tc>
        <w:tc>
          <w:tcPr>
            <w:tcW w:w="1380" w:type="dxa"/>
            <w:noWrap/>
            <w:vAlign w:val="center"/>
          </w:tcPr>
          <w:p>
            <w:pPr>
              <w:jc w:val="center"/>
              <w:rPr>
                <w:rFonts w:ascii="仿宋" w:hAnsi="仿宋" w:eastAsia="仿宋" w:cs="仿宋"/>
                <w:b/>
                <w:bCs/>
                <w:sz w:val="24"/>
              </w:rPr>
            </w:pPr>
            <w:r>
              <w:rPr>
                <w:rFonts w:hint="eastAsia" w:ascii="仿宋" w:hAnsi="仿宋" w:eastAsia="仿宋" w:cs="仿宋"/>
                <w:b/>
                <w:bCs/>
                <w:sz w:val="24"/>
              </w:rPr>
              <w:t>评分内容</w:t>
            </w:r>
          </w:p>
        </w:tc>
        <w:tc>
          <w:tcPr>
            <w:tcW w:w="6675" w:type="dxa"/>
            <w:noWrap/>
          </w:tcPr>
          <w:p>
            <w:pPr>
              <w:jc w:val="center"/>
              <w:rPr>
                <w:rFonts w:ascii="仿宋" w:hAnsi="仿宋" w:eastAsia="仿宋" w:cs="仿宋"/>
                <w:b/>
                <w:bCs/>
                <w:sz w:val="24"/>
              </w:rPr>
            </w:pPr>
            <w:r>
              <w:rPr>
                <w:rFonts w:hint="eastAsia" w:ascii="仿宋" w:hAnsi="仿宋" w:eastAsia="仿宋" w:cs="仿宋"/>
                <w:b/>
                <w:bCs/>
                <w:sz w:val="24"/>
              </w:rPr>
              <w:t>评 分 说 明</w:t>
            </w:r>
          </w:p>
        </w:tc>
        <w:tc>
          <w:tcPr>
            <w:tcW w:w="686" w:type="dxa"/>
            <w:noWrap/>
            <w:vAlign w:val="center"/>
          </w:tcPr>
          <w:p>
            <w:pPr>
              <w:jc w:val="center"/>
              <w:rPr>
                <w:rFonts w:ascii="仿宋" w:hAnsi="仿宋" w:eastAsia="仿宋" w:cs="仿宋"/>
                <w:b/>
                <w:bCs/>
                <w:sz w:val="24"/>
              </w:rPr>
            </w:pPr>
            <w:r>
              <w:rPr>
                <w:rFonts w:hint="eastAsia" w:ascii="仿宋" w:hAnsi="仿宋" w:eastAsia="仿宋" w:cs="仿宋"/>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noWrap/>
            <w:vAlign w:val="center"/>
          </w:tcPr>
          <w:p>
            <w:pPr>
              <w:spacing w:line="560" w:lineRule="exact"/>
              <w:jc w:val="center"/>
              <w:rPr>
                <w:rFonts w:ascii="仿宋" w:hAnsi="仿宋" w:eastAsia="仿宋" w:cs="仿宋"/>
                <w:sz w:val="24"/>
              </w:rPr>
            </w:pPr>
            <w:r>
              <w:rPr>
                <w:rFonts w:hint="eastAsia" w:ascii="仿宋" w:hAnsi="仿宋" w:eastAsia="仿宋" w:cs="仿宋"/>
                <w:sz w:val="24"/>
              </w:rPr>
              <w:t>1</w:t>
            </w:r>
          </w:p>
        </w:tc>
        <w:tc>
          <w:tcPr>
            <w:tcW w:w="1380" w:type="dxa"/>
            <w:noWrap/>
            <w:vAlign w:val="center"/>
          </w:tcPr>
          <w:p>
            <w:pPr>
              <w:jc w:val="center"/>
              <w:rPr>
                <w:rFonts w:ascii="仿宋" w:hAnsi="仿宋" w:eastAsia="仿宋" w:cs="仿宋"/>
                <w:sz w:val="24"/>
              </w:rPr>
            </w:pPr>
            <w:r>
              <w:rPr>
                <w:rFonts w:hint="eastAsia" w:ascii="仿宋" w:hAnsi="仿宋" w:eastAsia="仿宋" w:cs="仿宋"/>
                <w:sz w:val="24"/>
              </w:rPr>
              <w:t>项目人员配备情况</w:t>
            </w:r>
          </w:p>
        </w:tc>
        <w:tc>
          <w:tcPr>
            <w:tcW w:w="6675" w:type="dxa"/>
            <w:noWrap/>
            <w:vAlign w:val="center"/>
          </w:tcPr>
          <w:p>
            <w:pPr>
              <w:rPr>
                <w:rFonts w:ascii="仿宋" w:hAnsi="仿宋" w:eastAsia="仿宋" w:cs="仿宋"/>
                <w:sz w:val="24"/>
              </w:rPr>
            </w:pPr>
            <w:r>
              <w:rPr>
                <w:rFonts w:hint="eastAsia" w:ascii="仿宋" w:hAnsi="仿宋" w:eastAsia="仿宋" w:cs="仿宋"/>
                <w:bCs/>
                <w:sz w:val="24"/>
                <w:lang w:val="zh-CN"/>
              </w:rPr>
              <w:t>根据本项目实施人员的技术能力，经验，数量是否充足，配置是否合理等情况打分，0-5分。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780" w:type="dxa"/>
            <w:noWrap/>
            <w:vAlign w:val="center"/>
          </w:tcPr>
          <w:p>
            <w:pPr>
              <w:spacing w:line="560" w:lineRule="exact"/>
              <w:jc w:val="center"/>
              <w:rPr>
                <w:rFonts w:ascii="仿宋" w:hAnsi="仿宋" w:eastAsia="仿宋" w:cs="仿宋"/>
                <w:sz w:val="24"/>
              </w:rPr>
            </w:pPr>
            <w:r>
              <w:rPr>
                <w:rFonts w:hint="eastAsia" w:ascii="仿宋" w:hAnsi="仿宋" w:eastAsia="仿宋" w:cs="仿宋"/>
                <w:sz w:val="24"/>
              </w:rPr>
              <w:t>2</w:t>
            </w:r>
          </w:p>
        </w:tc>
        <w:tc>
          <w:tcPr>
            <w:tcW w:w="1380" w:type="dxa"/>
            <w:noWrap/>
            <w:vAlign w:val="center"/>
          </w:tcPr>
          <w:p>
            <w:pPr>
              <w:jc w:val="center"/>
              <w:rPr>
                <w:rFonts w:ascii="仿宋" w:hAnsi="仿宋" w:eastAsia="仿宋" w:cs="仿宋"/>
                <w:sz w:val="24"/>
              </w:rPr>
            </w:pPr>
            <w:r>
              <w:rPr>
                <w:rFonts w:hint="eastAsia" w:ascii="仿宋" w:hAnsi="仿宋" w:eastAsia="仿宋" w:cs="仿宋"/>
                <w:sz w:val="24"/>
              </w:rPr>
              <w:t>项目了解</w:t>
            </w:r>
          </w:p>
        </w:tc>
        <w:tc>
          <w:tcPr>
            <w:tcW w:w="6675" w:type="dxa"/>
            <w:noWrap/>
            <w:vAlign w:val="center"/>
          </w:tcPr>
          <w:p>
            <w:pPr>
              <w:rPr>
                <w:rFonts w:ascii="仿宋" w:hAnsi="仿宋" w:eastAsia="仿宋" w:cs="仿宋"/>
                <w:sz w:val="24"/>
              </w:rPr>
            </w:pPr>
            <w:r>
              <w:rPr>
                <w:rFonts w:hint="eastAsia" w:ascii="仿宋" w:hAnsi="仿宋" w:eastAsia="仿宋" w:cs="仿宋"/>
                <w:sz w:val="24"/>
              </w:rPr>
              <w:t>根据投标人对本项目及党建文化设计的理解，对绍兴市人民医院党建文化进行提炼融合，通过文化，场景、技术等系统化运用有效诠释医院党建文化。</w:t>
            </w:r>
          </w:p>
          <w:p>
            <w:pPr>
              <w:rPr>
                <w:rFonts w:ascii="仿宋" w:hAnsi="仿宋" w:eastAsia="仿宋" w:cs="仿宋"/>
                <w:bCs/>
                <w:sz w:val="24"/>
              </w:rPr>
            </w:pPr>
            <w:r>
              <w:rPr>
                <w:rFonts w:hint="eastAsia" w:ascii="仿宋" w:hAnsi="仿宋" w:eastAsia="仿宋" w:cs="仿宋"/>
                <w:bCs/>
                <w:sz w:val="24"/>
              </w:rPr>
              <w:t>对本项目及党建文化设计的理解全面，能有效诠释医院党建文化得5分；</w:t>
            </w:r>
          </w:p>
          <w:p>
            <w:pPr>
              <w:pStyle w:val="151"/>
              <w:ind w:left="0"/>
              <w:rPr>
                <w:rFonts w:ascii="仿宋" w:hAnsi="仿宋" w:eastAsia="仿宋" w:cs="仿宋"/>
                <w:bCs/>
                <w:sz w:val="24"/>
                <w:szCs w:val="24"/>
              </w:rPr>
            </w:pPr>
            <w:r>
              <w:rPr>
                <w:rFonts w:hint="eastAsia" w:ascii="仿宋" w:hAnsi="仿宋" w:eastAsia="仿宋" w:cs="仿宋"/>
                <w:bCs/>
                <w:sz w:val="24"/>
                <w:szCs w:val="24"/>
              </w:rPr>
              <w:t>对本项目及党建文化设计的理解较全面，能大概诠释医院党建文化得3分；</w:t>
            </w:r>
          </w:p>
          <w:p>
            <w:pPr>
              <w:pStyle w:val="151"/>
              <w:ind w:left="0"/>
              <w:rPr>
                <w:rFonts w:ascii="仿宋" w:hAnsi="仿宋" w:eastAsia="仿宋" w:cs="仿宋"/>
                <w:bCs/>
                <w:sz w:val="24"/>
                <w:szCs w:val="24"/>
              </w:rPr>
            </w:pPr>
            <w:r>
              <w:rPr>
                <w:rFonts w:hint="eastAsia" w:ascii="仿宋" w:hAnsi="仿宋" w:eastAsia="仿宋" w:cs="仿宋"/>
                <w:bCs/>
                <w:sz w:val="24"/>
                <w:szCs w:val="24"/>
              </w:rPr>
              <w:t>对本项目及党建文化设计的理解不完全全面，不能诠释医院党建文化（1分）。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vMerge w:val="restart"/>
            <w:noWrap/>
            <w:vAlign w:val="center"/>
          </w:tcPr>
          <w:p>
            <w:pPr>
              <w:spacing w:line="560" w:lineRule="exact"/>
              <w:jc w:val="center"/>
              <w:rPr>
                <w:rFonts w:ascii="仿宋" w:hAnsi="仿宋" w:eastAsia="仿宋" w:cs="仿宋"/>
                <w:sz w:val="24"/>
              </w:rPr>
            </w:pPr>
            <w:r>
              <w:rPr>
                <w:rFonts w:hint="eastAsia" w:ascii="仿宋" w:hAnsi="仿宋" w:eastAsia="仿宋" w:cs="仿宋"/>
                <w:sz w:val="24"/>
              </w:rPr>
              <w:t>3</w:t>
            </w:r>
          </w:p>
        </w:tc>
        <w:tc>
          <w:tcPr>
            <w:tcW w:w="1380" w:type="dxa"/>
            <w:vMerge w:val="restart"/>
            <w:noWrap/>
            <w:vAlign w:val="center"/>
          </w:tcPr>
          <w:p>
            <w:pPr>
              <w:jc w:val="center"/>
              <w:rPr>
                <w:rFonts w:ascii="仿宋" w:hAnsi="仿宋" w:eastAsia="仿宋" w:cs="仿宋"/>
                <w:sz w:val="24"/>
              </w:rPr>
            </w:pPr>
            <w:r>
              <w:rPr>
                <w:rFonts w:hint="eastAsia" w:ascii="仿宋" w:hAnsi="仿宋" w:eastAsia="仿宋" w:cs="仿宋"/>
                <w:sz w:val="24"/>
              </w:rPr>
              <w:t>设计及制作服务能力</w:t>
            </w:r>
          </w:p>
        </w:tc>
        <w:tc>
          <w:tcPr>
            <w:tcW w:w="6675" w:type="dxa"/>
            <w:noWrap/>
            <w:vAlign w:val="center"/>
          </w:tcPr>
          <w:p>
            <w:pPr>
              <w:tabs>
                <w:tab w:val="left" w:pos="4320"/>
              </w:tabs>
              <w:rPr>
                <w:rFonts w:ascii="仿宋" w:hAnsi="仿宋" w:eastAsia="仿宋" w:cs="仿宋"/>
                <w:sz w:val="24"/>
                <w:lang w:val="zh-CN"/>
              </w:rPr>
            </w:pPr>
            <w:r>
              <w:rPr>
                <w:rFonts w:hint="eastAsia" w:ascii="仿宋" w:hAnsi="仿宋" w:eastAsia="仿宋" w:cs="仿宋"/>
                <w:sz w:val="24"/>
                <w:lang w:val="zh-CN"/>
              </w:rPr>
              <w:t>根据投标人提供的设计方案（针对项目清单6提供文字内容设计）打分：</w:t>
            </w:r>
          </w:p>
          <w:p>
            <w:pPr>
              <w:tabs>
                <w:tab w:val="left" w:pos="4320"/>
              </w:tabs>
              <w:rPr>
                <w:rFonts w:ascii="仿宋" w:hAnsi="仿宋" w:eastAsia="仿宋" w:cs="仿宋"/>
                <w:sz w:val="24"/>
              </w:rPr>
            </w:pPr>
            <w:r>
              <w:rPr>
                <w:rFonts w:hint="eastAsia" w:ascii="仿宋" w:hAnsi="仿宋" w:eastAsia="仿宋" w:cs="仿宋"/>
                <w:sz w:val="24"/>
              </w:rPr>
              <w:t>（1）在造型、排版、配色的美观度，是否符合医院特色、医院文化及院区景观环境特色，0-5分。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vMerge w:val="continue"/>
            <w:noWrap/>
            <w:vAlign w:val="center"/>
          </w:tcPr>
          <w:p>
            <w:pPr>
              <w:spacing w:line="560" w:lineRule="exact"/>
              <w:jc w:val="center"/>
              <w:rPr>
                <w:rFonts w:ascii="仿宋" w:hAnsi="仿宋" w:eastAsia="仿宋" w:cs="仿宋"/>
                <w:sz w:val="24"/>
              </w:rPr>
            </w:pPr>
          </w:p>
        </w:tc>
        <w:tc>
          <w:tcPr>
            <w:tcW w:w="1380" w:type="dxa"/>
            <w:vMerge w:val="continue"/>
            <w:noWrap/>
            <w:vAlign w:val="center"/>
          </w:tcPr>
          <w:p>
            <w:pPr>
              <w:jc w:val="center"/>
              <w:rPr>
                <w:rFonts w:ascii="仿宋" w:hAnsi="仿宋" w:eastAsia="仿宋" w:cs="仿宋"/>
                <w:sz w:val="24"/>
              </w:rPr>
            </w:pPr>
          </w:p>
        </w:tc>
        <w:tc>
          <w:tcPr>
            <w:tcW w:w="6675" w:type="dxa"/>
            <w:noWrap/>
            <w:vAlign w:val="center"/>
          </w:tcPr>
          <w:p>
            <w:pPr>
              <w:tabs>
                <w:tab w:val="left" w:pos="4320"/>
              </w:tabs>
              <w:rPr>
                <w:rFonts w:ascii="仿宋" w:hAnsi="仿宋" w:eastAsia="仿宋" w:cs="仿宋"/>
                <w:sz w:val="24"/>
              </w:rPr>
            </w:pPr>
            <w:r>
              <w:rPr>
                <w:rFonts w:hint="eastAsia" w:ascii="仿宋" w:hAnsi="仿宋" w:eastAsia="仿宋" w:cs="仿宋"/>
                <w:sz w:val="24"/>
              </w:rPr>
              <w:t>（2）整体设计风格是否完善、连贯、规范，是否能根据不同区域的环境特点和使用需求进行针对性设计等情况，0-5。</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vMerge w:val="continue"/>
            <w:noWrap/>
            <w:vAlign w:val="center"/>
          </w:tcPr>
          <w:p>
            <w:pPr>
              <w:spacing w:line="560" w:lineRule="exact"/>
              <w:jc w:val="center"/>
              <w:rPr>
                <w:rFonts w:ascii="仿宋" w:hAnsi="仿宋" w:eastAsia="仿宋" w:cs="仿宋"/>
                <w:sz w:val="24"/>
              </w:rPr>
            </w:pPr>
          </w:p>
        </w:tc>
        <w:tc>
          <w:tcPr>
            <w:tcW w:w="1380" w:type="dxa"/>
            <w:vMerge w:val="continue"/>
            <w:noWrap/>
            <w:vAlign w:val="center"/>
          </w:tcPr>
          <w:p>
            <w:pPr>
              <w:jc w:val="center"/>
              <w:rPr>
                <w:rFonts w:ascii="仿宋" w:hAnsi="仿宋" w:eastAsia="仿宋" w:cs="仿宋"/>
                <w:sz w:val="24"/>
              </w:rPr>
            </w:pPr>
          </w:p>
        </w:tc>
        <w:tc>
          <w:tcPr>
            <w:tcW w:w="6675" w:type="dxa"/>
            <w:noWrap/>
            <w:vAlign w:val="center"/>
          </w:tcPr>
          <w:p>
            <w:pPr>
              <w:tabs>
                <w:tab w:val="left" w:pos="4320"/>
              </w:tabs>
              <w:rPr>
                <w:rFonts w:ascii="仿宋" w:hAnsi="仿宋" w:eastAsia="仿宋" w:cs="仿宋"/>
                <w:sz w:val="24"/>
              </w:rPr>
            </w:pPr>
            <w:r>
              <w:rPr>
                <w:rFonts w:hint="eastAsia" w:ascii="仿宋" w:hAnsi="仿宋" w:eastAsia="仿宋" w:cs="仿宋"/>
                <w:sz w:val="24"/>
              </w:rPr>
              <w:t>（3）提供设计图纸的详尽性、规范性（颜色、造型及内置结构、大小尺寸等进行综合考虑，并做规范性要求）及对招标要求的响应程度、工艺水平、外观美誉度等进行打分，0-5分。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vMerge w:val="continue"/>
            <w:noWrap/>
            <w:vAlign w:val="center"/>
          </w:tcPr>
          <w:p>
            <w:pPr>
              <w:spacing w:line="560" w:lineRule="exact"/>
              <w:jc w:val="center"/>
              <w:rPr>
                <w:rFonts w:ascii="仿宋" w:hAnsi="仿宋" w:eastAsia="仿宋" w:cs="仿宋"/>
                <w:sz w:val="24"/>
              </w:rPr>
            </w:pPr>
          </w:p>
        </w:tc>
        <w:tc>
          <w:tcPr>
            <w:tcW w:w="1380" w:type="dxa"/>
            <w:vMerge w:val="continue"/>
            <w:noWrap/>
            <w:vAlign w:val="center"/>
          </w:tcPr>
          <w:p>
            <w:pPr>
              <w:jc w:val="center"/>
              <w:rPr>
                <w:rFonts w:ascii="仿宋" w:hAnsi="仿宋" w:eastAsia="仿宋" w:cs="仿宋"/>
                <w:sz w:val="24"/>
              </w:rPr>
            </w:pPr>
          </w:p>
        </w:tc>
        <w:tc>
          <w:tcPr>
            <w:tcW w:w="6675" w:type="dxa"/>
            <w:noWrap/>
            <w:vAlign w:val="center"/>
          </w:tcPr>
          <w:p>
            <w:pPr>
              <w:ind w:left="71" w:leftChars="34" w:right="71" w:rightChars="34" w:firstLine="1"/>
              <w:rPr>
                <w:rFonts w:ascii="仿宋" w:hAnsi="仿宋" w:eastAsia="仿宋" w:cs="仿宋"/>
                <w:sz w:val="24"/>
              </w:rPr>
            </w:pPr>
            <w:r>
              <w:rPr>
                <w:rFonts w:hint="eastAsia" w:ascii="仿宋" w:hAnsi="仿宋" w:eastAsia="仿宋" w:cs="仿宋"/>
                <w:sz w:val="24"/>
              </w:rPr>
              <w:t>放置合理性：根据投标人针对本项目特点，提供详尽的、可行的放置合理性进行综合评议（从艺术装置品放置位置、基础布置等方面考虑），0-5分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vMerge w:val="restart"/>
            <w:noWrap/>
            <w:vAlign w:val="center"/>
          </w:tcPr>
          <w:p>
            <w:pPr>
              <w:spacing w:line="560" w:lineRule="exact"/>
              <w:jc w:val="center"/>
              <w:rPr>
                <w:rFonts w:ascii="仿宋" w:hAnsi="仿宋" w:eastAsia="仿宋" w:cs="仿宋"/>
                <w:sz w:val="24"/>
              </w:rPr>
            </w:pPr>
            <w:r>
              <w:rPr>
                <w:rFonts w:hint="eastAsia" w:ascii="仿宋" w:hAnsi="仿宋" w:eastAsia="仿宋" w:cs="仿宋"/>
                <w:sz w:val="24"/>
              </w:rPr>
              <w:t>4</w:t>
            </w:r>
          </w:p>
        </w:tc>
        <w:tc>
          <w:tcPr>
            <w:tcW w:w="1380" w:type="dxa"/>
            <w:vMerge w:val="restart"/>
            <w:noWrap/>
            <w:vAlign w:val="center"/>
          </w:tcPr>
          <w:p>
            <w:pPr>
              <w:jc w:val="center"/>
              <w:rPr>
                <w:rFonts w:ascii="仿宋" w:hAnsi="仿宋" w:eastAsia="仿宋" w:cs="仿宋"/>
                <w:sz w:val="24"/>
              </w:rPr>
            </w:pPr>
            <w:r>
              <w:rPr>
                <w:rFonts w:hint="eastAsia" w:ascii="仿宋" w:hAnsi="仿宋" w:eastAsia="仿宋" w:cs="仿宋"/>
                <w:sz w:val="24"/>
              </w:rPr>
              <w:t>产品技术性能</w:t>
            </w:r>
          </w:p>
        </w:tc>
        <w:tc>
          <w:tcPr>
            <w:tcW w:w="6675" w:type="dxa"/>
            <w:noWrap/>
            <w:vAlign w:val="center"/>
          </w:tcPr>
          <w:p>
            <w:pPr>
              <w:ind w:left="71" w:leftChars="34" w:right="71" w:rightChars="34" w:firstLine="1"/>
              <w:rPr>
                <w:rFonts w:ascii="仿宋" w:hAnsi="仿宋" w:eastAsia="仿宋" w:cs="仿宋"/>
                <w:sz w:val="24"/>
              </w:rPr>
            </w:pPr>
            <w:r>
              <w:rPr>
                <w:rFonts w:hint="eastAsia" w:ascii="仿宋" w:hAnsi="仿宋" w:eastAsia="仿宋" w:cs="仿宋"/>
                <w:sz w:val="24"/>
              </w:rPr>
              <w:t>对本项目所使用的主要材料（从所选材料的品牌、型号、厚度、环保、稳定性等方面考虑）进行综合评议，0-3分。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vMerge w:val="continue"/>
            <w:noWrap/>
            <w:vAlign w:val="center"/>
          </w:tcPr>
          <w:p>
            <w:pPr>
              <w:spacing w:line="560" w:lineRule="exact"/>
              <w:jc w:val="center"/>
              <w:rPr>
                <w:rFonts w:ascii="仿宋" w:hAnsi="仿宋" w:eastAsia="仿宋" w:cs="仿宋"/>
                <w:sz w:val="24"/>
              </w:rPr>
            </w:pPr>
          </w:p>
        </w:tc>
        <w:tc>
          <w:tcPr>
            <w:tcW w:w="1380" w:type="dxa"/>
            <w:vMerge w:val="continue"/>
            <w:noWrap/>
            <w:vAlign w:val="center"/>
          </w:tcPr>
          <w:p>
            <w:pPr>
              <w:jc w:val="center"/>
              <w:rPr>
                <w:rFonts w:ascii="仿宋" w:hAnsi="仿宋" w:eastAsia="仿宋" w:cs="仿宋"/>
                <w:sz w:val="24"/>
              </w:rPr>
            </w:pPr>
          </w:p>
        </w:tc>
        <w:tc>
          <w:tcPr>
            <w:tcW w:w="6675" w:type="dxa"/>
            <w:noWrap/>
            <w:vAlign w:val="center"/>
          </w:tcPr>
          <w:p>
            <w:pPr>
              <w:ind w:left="71" w:leftChars="34" w:right="71" w:rightChars="34" w:firstLine="1"/>
              <w:rPr>
                <w:rFonts w:ascii="仿宋" w:hAnsi="仿宋" w:eastAsia="仿宋" w:cs="仿宋"/>
                <w:sz w:val="24"/>
              </w:rPr>
            </w:pPr>
            <w:r>
              <w:rPr>
                <w:rFonts w:hint="eastAsia" w:ascii="仿宋" w:hAnsi="仿宋" w:eastAsia="仿宋" w:cs="仿宋"/>
                <w:sz w:val="24"/>
              </w:rPr>
              <w:t>制作加工及工艺方案：制作加工工艺的优劣性（如结构的合理性、焊接处理工艺、面层处理工艺、印刷工艺、环保工艺等），0-3分。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vMerge w:val="restart"/>
            <w:noWrap/>
            <w:vAlign w:val="center"/>
          </w:tcPr>
          <w:p>
            <w:pPr>
              <w:spacing w:line="560" w:lineRule="exact"/>
              <w:jc w:val="center"/>
              <w:rPr>
                <w:rFonts w:ascii="仿宋" w:hAnsi="仿宋" w:eastAsia="仿宋" w:cs="仿宋"/>
                <w:sz w:val="24"/>
              </w:rPr>
            </w:pPr>
            <w:r>
              <w:rPr>
                <w:rFonts w:hint="eastAsia" w:ascii="仿宋" w:hAnsi="仿宋" w:eastAsia="仿宋" w:cs="仿宋"/>
                <w:sz w:val="24"/>
              </w:rPr>
              <w:t>5</w:t>
            </w:r>
          </w:p>
        </w:tc>
        <w:tc>
          <w:tcPr>
            <w:tcW w:w="1380" w:type="dxa"/>
            <w:vMerge w:val="restart"/>
            <w:noWrap/>
            <w:vAlign w:val="center"/>
          </w:tcPr>
          <w:p>
            <w:pPr>
              <w:jc w:val="center"/>
              <w:rPr>
                <w:rFonts w:ascii="仿宋" w:hAnsi="仿宋" w:eastAsia="仿宋" w:cs="仿宋"/>
                <w:sz w:val="24"/>
              </w:rPr>
            </w:pPr>
            <w:r>
              <w:rPr>
                <w:rFonts w:hint="eastAsia" w:ascii="仿宋" w:hAnsi="仿宋" w:eastAsia="仿宋" w:cs="仿宋"/>
                <w:sz w:val="24"/>
              </w:rPr>
              <w:t>项目实施方案</w:t>
            </w:r>
          </w:p>
        </w:tc>
        <w:tc>
          <w:tcPr>
            <w:tcW w:w="6675" w:type="dxa"/>
            <w:noWrap/>
            <w:vAlign w:val="center"/>
          </w:tcPr>
          <w:p>
            <w:pPr>
              <w:ind w:left="71" w:leftChars="34" w:right="71" w:rightChars="34" w:firstLine="1"/>
              <w:rPr>
                <w:rFonts w:ascii="仿宋" w:hAnsi="仿宋" w:eastAsia="仿宋" w:cs="仿宋"/>
                <w:sz w:val="24"/>
              </w:rPr>
            </w:pPr>
            <w:r>
              <w:rPr>
                <w:rFonts w:hint="eastAsia" w:ascii="仿宋" w:hAnsi="仿宋" w:eastAsia="仿宋" w:cs="仿宋"/>
                <w:sz w:val="24"/>
              </w:rPr>
              <w:t>根据投标人项目组织实施方案进行打分，内容包括工作程序和步骤、配送服务方案，以及组织机构、实施场所、管理和协调方法、关键步骤和要点等，</w:t>
            </w:r>
            <w:r>
              <w:rPr>
                <w:rFonts w:hint="eastAsia" w:ascii="仿宋" w:hAnsi="仿宋" w:eastAsia="仿宋" w:cs="仿宋"/>
                <w:sz w:val="24"/>
                <w:lang w:val="zh-CN"/>
              </w:rPr>
              <w:t>0-5分。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vMerge w:val="continue"/>
            <w:noWrap/>
            <w:vAlign w:val="center"/>
          </w:tcPr>
          <w:p>
            <w:pPr>
              <w:spacing w:line="560" w:lineRule="exact"/>
              <w:jc w:val="center"/>
              <w:rPr>
                <w:rFonts w:ascii="仿宋" w:hAnsi="仿宋" w:eastAsia="仿宋" w:cs="仿宋"/>
                <w:sz w:val="24"/>
              </w:rPr>
            </w:pPr>
          </w:p>
        </w:tc>
        <w:tc>
          <w:tcPr>
            <w:tcW w:w="1380" w:type="dxa"/>
            <w:vMerge w:val="continue"/>
            <w:noWrap/>
            <w:vAlign w:val="center"/>
          </w:tcPr>
          <w:p>
            <w:pPr>
              <w:jc w:val="center"/>
              <w:rPr>
                <w:rFonts w:ascii="仿宋" w:hAnsi="仿宋" w:eastAsia="仿宋" w:cs="仿宋"/>
                <w:sz w:val="24"/>
              </w:rPr>
            </w:pPr>
          </w:p>
        </w:tc>
        <w:tc>
          <w:tcPr>
            <w:tcW w:w="6675" w:type="dxa"/>
            <w:noWrap/>
            <w:vAlign w:val="center"/>
          </w:tcPr>
          <w:p>
            <w:pPr>
              <w:ind w:left="71" w:leftChars="34" w:right="71" w:rightChars="34" w:firstLine="1"/>
              <w:rPr>
                <w:rFonts w:ascii="仿宋" w:hAnsi="仿宋" w:eastAsia="仿宋" w:cs="仿宋"/>
                <w:sz w:val="24"/>
              </w:rPr>
            </w:pPr>
            <w:r>
              <w:rPr>
                <w:rFonts w:hint="eastAsia" w:ascii="仿宋" w:hAnsi="仿宋" w:eastAsia="仿宋" w:cs="仿宋"/>
                <w:sz w:val="24"/>
              </w:rPr>
              <w:t>针对项目实施中可能遇到的风险说明及风险规避处置措施进行打分，</w:t>
            </w:r>
            <w:r>
              <w:rPr>
                <w:rFonts w:hint="eastAsia" w:ascii="仿宋" w:hAnsi="仿宋" w:eastAsia="仿宋" w:cs="仿宋"/>
                <w:sz w:val="24"/>
                <w:lang w:val="zh-CN"/>
              </w:rPr>
              <w:t>0-4分。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noWrap/>
            <w:vAlign w:val="center"/>
          </w:tcPr>
          <w:p>
            <w:pPr>
              <w:spacing w:line="560" w:lineRule="exact"/>
              <w:jc w:val="center"/>
              <w:rPr>
                <w:rFonts w:ascii="仿宋" w:hAnsi="仿宋" w:eastAsia="仿宋" w:cs="仿宋"/>
                <w:sz w:val="24"/>
              </w:rPr>
            </w:pPr>
            <w:r>
              <w:rPr>
                <w:rFonts w:hint="eastAsia" w:ascii="仿宋" w:hAnsi="仿宋" w:eastAsia="仿宋" w:cs="仿宋"/>
                <w:sz w:val="24"/>
              </w:rPr>
              <w:t>6</w:t>
            </w:r>
          </w:p>
        </w:tc>
        <w:tc>
          <w:tcPr>
            <w:tcW w:w="1380" w:type="dxa"/>
            <w:noWrap/>
            <w:vAlign w:val="center"/>
          </w:tcPr>
          <w:p>
            <w:pPr>
              <w:jc w:val="center"/>
              <w:rPr>
                <w:rFonts w:ascii="仿宋" w:hAnsi="仿宋" w:eastAsia="仿宋" w:cs="仿宋"/>
                <w:sz w:val="24"/>
              </w:rPr>
            </w:pPr>
            <w:r>
              <w:rPr>
                <w:rFonts w:hint="eastAsia" w:ascii="仿宋" w:hAnsi="仿宋" w:eastAsia="仿宋" w:cs="仿宋"/>
                <w:sz w:val="24"/>
              </w:rPr>
              <w:t>设计能力</w:t>
            </w:r>
          </w:p>
        </w:tc>
        <w:tc>
          <w:tcPr>
            <w:tcW w:w="6675" w:type="dxa"/>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提供自2020年1月1日以来，由投标人设计并安装使用后的3个作品进行综合评分：</w:t>
            </w:r>
          </w:p>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作品设计有创意、主题多样鲜明、赏心悦目、构思巧妙的，得5分；作品设计有创意、能突出主题、赏心悦目的，得3分；作品设计没有创意，但能突出主题的，得2分；作品设计没有创意，不能突出主题的，得1分。</w:t>
            </w:r>
          </w:p>
          <w:p>
            <w:pPr>
              <w:widowControl/>
              <w:jc w:val="left"/>
              <w:rPr>
                <w:rFonts w:ascii="仿宋" w:hAnsi="仿宋" w:eastAsia="仿宋" w:cs="仿宋"/>
                <w:kern w:val="0"/>
                <w:sz w:val="24"/>
              </w:rPr>
            </w:pPr>
            <w:r>
              <w:rPr>
                <w:rFonts w:hint="eastAsia" w:ascii="仿宋" w:hAnsi="仿宋" w:eastAsia="仿宋" w:cs="仿宋"/>
                <w:color w:val="000000"/>
                <w:kern w:val="0"/>
                <w:sz w:val="24"/>
              </w:rPr>
              <w:t>(投标文件中须提供实际成果照片及设计图纸扫描件，以及与使用方的结算证明)，不提供不得分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noWrap/>
            <w:vAlign w:val="center"/>
          </w:tcPr>
          <w:p>
            <w:pPr>
              <w:spacing w:line="560" w:lineRule="exact"/>
              <w:jc w:val="center"/>
              <w:rPr>
                <w:rFonts w:ascii="仿宋" w:hAnsi="仿宋" w:eastAsia="仿宋" w:cs="仿宋"/>
                <w:sz w:val="24"/>
              </w:rPr>
            </w:pPr>
            <w:r>
              <w:rPr>
                <w:rFonts w:hint="eastAsia" w:ascii="仿宋" w:hAnsi="仿宋" w:eastAsia="仿宋" w:cs="仿宋"/>
                <w:sz w:val="24"/>
              </w:rPr>
              <w:t>7</w:t>
            </w:r>
          </w:p>
        </w:tc>
        <w:tc>
          <w:tcPr>
            <w:tcW w:w="1380" w:type="dxa"/>
            <w:noWrap/>
            <w:vAlign w:val="center"/>
          </w:tcPr>
          <w:p>
            <w:pPr>
              <w:jc w:val="center"/>
              <w:rPr>
                <w:rFonts w:ascii="仿宋" w:hAnsi="仿宋" w:eastAsia="仿宋" w:cs="仿宋"/>
                <w:sz w:val="24"/>
              </w:rPr>
            </w:pPr>
            <w:r>
              <w:rPr>
                <w:rFonts w:hint="eastAsia" w:ascii="仿宋" w:hAnsi="仿宋" w:eastAsia="仿宋" w:cs="仿宋"/>
                <w:sz w:val="24"/>
              </w:rPr>
              <w:t>服务网点设置</w:t>
            </w:r>
          </w:p>
        </w:tc>
        <w:tc>
          <w:tcPr>
            <w:tcW w:w="6675" w:type="dxa"/>
            <w:noWrap/>
            <w:vAlign w:val="center"/>
          </w:tcPr>
          <w:p>
            <w:pPr>
              <w:widowControl/>
              <w:jc w:val="left"/>
              <w:rPr>
                <w:rFonts w:ascii="仿宋" w:hAnsi="仿宋" w:eastAsia="仿宋" w:cs="仿宋"/>
                <w:kern w:val="0"/>
                <w:sz w:val="24"/>
              </w:rPr>
            </w:pPr>
            <w:r>
              <w:rPr>
                <w:rFonts w:hint="eastAsia" w:ascii="仿宋" w:hAnsi="仿宋" w:eastAsia="仿宋" w:cs="仿宋"/>
                <w:kern w:val="0"/>
                <w:sz w:val="24"/>
              </w:rPr>
              <w:t>投标人在采购人服务地设有服务网点或承诺中标后30日内在采购人服务地设立服务网点的得5分；无服务网点且无相应承诺的不得分。</w:t>
            </w:r>
          </w:p>
          <w:p>
            <w:pPr>
              <w:ind w:left="71" w:leftChars="34" w:right="71" w:rightChars="34" w:firstLine="1"/>
              <w:rPr>
                <w:rFonts w:ascii="仿宋" w:hAnsi="仿宋" w:eastAsia="仿宋" w:cs="仿宋"/>
                <w:sz w:val="24"/>
              </w:rPr>
            </w:pPr>
            <w:r>
              <w:rPr>
                <w:rFonts w:hint="eastAsia" w:ascii="仿宋" w:hAnsi="仿宋" w:eastAsia="仿宋" w:cs="仿宋"/>
                <w:kern w:val="0"/>
                <w:sz w:val="24"/>
              </w:rPr>
              <w:t>（提供服务网点的租房合同或房产证复印件加盖投标人公章或承诺函原件加盖投标人公章编入投标文件中，不提供的不得分；若未按承诺时间设立服务网点，取消中标资格）</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noWrap/>
            <w:vAlign w:val="center"/>
          </w:tcPr>
          <w:p>
            <w:pPr>
              <w:spacing w:line="560" w:lineRule="exact"/>
              <w:jc w:val="center"/>
              <w:rPr>
                <w:rFonts w:ascii="仿宋" w:hAnsi="仿宋" w:eastAsia="仿宋" w:cs="仿宋"/>
                <w:sz w:val="24"/>
              </w:rPr>
            </w:pPr>
            <w:r>
              <w:rPr>
                <w:rFonts w:hint="eastAsia" w:ascii="仿宋" w:hAnsi="仿宋" w:eastAsia="仿宋" w:cs="仿宋"/>
                <w:sz w:val="24"/>
              </w:rPr>
              <w:t>8</w:t>
            </w:r>
          </w:p>
        </w:tc>
        <w:tc>
          <w:tcPr>
            <w:tcW w:w="1380" w:type="dxa"/>
            <w:noWrap/>
            <w:vAlign w:val="center"/>
          </w:tcPr>
          <w:p>
            <w:pPr>
              <w:jc w:val="center"/>
              <w:rPr>
                <w:rFonts w:ascii="仿宋" w:hAnsi="仿宋" w:eastAsia="仿宋" w:cs="仿宋"/>
                <w:sz w:val="24"/>
              </w:rPr>
            </w:pPr>
            <w:r>
              <w:rPr>
                <w:rFonts w:hint="eastAsia" w:ascii="仿宋" w:hAnsi="仿宋" w:eastAsia="仿宋" w:cs="仿宋"/>
                <w:sz w:val="24"/>
              </w:rPr>
              <w:t>投标人业绩</w:t>
            </w:r>
          </w:p>
        </w:tc>
        <w:tc>
          <w:tcPr>
            <w:tcW w:w="6675" w:type="dxa"/>
            <w:noWrap/>
            <w:vAlign w:val="center"/>
          </w:tcPr>
          <w:p>
            <w:pPr>
              <w:ind w:left="71" w:leftChars="34" w:right="71" w:rightChars="34" w:firstLine="1"/>
              <w:rPr>
                <w:rFonts w:ascii="仿宋" w:hAnsi="仿宋" w:eastAsia="仿宋" w:cs="仿宋"/>
                <w:sz w:val="24"/>
              </w:rPr>
            </w:pPr>
            <w:r>
              <w:rPr>
                <w:rFonts w:hint="eastAsia" w:ascii="仿宋" w:hAnsi="仿宋" w:eastAsia="仿宋" w:cs="仿宋"/>
                <w:sz w:val="24"/>
              </w:rPr>
              <w:t>投标人需提供2020年1月1日至今同类成功案例合同，每有1份得1分，最高得3分，需提供合同复印件加盖投标人公章，未提供不得分。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noWrap/>
            <w:vAlign w:val="center"/>
          </w:tcPr>
          <w:p>
            <w:pPr>
              <w:spacing w:line="560" w:lineRule="exact"/>
              <w:jc w:val="center"/>
              <w:rPr>
                <w:rFonts w:ascii="仿宋" w:hAnsi="仿宋" w:eastAsia="仿宋" w:cs="仿宋"/>
                <w:sz w:val="24"/>
              </w:rPr>
            </w:pPr>
            <w:r>
              <w:rPr>
                <w:rFonts w:hint="eastAsia" w:ascii="仿宋" w:hAnsi="仿宋" w:eastAsia="仿宋" w:cs="仿宋"/>
                <w:sz w:val="24"/>
              </w:rPr>
              <w:t>9</w:t>
            </w:r>
          </w:p>
        </w:tc>
        <w:tc>
          <w:tcPr>
            <w:tcW w:w="1380" w:type="dxa"/>
            <w:noWrap/>
            <w:vAlign w:val="center"/>
          </w:tcPr>
          <w:p>
            <w:pPr>
              <w:jc w:val="center"/>
              <w:rPr>
                <w:rFonts w:ascii="仿宋" w:hAnsi="仿宋" w:eastAsia="仿宋" w:cs="仿宋"/>
                <w:sz w:val="24"/>
              </w:rPr>
            </w:pPr>
            <w:r>
              <w:rPr>
                <w:rFonts w:hint="eastAsia" w:ascii="仿宋" w:hAnsi="仿宋" w:eastAsia="仿宋" w:cs="仿宋"/>
                <w:sz w:val="24"/>
              </w:rPr>
              <w:t>应急</w:t>
            </w:r>
          </w:p>
          <w:p>
            <w:pPr>
              <w:jc w:val="center"/>
              <w:rPr>
                <w:rFonts w:ascii="仿宋" w:hAnsi="仿宋" w:eastAsia="仿宋" w:cs="仿宋"/>
                <w:sz w:val="24"/>
              </w:rPr>
            </w:pPr>
            <w:r>
              <w:rPr>
                <w:rFonts w:hint="eastAsia" w:ascii="仿宋" w:hAnsi="仿宋" w:eastAsia="仿宋" w:cs="仿宋"/>
                <w:sz w:val="24"/>
              </w:rPr>
              <w:t>响应</w:t>
            </w:r>
          </w:p>
        </w:tc>
        <w:tc>
          <w:tcPr>
            <w:tcW w:w="6675" w:type="dxa"/>
            <w:noWrap/>
            <w:vAlign w:val="center"/>
          </w:tcPr>
          <w:p>
            <w:pPr>
              <w:ind w:left="71" w:leftChars="34" w:right="71" w:rightChars="34" w:firstLine="1"/>
              <w:rPr>
                <w:rFonts w:ascii="仿宋" w:hAnsi="仿宋" w:eastAsia="仿宋" w:cs="仿宋"/>
                <w:sz w:val="24"/>
              </w:rPr>
            </w:pPr>
            <w:r>
              <w:rPr>
                <w:rFonts w:hint="eastAsia" w:ascii="仿宋" w:hAnsi="仿宋" w:eastAsia="仿宋" w:cs="仿宋"/>
                <w:sz w:val="24"/>
              </w:rPr>
              <w:t>承诺在采购人遇特殊情况或紧急重大情况并提出要求时，团队负责人及团队成员将及时响应并提供专业服务和指导，承诺指定人员在接到服务对象通知后1小时内开展工作的得4分；1小时（含）以上至2小时内的得3分；2小时（含）以上至4小时内的得2分；4小时（含）以上或未作相应承诺的不得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noWrap/>
            <w:vAlign w:val="center"/>
          </w:tcPr>
          <w:p>
            <w:pPr>
              <w:spacing w:line="560" w:lineRule="exact"/>
              <w:jc w:val="center"/>
              <w:rPr>
                <w:rFonts w:ascii="仿宋" w:hAnsi="仿宋" w:eastAsia="仿宋" w:cs="仿宋"/>
                <w:sz w:val="24"/>
              </w:rPr>
            </w:pPr>
            <w:r>
              <w:rPr>
                <w:rFonts w:hint="eastAsia" w:ascii="仿宋" w:hAnsi="仿宋" w:eastAsia="仿宋" w:cs="仿宋"/>
                <w:sz w:val="24"/>
              </w:rPr>
              <w:t>10</w:t>
            </w:r>
          </w:p>
        </w:tc>
        <w:tc>
          <w:tcPr>
            <w:tcW w:w="1380" w:type="dxa"/>
            <w:noWrap/>
            <w:vAlign w:val="center"/>
          </w:tcPr>
          <w:p>
            <w:pPr>
              <w:jc w:val="center"/>
              <w:rPr>
                <w:rFonts w:ascii="仿宋" w:hAnsi="仿宋" w:eastAsia="仿宋" w:cs="仿宋"/>
                <w:sz w:val="24"/>
              </w:rPr>
            </w:pPr>
            <w:r>
              <w:rPr>
                <w:rFonts w:hint="eastAsia" w:ascii="仿宋" w:hAnsi="仿宋" w:eastAsia="仿宋" w:cs="仿宋"/>
                <w:sz w:val="24"/>
              </w:rPr>
              <w:t>质保期</w:t>
            </w:r>
          </w:p>
        </w:tc>
        <w:tc>
          <w:tcPr>
            <w:tcW w:w="6675" w:type="dxa"/>
            <w:noWrap/>
            <w:vAlign w:val="center"/>
          </w:tcPr>
          <w:p>
            <w:pPr>
              <w:rPr>
                <w:rFonts w:ascii="仿宋" w:hAnsi="仿宋" w:eastAsia="仿宋" w:cs="仿宋"/>
                <w:sz w:val="24"/>
              </w:rPr>
            </w:pPr>
            <w:r>
              <w:rPr>
                <w:rFonts w:hint="eastAsia" w:ascii="仿宋" w:hAnsi="仿宋" w:eastAsia="仿宋" w:cs="仿宋"/>
                <w:sz w:val="24"/>
              </w:rPr>
              <w:t>质保期为1年的得0分，每增加1年得2分，最高得4分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0" w:type="dxa"/>
            <w:noWrap/>
            <w:vAlign w:val="center"/>
          </w:tcPr>
          <w:p>
            <w:pPr>
              <w:spacing w:line="560" w:lineRule="exact"/>
              <w:jc w:val="center"/>
              <w:rPr>
                <w:rFonts w:ascii="仿宋" w:hAnsi="仿宋" w:eastAsia="仿宋" w:cs="仿宋"/>
                <w:sz w:val="24"/>
              </w:rPr>
            </w:pPr>
            <w:r>
              <w:rPr>
                <w:rFonts w:hint="eastAsia" w:ascii="仿宋" w:hAnsi="仿宋" w:eastAsia="仿宋" w:cs="仿宋"/>
                <w:sz w:val="24"/>
              </w:rPr>
              <w:t>11</w:t>
            </w:r>
          </w:p>
        </w:tc>
        <w:tc>
          <w:tcPr>
            <w:tcW w:w="1380" w:type="dxa"/>
            <w:noWrap/>
            <w:vAlign w:val="center"/>
          </w:tcPr>
          <w:p>
            <w:pPr>
              <w:jc w:val="center"/>
              <w:rPr>
                <w:rFonts w:ascii="仿宋" w:hAnsi="仿宋" w:eastAsia="仿宋" w:cs="仿宋"/>
                <w:sz w:val="24"/>
              </w:rPr>
            </w:pPr>
            <w:r>
              <w:rPr>
                <w:rFonts w:hint="eastAsia" w:ascii="仿宋" w:hAnsi="仿宋" w:eastAsia="仿宋" w:cs="仿宋"/>
                <w:sz w:val="24"/>
              </w:rPr>
              <w:t>其它实质性优惠承诺</w:t>
            </w:r>
          </w:p>
        </w:tc>
        <w:tc>
          <w:tcPr>
            <w:tcW w:w="6675" w:type="dxa"/>
            <w:noWrap/>
            <w:vAlign w:val="center"/>
          </w:tcPr>
          <w:p>
            <w:pPr>
              <w:rPr>
                <w:rFonts w:ascii="仿宋" w:hAnsi="仿宋" w:eastAsia="仿宋" w:cs="仿宋"/>
                <w:sz w:val="24"/>
              </w:rPr>
            </w:pPr>
            <w:r>
              <w:rPr>
                <w:rFonts w:hint="eastAsia" w:ascii="仿宋" w:hAnsi="仿宋" w:eastAsia="仿宋" w:cs="仿宋"/>
                <w:sz w:val="24"/>
              </w:rPr>
              <w:t>根据投标人提供的其它实质性优惠承诺打分，由专家认定，每提供1条得2分，最多得4分。</w:t>
            </w:r>
          </w:p>
        </w:tc>
        <w:tc>
          <w:tcPr>
            <w:tcW w:w="686" w:type="dxa"/>
            <w:noWrap/>
            <w:vAlign w:val="center"/>
          </w:tcPr>
          <w:p>
            <w:pPr>
              <w:spacing w:line="560" w:lineRule="exact"/>
              <w:ind w:left="-115" w:leftChars="-55" w:right="-115" w:rightChars="-55"/>
              <w:jc w:val="center"/>
              <w:rPr>
                <w:rFonts w:ascii="仿宋" w:hAnsi="仿宋" w:eastAsia="仿宋" w:cs="仿宋"/>
                <w:sz w:val="24"/>
              </w:rPr>
            </w:pPr>
            <w:r>
              <w:rPr>
                <w:rFonts w:hint="eastAsia" w:ascii="仿宋" w:hAnsi="仿宋" w:eastAsia="仿宋" w:cs="仿宋"/>
                <w:sz w:val="24"/>
              </w:rPr>
              <w:t>4</w:t>
            </w:r>
          </w:p>
        </w:tc>
      </w:tr>
    </w:tbl>
    <w:p>
      <w:pPr>
        <w:spacing w:line="440" w:lineRule="exact"/>
        <w:rPr>
          <w:rFonts w:ascii="仿宋" w:hAnsi="仿宋" w:eastAsia="仿宋" w:cs="仿宋"/>
          <w:b/>
          <w:bCs/>
          <w:iCs/>
          <w:sz w:val="24"/>
        </w:rPr>
      </w:pPr>
      <w:r>
        <w:rPr>
          <w:rFonts w:hint="eastAsia" w:ascii="仿宋" w:hAnsi="仿宋" w:eastAsia="仿宋" w:cs="仿宋"/>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ascii="仿宋" w:hAnsi="仿宋" w:eastAsia="仿宋" w:cs="仿宋"/>
          <w:bCs/>
          <w:iCs/>
          <w:sz w:val="24"/>
        </w:rPr>
      </w:pPr>
      <w:r>
        <w:rPr>
          <w:rFonts w:hint="eastAsia" w:ascii="仿宋" w:hAnsi="仿宋" w:eastAsia="仿宋" w:cs="仿宋"/>
          <w:bCs/>
          <w:iCs/>
          <w:sz w:val="24"/>
        </w:rPr>
        <w:t>2.2.1磋商基准价：即满足磋商文件要求且最后报价最低的供应商的价格为磋商基准价，其价格分为满分。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磋商报价得分=(磋商基准价／最后磋商报价)×价格权值×100</w:t>
      </w:r>
    </w:p>
    <w:p>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磋商响应文件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供应商按照以下格式编制磋商响应文件，并将报价文件、商务技术（资信）文件分别装订成册。</w:t>
      </w: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（1）磋商响应函……………………………………………………（页码）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（2）报价一览表……………………………………………………（页码）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rPr>
          <w:rFonts w:ascii="仿宋" w:hAnsi="仿宋" w:eastAsia="仿宋" w:cs="仿宋"/>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360" w:lineRule="auto"/>
        <w:ind w:left="2" w:firstLine="480" w:firstLineChars="200"/>
        <w:rPr>
          <w:rFonts w:ascii="仿宋" w:hAnsi="仿宋" w:eastAsia="仿宋" w:cs="仿宋"/>
          <w:sz w:val="24"/>
        </w:rPr>
      </w:pPr>
    </w:p>
    <w:p>
      <w:pPr>
        <w:pStyle w:val="3"/>
        <w:spacing w:line="800" w:lineRule="atLeast"/>
        <w:ind w:left="0" w:leftChars="0"/>
        <w:rPr>
          <w:rFonts w:ascii="仿宋" w:hAnsi="仿宋" w:eastAsia="仿宋" w:cs="仿宋"/>
          <w:b/>
          <w:sz w:val="36"/>
          <w:szCs w:val="36"/>
        </w:rPr>
      </w:pPr>
    </w:p>
    <w:p>
      <w:pPr>
        <w:pStyle w:val="3"/>
        <w:spacing w:line="800" w:lineRule="atLeast"/>
        <w:ind w:left="0" w:leftChars="0"/>
        <w:rPr>
          <w:rFonts w:ascii="仿宋" w:hAnsi="仿宋" w:eastAsia="仿宋" w:cs="仿宋"/>
          <w:b/>
          <w:sz w:val="36"/>
          <w:szCs w:val="36"/>
        </w:rPr>
      </w:pPr>
    </w:p>
    <w:p>
      <w:pPr>
        <w:pStyle w:val="3"/>
        <w:spacing w:line="800" w:lineRule="atLeast"/>
        <w:ind w:left="0" w:leftChars="0"/>
        <w:rPr>
          <w:rFonts w:ascii="仿宋" w:hAnsi="仿宋" w:eastAsia="仿宋" w:cs="仿宋"/>
          <w:b/>
          <w:sz w:val="36"/>
          <w:szCs w:val="36"/>
        </w:rPr>
      </w:pPr>
    </w:p>
    <w:p>
      <w:pPr>
        <w:pStyle w:val="3"/>
        <w:spacing w:line="800" w:lineRule="atLeast"/>
        <w:ind w:left="0" w:leftChars="0"/>
        <w:rPr>
          <w:rFonts w:ascii="仿宋" w:hAnsi="仿宋" w:eastAsia="仿宋" w:cs="仿宋"/>
          <w:b/>
          <w:sz w:val="36"/>
          <w:szCs w:val="36"/>
        </w:rPr>
      </w:pPr>
    </w:p>
    <w:p>
      <w:pPr>
        <w:pStyle w:val="3"/>
        <w:spacing w:line="800" w:lineRule="atLeast"/>
        <w:ind w:left="0" w:leftChars="0"/>
        <w:rPr>
          <w:rFonts w:ascii="仿宋" w:hAnsi="仿宋" w:eastAsia="仿宋" w:cs="仿宋"/>
          <w:b/>
          <w:sz w:val="36"/>
          <w:szCs w:val="36"/>
        </w:rPr>
      </w:pPr>
    </w:p>
    <w:p>
      <w:pPr>
        <w:pageBreakBefore/>
        <w:rPr>
          <w:rFonts w:ascii="仿宋" w:hAnsi="仿宋" w:eastAsia="仿宋" w:cs="仿宋"/>
        </w:rPr>
      </w:pPr>
      <w:r>
        <w:rPr>
          <w:rFonts w:hint="eastAsia" w:ascii="仿宋" w:hAnsi="仿宋" w:eastAsia="仿宋" w:cs="仿宋"/>
          <w:b/>
          <w:sz w:val="30"/>
          <w:szCs w:val="30"/>
        </w:rPr>
        <w:t>1、磋商响应函（格式）</w:t>
      </w:r>
    </w:p>
    <w:p>
      <w:pPr>
        <w:pStyle w:val="153"/>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根据贵方磋商文件（</w:t>
      </w:r>
      <w:r>
        <w:rPr>
          <w:rFonts w:hint="eastAsia" w:ascii="仿宋" w:hAnsi="仿宋" w:eastAsia="仿宋" w:cs="仿宋"/>
          <w:b/>
          <w:szCs w:val="24"/>
          <w:u w:val="single"/>
        </w:rPr>
        <w:t>填写磋商编号：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代表供应商</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提交磋商响应文件。</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我方已完全明白磋商文件的所有条款要求，兹声明同意如下：</w:t>
      </w:r>
    </w:p>
    <w:p>
      <w:pPr>
        <w:pStyle w:val="17"/>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 xml:space="preserve"> 我方同意在供应商</w:t>
      </w:r>
      <w:r>
        <w:rPr>
          <w:rFonts w:hint="eastAsia" w:ascii="仿宋" w:hAnsi="仿宋" w:eastAsia="仿宋" w:cs="仿宋"/>
          <w:kern w:val="44"/>
        </w:rPr>
        <w:t>须知</w:t>
      </w:r>
      <w:r>
        <w:rPr>
          <w:rFonts w:hint="eastAsia" w:ascii="仿宋" w:hAnsi="仿宋" w:eastAsia="仿宋" w:cs="仿宋"/>
        </w:rPr>
        <w:t>规定的响应日期起遵守本磋商响应文件中的承诺且在响应有效期满之前均具有约束力</w:t>
      </w:r>
      <w:r>
        <w:rPr>
          <w:rFonts w:hint="eastAsia" w:ascii="仿宋" w:hAnsi="仿宋" w:eastAsia="仿宋" w:cs="仿宋"/>
          <w:szCs w:val="24"/>
        </w:rPr>
        <w:t>。</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3.</w:t>
      </w:r>
      <w:r>
        <w:rPr>
          <w:rFonts w:hint="eastAsia" w:ascii="仿宋" w:hAnsi="仿宋" w:eastAsia="仿宋" w:cs="仿宋"/>
        </w:rPr>
        <w:t>本公司磋商响应文件中填列的技术参数、配置、服务、数量等相关内容都是真实、准确的。保证在本次项目中所提供的资料全部真实和合法。</w:t>
      </w:r>
      <w:r>
        <w:rPr>
          <w:rFonts w:hint="eastAsia" w:ascii="仿宋" w:hAnsi="仿宋" w:eastAsia="仿宋" w:cs="仿宋"/>
          <w:szCs w:val="24"/>
        </w:rPr>
        <w:t>同意向华诚工程咨询集团有限公司提供可能另外要求的与磋商有关的任何数据或资料；</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7"/>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5.磋商有效期为从提交磋商响应文件的截止之日起90天。</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e)在采购采购过程中与采购人进行协商谈判的；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开户银行：                          帐号：</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法定代表人或其授权代表(签字或签章)：</w:t>
      </w:r>
    </w:p>
    <w:p>
      <w:pPr>
        <w:pStyle w:val="153"/>
        <w:spacing w:afterLines="0" w:line="440" w:lineRule="exact"/>
        <w:ind w:firstLine="480"/>
        <w:rPr>
          <w:rFonts w:ascii="仿宋" w:hAnsi="仿宋" w:eastAsia="仿宋" w:cs="仿宋"/>
          <w:szCs w:val="24"/>
        </w:rPr>
      </w:pPr>
      <w:r>
        <w:rPr>
          <w:rFonts w:hint="eastAsia" w:ascii="仿宋" w:hAnsi="仿宋" w:eastAsia="仿宋" w:cs="仿宋"/>
          <w:szCs w:val="24"/>
        </w:rPr>
        <w:t xml:space="preserve">供应商(电子签章)：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2、报价一览表（格式）</w:t>
      </w:r>
    </w:p>
    <w:p>
      <w:pPr>
        <w:spacing w:line="400" w:lineRule="exact"/>
        <w:rPr>
          <w:rFonts w:ascii="仿宋" w:hAnsi="仿宋" w:eastAsia="仿宋" w:cs="仿宋"/>
          <w:sz w:val="24"/>
        </w:rPr>
      </w:pPr>
      <w:r>
        <w:rPr>
          <w:rFonts w:hint="eastAsia" w:ascii="仿宋" w:hAnsi="仿宋" w:eastAsia="仿宋" w:cs="仿宋"/>
          <w:sz w:val="24"/>
        </w:rPr>
        <w:t>投标人名称：</w:t>
      </w:r>
    </w:p>
    <w:p>
      <w:pPr>
        <w:snapToGrid w:val="0"/>
        <w:spacing w:line="400" w:lineRule="exact"/>
        <w:rPr>
          <w:rFonts w:ascii="仿宋" w:hAnsi="仿宋" w:eastAsia="仿宋" w:cs="仿宋"/>
          <w:sz w:val="24"/>
        </w:rPr>
      </w:pPr>
      <w:r>
        <w:rPr>
          <w:rFonts w:hint="eastAsia" w:ascii="仿宋" w:hAnsi="仿宋" w:eastAsia="仿宋" w:cs="仿宋"/>
          <w:sz w:val="24"/>
        </w:rPr>
        <w:t>标    项：</w:t>
      </w:r>
    </w:p>
    <w:p>
      <w:pPr>
        <w:snapToGrid w:val="0"/>
        <w:spacing w:line="400" w:lineRule="exact"/>
        <w:rPr>
          <w:rFonts w:ascii="仿宋" w:hAnsi="仿宋" w:eastAsia="仿宋" w:cs="仿宋"/>
          <w:sz w:val="24"/>
          <w:u w:val="single"/>
        </w:rPr>
      </w:pPr>
      <w:r>
        <w:rPr>
          <w:rFonts w:hint="eastAsia" w:ascii="仿宋" w:hAnsi="仿宋" w:eastAsia="仿宋" w:cs="仿宋"/>
          <w:sz w:val="24"/>
        </w:rPr>
        <w:t>磋商编号：</w:t>
      </w:r>
    </w:p>
    <w:p>
      <w:pPr>
        <w:spacing w:line="440" w:lineRule="exact"/>
        <w:jc w:val="left"/>
        <w:rPr>
          <w:rFonts w:ascii="仿宋" w:hAnsi="仿宋" w:eastAsia="仿宋" w:cs="仿宋"/>
          <w:sz w:val="24"/>
        </w:rPr>
      </w:pPr>
      <w:r>
        <w:rPr>
          <w:rFonts w:hint="eastAsia" w:ascii="仿宋" w:hAnsi="仿宋" w:eastAsia="仿宋" w:cs="仿宋"/>
          <w:sz w:val="24"/>
        </w:rPr>
        <w:t xml:space="preserve">                                                            单位：元</w:t>
      </w:r>
    </w:p>
    <w:tbl>
      <w:tblPr>
        <w:tblStyle w:val="88"/>
        <w:tblpPr w:leftFromText="180" w:rightFromText="180" w:vertAnchor="text" w:horzAnchor="page" w:tblpX="1257" w:tblpY="48"/>
        <w:tblOverlap w:val="never"/>
        <w:tblW w:w="9401" w:type="dxa"/>
        <w:tblInd w:w="0" w:type="dxa"/>
        <w:tblLayout w:type="fixed"/>
        <w:tblCellMar>
          <w:top w:w="0" w:type="dxa"/>
          <w:left w:w="108" w:type="dxa"/>
          <w:bottom w:w="0" w:type="dxa"/>
          <w:right w:w="108" w:type="dxa"/>
        </w:tblCellMar>
      </w:tblPr>
      <w:tblGrid>
        <w:gridCol w:w="816"/>
        <w:gridCol w:w="1500"/>
        <w:gridCol w:w="2861"/>
        <w:gridCol w:w="1644"/>
        <w:gridCol w:w="2580"/>
      </w:tblGrid>
      <w:tr>
        <w:tblPrEx>
          <w:tblCellMar>
            <w:top w:w="0" w:type="dxa"/>
            <w:left w:w="108" w:type="dxa"/>
            <w:bottom w:w="0" w:type="dxa"/>
            <w:right w:w="108" w:type="dxa"/>
          </w:tblCellMar>
        </w:tblPrEx>
        <w:trPr>
          <w:trHeight w:val="873" w:hRule="atLeast"/>
        </w:trPr>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序号</w:t>
            </w:r>
          </w:p>
        </w:tc>
        <w:tc>
          <w:tcPr>
            <w:tcW w:w="4361"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项目内容</w:t>
            </w:r>
          </w:p>
        </w:tc>
        <w:tc>
          <w:tcPr>
            <w:tcW w:w="164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rPr>
              <w:t>数量</w:t>
            </w:r>
          </w:p>
        </w:tc>
        <w:tc>
          <w:tcPr>
            <w:tcW w:w="25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备注</w:t>
            </w:r>
          </w:p>
        </w:tc>
      </w:tr>
      <w:tr>
        <w:tblPrEx>
          <w:tblCellMar>
            <w:top w:w="0" w:type="dxa"/>
            <w:left w:w="108" w:type="dxa"/>
            <w:bottom w:w="0" w:type="dxa"/>
            <w:right w:w="108" w:type="dxa"/>
          </w:tblCellMar>
        </w:tblPrEx>
        <w:trPr>
          <w:trHeight w:val="1014" w:hRule="atLeast"/>
        </w:trPr>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4361"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仿宋" w:hAnsi="仿宋" w:eastAsia="仿宋" w:cs="仿宋"/>
                <w:sz w:val="24"/>
              </w:rPr>
            </w:pPr>
            <w:r>
              <w:rPr>
                <w:rFonts w:hint="eastAsia" w:ascii="仿宋" w:hAnsi="仿宋" w:eastAsia="仿宋" w:cs="仿宋"/>
                <w:sz w:val="24"/>
              </w:rPr>
              <w:t xml:space="preserve">绍兴市人民医院党建大花园 </w:t>
            </w:r>
          </w:p>
          <w:p>
            <w:pPr>
              <w:autoSpaceDE w:val="0"/>
              <w:autoSpaceDN w:val="0"/>
              <w:adjustRightInd w:val="0"/>
              <w:spacing w:line="360" w:lineRule="auto"/>
              <w:jc w:val="center"/>
              <w:rPr>
                <w:rFonts w:ascii="仿宋" w:hAnsi="仿宋" w:eastAsia="仿宋" w:cs="仿宋"/>
                <w:sz w:val="24"/>
              </w:rPr>
            </w:pPr>
            <w:r>
              <w:rPr>
                <w:rFonts w:hint="eastAsia" w:ascii="仿宋" w:hAnsi="仿宋" w:eastAsia="仿宋" w:cs="仿宋"/>
                <w:sz w:val="24"/>
              </w:rPr>
              <w:t>建设</w:t>
            </w:r>
          </w:p>
        </w:tc>
        <w:tc>
          <w:tcPr>
            <w:tcW w:w="164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1批</w:t>
            </w:r>
          </w:p>
        </w:tc>
        <w:tc>
          <w:tcPr>
            <w:tcW w:w="258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仿宋" w:hAnsi="仿宋" w:eastAsia="仿宋" w:cs="仿宋"/>
                <w:sz w:val="24"/>
              </w:rPr>
            </w:pPr>
          </w:p>
        </w:tc>
      </w:tr>
      <w:tr>
        <w:tblPrEx>
          <w:tblCellMar>
            <w:top w:w="0" w:type="dxa"/>
            <w:left w:w="108" w:type="dxa"/>
            <w:bottom w:w="0" w:type="dxa"/>
            <w:right w:w="108" w:type="dxa"/>
          </w:tblCellMar>
        </w:tblPrEx>
        <w:trPr>
          <w:trHeight w:val="765" w:hRule="atLeast"/>
        </w:trPr>
        <w:tc>
          <w:tcPr>
            <w:tcW w:w="231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ascii="仿宋" w:hAnsi="仿宋" w:eastAsia="仿宋" w:cs="仿宋"/>
                <w:sz w:val="24"/>
                <w:lang w:val="zh-CN"/>
              </w:rPr>
            </w:pPr>
            <w:r>
              <w:rPr>
                <w:rFonts w:hint="eastAsia" w:ascii="仿宋" w:hAnsi="仿宋" w:eastAsia="仿宋" w:cs="仿宋"/>
                <w:sz w:val="24"/>
              </w:rPr>
              <w:t>折扣报价（小写）</w:t>
            </w:r>
          </w:p>
        </w:tc>
        <w:tc>
          <w:tcPr>
            <w:tcW w:w="7085"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ind w:firstLine="5040" w:firstLineChars="2100"/>
              <w:rPr>
                <w:rFonts w:ascii="仿宋" w:hAnsi="仿宋" w:eastAsia="仿宋" w:cs="仿宋"/>
                <w:sz w:val="24"/>
              </w:rPr>
            </w:pPr>
            <w:r>
              <w:rPr>
                <w:rFonts w:hint="eastAsia" w:ascii="仿宋" w:hAnsi="仿宋" w:eastAsia="仿宋" w:cs="仿宋"/>
                <w:sz w:val="24"/>
              </w:rPr>
              <w:t>%</w:t>
            </w:r>
          </w:p>
        </w:tc>
      </w:tr>
      <w:tr>
        <w:tblPrEx>
          <w:tblCellMar>
            <w:top w:w="0" w:type="dxa"/>
            <w:left w:w="108" w:type="dxa"/>
            <w:bottom w:w="0" w:type="dxa"/>
            <w:right w:w="108" w:type="dxa"/>
          </w:tblCellMar>
        </w:tblPrEx>
        <w:trPr>
          <w:trHeight w:val="765" w:hRule="atLeast"/>
        </w:trPr>
        <w:tc>
          <w:tcPr>
            <w:tcW w:w="231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折扣报价</w:t>
            </w:r>
            <w:r>
              <w:rPr>
                <w:rFonts w:hint="eastAsia" w:ascii="仿宋" w:hAnsi="仿宋" w:eastAsia="仿宋" w:cs="仿宋"/>
                <w:sz w:val="24"/>
                <w:szCs w:val="21"/>
              </w:rPr>
              <w:t>（大写）</w:t>
            </w:r>
          </w:p>
        </w:tc>
        <w:tc>
          <w:tcPr>
            <w:tcW w:w="7085"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exact"/>
              <w:rPr>
                <w:rFonts w:ascii="仿宋" w:hAnsi="仿宋" w:eastAsia="仿宋" w:cs="仿宋"/>
                <w:sz w:val="24"/>
              </w:rPr>
            </w:pPr>
          </w:p>
        </w:tc>
      </w:tr>
    </w:tbl>
    <w:p>
      <w:pPr>
        <w:snapToGrid w:val="0"/>
        <w:jc w:val="left"/>
        <w:rPr>
          <w:rFonts w:ascii="仿宋" w:hAnsi="仿宋" w:eastAsia="仿宋" w:cs="仿宋"/>
          <w:b/>
          <w:bCs/>
          <w:sz w:val="24"/>
        </w:rPr>
      </w:pPr>
      <w:r>
        <w:rPr>
          <w:rFonts w:hint="eastAsia" w:ascii="仿宋" w:hAnsi="仿宋" w:eastAsia="仿宋" w:cs="仿宋"/>
          <w:b/>
          <w:bCs/>
          <w:sz w:val="24"/>
        </w:rPr>
        <w:t>注1：项目报价以设计制作项目清单中的上限单价为基准，投标人按统一折扣报价。折扣报价=成交单价/上限单价*100%。投标人根据自身实际情况，自行确定一个折扣，折扣保留百分比小数点后一位，即**.*%</w:t>
      </w:r>
    </w:p>
    <w:p>
      <w:pPr>
        <w:snapToGrid w:val="0"/>
        <w:jc w:val="left"/>
        <w:rPr>
          <w:rFonts w:ascii="仿宋" w:hAnsi="仿宋" w:eastAsia="仿宋" w:cs="仿宋"/>
          <w:sz w:val="24"/>
        </w:rPr>
      </w:pPr>
      <w:r>
        <w:rPr>
          <w:rFonts w:hint="eastAsia" w:ascii="仿宋" w:hAnsi="仿宋" w:eastAsia="仿宋" w:cs="仿宋"/>
          <w:b/>
          <w:bCs/>
          <w:sz w:val="24"/>
        </w:rPr>
        <w:t xml:space="preserve">注2: </w:t>
      </w:r>
      <w:r>
        <w:rPr>
          <w:rFonts w:hint="eastAsia" w:ascii="仿宋" w:hAnsi="仿宋" w:eastAsia="仿宋" w:cs="仿宋"/>
          <w:sz w:val="24"/>
        </w:rPr>
        <w:t>1.报价一经涂改，应在涂改处加盖供应商电子签章或者由法定代表人或其授权代表签字或盖章，否则报价无效。</w:t>
      </w:r>
    </w:p>
    <w:p>
      <w:pPr>
        <w:snapToGrid w:val="0"/>
        <w:ind w:firstLine="480" w:firstLineChars="200"/>
        <w:jc w:val="left"/>
        <w:rPr>
          <w:rFonts w:ascii="仿宋" w:hAnsi="仿宋" w:eastAsia="仿宋" w:cs="仿宋"/>
          <w:sz w:val="24"/>
        </w:rPr>
      </w:pPr>
      <w:r>
        <w:rPr>
          <w:rFonts w:hint="eastAsia" w:ascii="仿宋" w:hAnsi="仿宋" w:eastAsia="仿宋" w:cs="仿宋"/>
          <w:sz w:val="24"/>
        </w:rPr>
        <w:t>2.采购人不接受某一标项中有2个(含)以上的报价或方案，若供应商在此表中有2个（含）以上的报价或方案，其投标无效。</w:t>
      </w:r>
    </w:p>
    <w:p>
      <w:pPr>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3.供应商需按本表格式填写，如无对应内容，则填写：“无或/”。</w:t>
      </w:r>
    </w:p>
    <w:p>
      <w:pPr>
        <w:snapToGrid w:val="0"/>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磋商响应人（公章）：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spacing w:line="360" w:lineRule="auto"/>
        <w:jc w:val="center"/>
        <w:outlineLvl w:val="0"/>
        <w:rPr>
          <w:rFonts w:ascii="仿宋" w:hAnsi="仿宋" w:eastAsia="仿宋" w:cs="仿宋"/>
          <w:sz w:val="24"/>
        </w:rPr>
      </w:pPr>
    </w:p>
    <w:p>
      <w:pPr>
        <w:spacing w:line="360" w:lineRule="auto"/>
        <w:jc w:val="center"/>
        <w:outlineLvl w:val="0"/>
        <w:rPr>
          <w:rFonts w:ascii="仿宋" w:hAnsi="仿宋" w:eastAsia="仿宋" w:cs="仿宋"/>
          <w:sz w:val="24"/>
        </w:rPr>
      </w:pPr>
    </w:p>
    <w:p>
      <w:pPr>
        <w:spacing w:line="360" w:lineRule="auto"/>
        <w:jc w:val="center"/>
        <w:outlineLvl w:val="0"/>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5" o:spt="75" type="#_x0000_t75" style="height:41.95pt;width:390.0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 w:hAnsi="仿宋" w:eastAsia="仿宋" w:cs="仿宋"/>
          <w:sz w:val="24"/>
        </w:rPr>
      </w:pPr>
    </w:p>
    <w:p>
      <w:pPr>
        <w:pageBreakBefore/>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225"/>
        <w:spacing w:line="360" w:lineRule="auto"/>
        <w:ind w:left="0" w:firstLine="0" w:firstLineChars="0"/>
        <w:rPr>
          <w:rFonts w:ascii="仿宋" w:eastAsia="仿宋" w:cs="仿宋"/>
        </w:rPr>
      </w:pPr>
      <w:r>
        <w:rPr>
          <w:rFonts w:hint="eastAsia" w:ascii="仿宋" w:eastAsia="仿宋" w:cs="仿宋"/>
        </w:rPr>
        <w:t>（1）法定代表人授权书 …………………………………………………………（页码）</w:t>
      </w:r>
    </w:p>
    <w:p>
      <w:pPr>
        <w:pStyle w:val="225"/>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225"/>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225"/>
        <w:spacing w:line="360" w:lineRule="auto"/>
        <w:ind w:left="0" w:firstLine="0" w:firstLineChars="0"/>
        <w:rPr>
          <w:rFonts w:ascii="仿宋" w:eastAsia="仿宋" w:cs="仿宋"/>
        </w:rPr>
      </w:pPr>
      <w:r>
        <w:rPr>
          <w:rFonts w:hint="eastAsia" w:ascii="仿宋" w:eastAsia="仿宋" w:cs="仿宋"/>
        </w:rPr>
        <w:t>（4）法定代表人身份证明书………………………………………………………（页码）</w:t>
      </w:r>
    </w:p>
    <w:p>
      <w:pPr>
        <w:pStyle w:val="225"/>
        <w:spacing w:line="360" w:lineRule="auto"/>
        <w:ind w:left="0" w:firstLine="0" w:firstLineChars="0"/>
        <w:rPr>
          <w:rFonts w:ascii="仿宋" w:eastAsia="仿宋" w:cs="仿宋"/>
        </w:rPr>
      </w:pPr>
      <w:r>
        <w:rPr>
          <w:rFonts w:hint="eastAsia" w:ascii="仿宋" w:eastAsia="仿宋" w:cs="仿宋"/>
        </w:rPr>
        <w:t>（5）资格审查有关的书面承诺函</w:t>
      </w:r>
      <w:r>
        <w:rPr>
          <w:rFonts w:hint="eastAsia" w:ascii="仿宋" w:eastAsia="仿宋" w:cs="仿宋"/>
          <w:lang w:val="zh-CN"/>
        </w:rPr>
        <w:t>………………………………………………</w:t>
      </w:r>
      <w:r>
        <w:rPr>
          <w:rFonts w:hint="eastAsia" w:ascii="仿宋" w:eastAsia="仿宋" w:cs="仿宋"/>
        </w:rPr>
        <w:t>…（页码）</w:t>
      </w:r>
    </w:p>
    <w:p>
      <w:pPr>
        <w:pStyle w:val="225"/>
        <w:spacing w:line="360" w:lineRule="auto"/>
        <w:ind w:left="0" w:firstLine="0" w:firstLineChars="0"/>
        <w:rPr>
          <w:rFonts w:ascii="仿宋" w:eastAsia="仿宋" w:cs="仿宋"/>
        </w:rPr>
      </w:pPr>
      <w:r>
        <w:rPr>
          <w:rFonts w:hint="eastAsia" w:ascii="仿宋" w:eastAsia="仿宋" w:cs="仿宋"/>
        </w:rPr>
        <w:t>（6）符合特定资格条件（如果项目要求）的有关证明材料（复印件）………（页码）</w:t>
      </w:r>
    </w:p>
    <w:p>
      <w:pPr>
        <w:pStyle w:val="225"/>
        <w:spacing w:line="360"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225"/>
        <w:spacing w:line="360" w:lineRule="auto"/>
        <w:ind w:left="0" w:firstLine="0" w:firstLineChars="0"/>
        <w:rPr>
          <w:rFonts w:ascii="仿宋" w:eastAsia="仿宋" w:cs="仿宋"/>
        </w:rPr>
      </w:pPr>
      <w:r>
        <w:rPr>
          <w:rFonts w:hint="eastAsia" w:ascii="仿宋" w:eastAsia="仿宋" w:cs="仿宋"/>
        </w:rPr>
        <w:t>（8）廉政承诺书 …………………………………………………………………（页码）</w:t>
      </w:r>
    </w:p>
    <w:p>
      <w:pPr>
        <w:pStyle w:val="225"/>
        <w:spacing w:line="360" w:lineRule="auto"/>
        <w:ind w:left="0" w:firstLine="0" w:firstLineChars="0"/>
        <w:rPr>
          <w:rFonts w:ascii="仿宋" w:eastAsia="仿宋" w:cs="仿宋"/>
        </w:rPr>
      </w:pPr>
      <w:r>
        <w:rPr>
          <w:rFonts w:hint="eastAsia" w:ascii="仿宋" w:eastAsia="仿宋" w:cs="仿宋"/>
        </w:rPr>
        <w:t>（9）技术偏离说明表……………………………………………………………（页码）</w:t>
      </w:r>
    </w:p>
    <w:p>
      <w:pPr>
        <w:pStyle w:val="225"/>
        <w:spacing w:line="360" w:lineRule="auto"/>
        <w:ind w:left="0" w:firstLine="0" w:firstLineChars="0"/>
        <w:rPr>
          <w:rFonts w:ascii="仿宋" w:eastAsia="仿宋" w:cs="仿宋"/>
        </w:rPr>
      </w:pPr>
      <w:r>
        <w:rPr>
          <w:rFonts w:hint="eastAsia" w:ascii="仿宋" w:eastAsia="仿宋" w:cs="仿宋"/>
        </w:rPr>
        <w:t>（10）售后服务方案………………………………………………………………（页码）</w:t>
      </w:r>
    </w:p>
    <w:p>
      <w:pPr>
        <w:pStyle w:val="225"/>
        <w:spacing w:line="360" w:lineRule="auto"/>
        <w:ind w:left="0" w:firstLine="0" w:firstLineChars="0"/>
        <w:rPr>
          <w:rFonts w:ascii="仿宋" w:eastAsia="仿宋" w:cs="仿宋"/>
        </w:rPr>
      </w:pPr>
      <w:r>
        <w:rPr>
          <w:rFonts w:hint="eastAsia" w:ascii="仿宋" w:eastAsia="仿宋" w:cs="仿宋"/>
        </w:rPr>
        <w:t>（11）项目小组人员名单…………………………………………………………（页码）</w:t>
      </w:r>
    </w:p>
    <w:p>
      <w:pPr>
        <w:pStyle w:val="225"/>
        <w:spacing w:line="360" w:lineRule="auto"/>
        <w:ind w:left="0" w:firstLine="0" w:firstLineChars="0"/>
        <w:rPr>
          <w:rFonts w:ascii="仿宋" w:eastAsia="仿宋" w:cs="仿宋"/>
        </w:rPr>
      </w:pPr>
      <w:r>
        <w:rPr>
          <w:rFonts w:hint="eastAsia" w:ascii="仿宋" w:eastAsia="仿宋" w:cs="仿宋"/>
        </w:rPr>
        <w:t>（12）</w:t>
      </w:r>
      <w:r>
        <w:rPr>
          <w:rFonts w:hint="eastAsia" w:ascii="仿宋" w:eastAsia="仿宋" w:cs="仿宋"/>
          <w:lang w:val="zh-CN"/>
        </w:rPr>
        <w:t>优惠条件及特殊承诺……………………………………</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225"/>
        <w:spacing w:line="360" w:lineRule="auto"/>
        <w:ind w:left="0" w:firstLine="0" w:firstLineChars="0"/>
        <w:rPr>
          <w:rFonts w:ascii="仿宋" w:eastAsia="仿宋" w:cs="仿宋"/>
        </w:rPr>
      </w:pPr>
      <w:r>
        <w:rPr>
          <w:rFonts w:hint="eastAsia" w:ascii="仿宋" w:eastAsia="仿宋" w:cs="仿宋"/>
        </w:rPr>
        <w:t>（13）</w:t>
      </w:r>
      <w:r>
        <w:rPr>
          <w:rFonts w:hint="eastAsia" w:ascii="仿宋" w:eastAsia="仿宋" w:cs="仿宋"/>
          <w:lang w:val="zh-CN"/>
        </w:rPr>
        <w:t>认为需要的其他商务技术（资信）文件或说明…………</w:t>
      </w:r>
      <w:r>
        <w:rPr>
          <w:rFonts w:hint="eastAsia" w:ascii="仿宋" w:eastAsia="仿宋" w:cs="仿宋"/>
        </w:rPr>
        <w:t>………………（页码）</w:t>
      </w:r>
    </w:p>
    <w:p>
      <w:pPr>
        <w:pStyle w:val="225"/>
        <w:spacing w:line="360" w:lineRule="auto"/>
        <w:ind w:left="0" w:firstLine="0" w:firstLineChars="0"/>
        <w:rPr>
          <w:rFonts w:ascii="仿宋" w:eastAsia="仿宋" w:cs="仿宋"/>
          <w:b/>
          <w:bCs/>
        </w:rPr>
      </w:pPr>
      <w:r>
        <w:rPr>
          <w:rFonts w:hint="eastAsia" w:ascii="仿宋" w:eastAsia="仿宋" w:cs="仿宋"/>
        </w:rPr>
        <w:t>（14）中小企业声明函</w:t>
      </w:r>
      <w:r>
        <w:rPr>
          <w:rFonts w:hint="eastAsia" w:ascii="仿宋" w:eastAsia="仿宋" w:cs="仿宋"/>
          <w:kern w:val="0"/>
        </w:rPr>
        <w:t>…………</w:t>
      </w:r>
      <w:r>
        <w:rPr>
          <w:rFonts w:hint="eastAsia" w:ascii="仿宋" w:eastAsia="仿宋" w:cs="仿宋"/>
        </w:rPr>
        <w:t>…………………………………………………（页码）</w:t>
      </w:r>
    </w:p>
    <w:p>
      <w:pPr>
        <w:pStyle w:val="225"/>
        <w:spacing w:line="360" w:lineRule="auto"/>
        <w:ind w:left="0" w:firstLine="0" w:firstLineChars="0"/>
        <w:rPr>
          <w:rFonts w:ascii="仿宋" w:eastAsia="仿宋" w:cs="仿宋"/>
          <w:b/>
          <w:bCs/>
        </w:rPr>
      </w:pPr>
      <w:r>
        <w:rPr>
          <w:rFonts w:hint="eastAsia" w:ascii="仿宋" w:eastAsia="仿宋" w:cs="仿宋"/>
        </w:rPr>
        <w:t>（15）代理服务费支付承诺书……………………………………………………（页码）</w:t>
      </w:r>
    </w:p>
    <w:p>
      <w:pPr>
        <w:spacing w:line="360" w:lineRule="auto"/>
        <w:jc w:val="left"/>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绍兴市人民医院党建大花园建设项目</w:t>
      </w:r>
      <w:r>
        <w:rPr>
          <w:rFonts w:hint="eastAsia" w:ascii="仿宋" w:hAnsi="仿宋" w:eastAsia="仿宋" w:cs="仿宋"/>
          <w:sz w:val="24"/>
        </w:rPr>
        <w:t>磋商活动。授权代表在磋商、合同签订过程中所签署的一切文件和处理与之有关的一切事务，我均予以承认。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磋商响应人（公章）：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磋商响应截止时间一个月以内的社保机构盖公章的授权代表社保缴纳证明（如授权代表为离退休返聘人员的，磋商响应文件技术部分内需提供退休证明及单位聘用证明；如由第三方代理社保事项的，则需提供加盖供应商公章的委托代理协议复印件），格式自拟。</w:t>
      </w:r>
      <w:r>
        <w:rPr>
          <w:rFonts w:hint="eastAsia" w:ascii="仿宋" w:hAnsi="仿宋" w:eastAsia="仿宋" w:cs="仿宋"/>
          <w:b/>
          <w:sz w:val="24"/>
        </w:rPr>
        <w:t>未提供上述证明的磋商做无效标处理。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u w:val="single"/>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供应商：                             （公章）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spacing w:line="360" w:lineRule="auto"/>
        <w:jc w:val="center"/>
        <w:rPr>
          <w:rFonts w:ascii="仿宋" w:hAnsi="仿宋" w:eastAsia="仿宋" w:cs="仿宋"/>
          <w:b/>
          <w:sz w:val="30"/>
          <w:szCs w:val="30"/>
        </w:rPr>
      </w:pP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资格审查有关的书面承诺函</w:t>
      </w:r>
    </w:p>
    <w:p>
      <w:pPr>
        <w:snapToGrid w:val="0"/>
        <w:spacing w:line="360" w:lineRule="auto"/>
        <w:ind w:firstLine="480" w:firstLineChars="200"/>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u w:val="single"/>
        </w:rPr>
        <w:t>绍兴市人民医院党建大花园建设项目</w:t>
      </w:r>
      <w:r>
        <w:rPr>
          <w:rFonts w:hint="eastAsia" w:ascii="仿宋" w:hAnsi="仿宋" w:eastAsia="仿宋" w:cs="仿宋"/>
          <w:sz w:val="24"/>
        </w:rPr>
        <w:t>（磋商编号:）磋商文件中关于申请人资格要求的下列条件：</w:t>
      </w:r>
    </w:p>
    <w:p>
      <w:pPr>
        <w:pStyle w:val="153"/>
        <w:spacing w:after="156" w:line="440" w:lineRule="exact"/>
        <w:ind w:firstLine="480"/>
        <w:jc w:val="left"/>
        <w:rPr>
          <w:rFonts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(一）具有独立承担民事责任的能力;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360" w:lineRule="auto"/>
        <w:ind w:firstLine="480" w:firstLineChars="200"/>
        <w:rPr>
          <w:rFonts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供应商 (</w:t>
      </w:r>
      <w:r>
        <w:rPr>
          <w:rFonts w:hint="eastAsia" w:ascii="仿宋" w:hAnsi="仿宋" w:eastAsia="仿宋" w:cs="仿宋"/>
          <w:kern w:val="0"/>
          <w:sz w:val="24"/>
        </w:rPr>
        <w:t>公章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pPr>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（由供应商根据磋商公告中合格的供应商应具备的特定资格要求编制）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sz w:val="32"/>
          <w:szCs w:val="32"/>
        </w:rPr>
        <w:t>7、</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88"/>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napToGrid w:val="0"/>
        <w:spacing w:line="360" w:lineRule="auto"/>
        <w:ind w:right="960"/>
        <w:jc w:val="right"/>
        <w:rPr>
          <w:rFonts w:ascii="仿宋" w:hAnsi="仿宋" w:eastAsia="仿宋" w:cs="仿宋"/>
          <w:kern w:val="0"/>
          <w:sz w:val="24"/>
        </w:rPr>
      </w:pPr>
      <w:r>
        <w:rPr>
          <w:rFonts w:hint="eastAsia" w:ascii="仿宋" w:hAnsi="仿宋" w:eastAsia="仿宋" w:cs="仿宋"/>
          <w:kern w:val="0"/>
          <w:sz w:val="24"/>
          <w:lang w:val="zh-CN"/>
        </w:rPr>
        <w:t>磋商响应人（</w:t>
      </w:r>
      <w:r>
        <w:rPr>
          <w:rFonts w:hint="eastAsia" w:ascii="仿宋" w:hAnsi="仿宋" w:eastAsia="仿宋" w:cs="仿宋"/>
          <w:kern w:val="0"/>
          <w:sz w:val="24"/>
        </w:rPr>
        <w:t>公章</w:t>
      </w:r>
      <w:r>
        <w:rPr>
          <w:rFonts w:hint="eastAsia" w:ascii="仿宋" w:hAnsi="仿宋" w:eastAsia="仿宋" w:cs="仿宋"/>
          <w:kern w:val="0"/>
          <w:sz w:val="24"/>
          <w:lang w:val="zh-CN"/>
        </w:rPr>
        <w:t>）：</w: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rPr>
          <w:rFonts w:ascii="仿宋" w:hAnsi="仿宋" w:eastAsia="仿宋" w:cs="仿宋"/>
          <w:kern w:val="0"/>
          <w:sz w:val="24"/>
        </w:rPr>
      </w:pPr>
      <w:r>
        <w:rPr>
          <w:rFonts w:hint="eastAsia" w:ascii="仿宋" w:hAnsi="仿宋" w:eastAsia="仿宋" w:cs="仿宋"/>
          <w:kern w:val="0"/>
          <w:sz w:val="24"/>
        </w:rPr>
        <w:t xml:space="preserve">                                             日期：  年  月   日</w:t>
      </w:r>
    </w:p>
    <w:p>
      <w:pPr>
        <w:pStyle w:val="238"/>
        <w:ind w:firstLine="0"/>
        <w:jc w:val="both"/>
        <w:rPr>
          <w:rFonts w:ascii="仿宋" w:eastAsia="仿宋" w:cs="仿宋"/>
        </w:rPr>
      </w:pPr>
    </w:p>
    <w:p>
      <w:pPr>
        <w:pStyle w:val="238"/>
        <w:pageBreakBefore/>
        <w:ind w:firstLine="0"/>
        <w:jc w:val="both"/>
        <w:rPr>
          <w:rFonts w:ascii="仿宋" w:eastAsia="仿宋" w:cs="仿宋"/>
        </w:rPr>
      </w:pPr>
      <w:r>
        <w:rPr>
          <w:rFonts w:hint="eastAsia" w:ascii="仿宋" w:eastAsia="仿宋" w:cs="仿宋"/>
        </w:rPr>
        <w:t>8、廉政承诺书</w:t>
      </w:r>
    </w:p>
    <w:p>
      <w:pPr>
        <w:autoSpaceDE w:val="0"/>
        <w:autoSpaceDN w:val="0"/>
        <w:spacing w:line="360" w:lineRule="auto"/>
        <w:ind w:left="2" w:leftChars="1" w:firstLine="480" w:firstLineChars="200"/>
        <w:jc w:val="left"/>
        <w:rPr>
          <w:rFonts w:ascii="仿宋" w:hAnsi="仿宋" w:eastAsia="仿宋" w:cs="仿宋"/>
          <w:sz w:val="24"/>
        </w:rPr>
      </w:pPr>
      <w:r>
        <w:rPr>
          <w:rFonts w:hint="eastAsia" w:ascii="仿宋" w:hAnsi="仿宋" w:eastAsia="仿宋" w:cs="仿宋"/>
          <w:sz w:val="24"/>
        </w:rPr>
        <w:t xml:space="preserve">绍兴市人民医院：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项目竞争性磋商要求参加磋商。在这次磋商过程中和成交后，我们将严格遵守国家法律法规要求，并郑重承诺：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有权立即取消我单位磋商、成交或在建项目的建设资格，有权拒绝我单位在一定时期内进入你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rPr>
      </w:pPr>
      <w:r>
        <w:rPr>
          <w:rFonts w:hint="eastAsia" w:ascii="仿宋" w:hAnsi="仿宋" w:eastAsia="仿宋" w:cs="仿宋"/>
          <w:kern w:val="0"/>
          <w:sz w:val="24"/>
          <w:lang w:val="zh-CN"/>
        </w:rPr>
        <w:t>磋商响应人（</w:t>
      </w:r>
      <w:r>
        <w:rPr>
          <w:rFonts w:hint="eastAsia" w:ascii="仿宋" w:hAnsi="仿宋" w:eastAsia="仿宋" w:cs="仿宋"/>
          <w:kern w:val="0"/>
          <w:sz w:val="24"/>
        </w:rPr>
        <w:t>公章</w:t>
      </w:r>
      <w:r>
        <w:rPr>
          <w:rFonts w:hint="eastAsia" w:ascii="仿宋" w:hAnsi="仿宋" w:eastAsia="仿宋" w:cs="仿宋"/>
          <w:kern w:val="0"/>
          <w:sz w:val="24"/>
          <w:lang w:val="zh-CN"/>
        </w:rPr>
        <w:t>）：</w: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9、技术偏离说明表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（由供应商根据采购需求及磋商文件要求编制）</w:t>
      </w:r>
    </w:p>
    <w:tbl>
      <w:tblPr>
        <w:tblStyle w:val="8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磋商文件要求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磋商响应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磋商文件技术要求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请填写磋商产品技术指标对应详细描述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磋商文件“</w:t>
      </w:r>
      <w:r>
        <w:rPr>
          <w:rFonts w:hint="eastAsia" w:ascii="仿宋" w:hAnsi="仿宋" w:eastAsia="仿宋" w:cs="仿宋"/>
          <w:sz w:val="24"/>
        </w:rPr>
        <w:t>磋商项目说明及要求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2、供应商递交的技术规格书中必须真实逐条列明，否则由供应商自行承担相关风险。</w:t>
      </w:r>
    </w:p>
    <w:p>
      <w:pPr>
        <w:autoSpaceDE w:val="0"/>
        <w:autoSpaceDN w:val="0"/>
        <w:spacing w:line="360" w:lineRule="auto"/>
        <w:ind w:firstLine="5040" w:firstLineChars="2100"/>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rPr>
      </w:pPr>
      <w:r>
        <w:rPr>
          <w:rFonts w:hint="eastAsia" w:ascii="仿宋" w:hAnsi="仿宋" w:eastAsia="仿宋" w:cs="仿宋"/>
          <w:kern w:val="0"/>
          <w:sz w:val="24"/>
          <w:lang w:val="zh-CN"/>
        </w:rPr>
        <w:t>磋商响应人（</w:t>
      </w:r>
      <w:r>
        <w:rPr>
          <w:rFonts w:hint="eastAsia" w:ascii="仿宋" w:hAnsi="仿宋" w:eastAsia="仿宋" w:cs="仿宋"/>
          <w:kern w:val="0"/>
          <w:sz w:val="24"/>
        </w:rPr>
        <w:t>公章</w:t>
      </w:r>
      <w:r>
        <w:rPr>
          <w:rFonts w:hint="eastAsia" w:ascii="仿宋" w:hAnsi="仿宋" w:eastAsia="仿宋" w:cs="仿宋"/>
          <w:kern w:val="0"/>
          <w:sz w:val="24"/>
          <w:lang w:val="zh-CN"/>
        </w:rPr>
        <w:t>）：</w: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rPr>
          <w:rFonts w:ascii="仿宋" w:hAnsi="仿宋" w:eastAsia="仿宋" w:cs="仿宋"/>
          <w:kern w:val="0"/>
          <w:sz w:val="24"/>
        </w:rPr>
      </w:pPr>
      <w:r>
        <w:rPr>
          <w:rFonts w:hint="eastAsia" w:ascii="仿宋" w:hAnsi="仿宋" w:eastAsia="仿宋" w:cs="仿宋"/>
          <w:kern w:val="0"/>
          <w:sz w:val="24"/>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（由供应商根据采购需求及磋商文件要求编制）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8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注：关于项目涉及的所有售后服务机构均在本表注明，包括供应商本单位和符合条件的第三方服务机构；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8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p>
    <w:p>
      <w:pPr>
        <w:snapToGrid w:val="0"/>
        <w:spacing w:line="360" w:lineRule="auto"/>
        <w:ind w:right="960"/>
        <w:jc w:val="right"/>
        <w:rPr>
          <w:rFonts w:ascii="仿宋" w:hAnsi="仿宋" w:eastAsia="仿宋" w:cs="仿宋"/>
          <w:kern w:val="0"/>
          <w:sz w:val="24"/>
        </w:rPr>
      </w:pPr>
      <w:r>
        <w:rPr>
          <w:rFonts w:hint="eastAsia" w:ascii="仿宋" w:hAnsi="仿宋" w:eastAsia="仿宋" w:cs="仿宋"/>
          <w:kern w:val="0"/>
          <w:sz w:val="24"/>
          <w:lang w:val="zh-CN"/>
        </w:rPr>
        <w:t>磋商响应人（</w:t>
      </w:r>
      <w:r>
        <w:rPr>
          <w:rFonts w:hint="eastAsia" w:ascii="仿宋" w:hAnsi="仿宋" w:eastAsia="仿宋" w:cs="仿宋"/>
          <w:kern w:val="0"/>
          <w:sz w:val="24"/>
        </w:rPr>
        <w:t>公章</w:t>
      </w:r>
      <w:r>
        <w:rPr>
          <w:rFonts w:hint="eastAsia" w:ascii="仿宋" w:hAnsi="仿宋" w:eastAsia="仿宋" w:cs="仿宋"/>
          <w:kern w:val="0"/>
          <w:sz w:val="24"/>
          <w:lang w:val="zh-CN"/>
        </w:rPr>
        <w:t>）：</w: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rPr>
          <w:rFonts w:ascii="仿宋" w:hAnsi="仿宋" w:eastAsia="仿宋" w:cs="仿宋"/>
          <w:kern w:val="0"/>
          <w:sz w:val="24"/>
        </w:rPr>
      </w:pPr>
      <w:r>
        <w:rPr>
          <w:rFonts w:hint="eastAsia" w:ascii="仿宋" w:hAnsi="仿宋" w:eastAsia="仿宋" w:cs="仿宋"/>
          <w:kern w:val="0"/>
          <w:sz w:val="24"/>
        </w:rPr>
        <w:t xml:space="preserve">                                             日期：  年  月   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11、项目小组人员名单</w:t>
      </w:r>
    </w:p>
    <w:p>
      <w:pPr>
        <w:spacing w:line="360" w:lineRule="auto"/>
        <w:rPr>
          <w:rFonts w:ascii="仿宋" w:hAnsi="仿宋" w:eastAsia="仿宋" w:cs="仿宋"/>
          <w:b/>
          <w:bCs/>
          <w:sz w:val="24"/>
        </w:rPr>
      </w:pPr>
      <w:r>
        <w:rPr>
          <w:rFonts w:hint="eastAsia" w:ascii="仿宋" w:hAnsi="仿宋" w:eastAsia="仿宋" w:cs="仿宋"/>
          <w:sz w:val="24"/>
        </w:rPr>
        <w:t>（由供应商根据采购需求及磋商文件要求编制）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88"/>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注：须随表提交相应的证书复印件并注明所在磋商商务技术（资信）文件页码。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8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注：供应商可按上述的格式自行编制，须随表提交相应的证书复印件并注明所在磋商响应商务技术（资信）文件页码。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附表C:本项目的项目经理和小组人员提供交纳社保记录情况表</w:t>
      </w:r>
      <w:r>
        <w:rPr>
          <w:rFonts w:hint="eastAsia" w:ascii="仿宋" w:hAnsi="仿宋" w:eastAsia="仿宋" w:cs="仿宋"/>
          <w:sz w:val="24"/>
        </w:rPr>
        <w:t>（以社保局缴纳凭证作附件）</w:t>
      </w:r>
    </w:p>
    <w:p>
      <w:pPr>
        <w:snapToGrid w:val="0"/>
        <w:spacing w:line="360" w:lineRule="auto"/>
        <w:ind w:right="960"/>
        <w:jc w:val="right"/>
        <w:rPr>
          <w:rFonts w:ascii="仿宋" w:hAnsi="仿宋" w:eastAsia="仿宋" w:cs="仿宋"/>
          <w:kern w:val="0"/>
          <w:sz w:val="24"/>
        </w:rPr>
      </w:pPr>
      <w:r>
        <w:rPr>
          <w:rFonts w:hint="eastAsia" w:ascii="仿宋" w:hAnsi="仿宋" w:eastAsia="仿宋" w:cs="仿宋"/>
          <w:kern w:val="0"/>
          <w:sz w:val="24"/>
          <w:lang w:val="zh-CN"/>
        </w:rPr>
        <w:t>磋商响应人（</w:t>
      </w:r>
      <w:r>
        <w:rPr>
          <w:rFonts w:hint="eastAsia" w:ascii="仿宋" w:hAnsi="仿宋" w:eastAsia="仿宋" w:cs="仿宋"/>
          <w:kern w:val="0"/>
          <w:sz w:val="24"/>
        </w:rPr>
        <w:t>公章</w:t>
      </w:r>
      <w:r>
        <w:rPr>
          <w:rFonts w:hint="eastAsia" w:ascii="仿宋" w:hAnsi="仿宋" w:eastAsia="仿宋" w:cs="仿宋"/>
          <w:kern w:val="0"/>
          <w:sz w:val="24"/>
          <w:lang w:val="zh-CN"/>
        </w:rPr>
        <w:t>）：</w: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rPr>
          <w:rFonts w:ascii="仿宋" w:hAnsi="仿宋" w:eastAsia="仿宋" w:cs="仿宋"/>
          <w:kern w:val="0"/>
          <w:sz w:val="24"/>
        </w:rPr>
      </w:pPr>
      <w:r>
        <w:rPr>
          <w:rFonts w:hint="eastAsia" w:ascii="仿宋" w:hAnsi="仿宋" w:eastAsia="仿宋" w:cs="仿宋"/>
          <w:kern w:val="0"/>
          <w:sz w:val="24"/>
        </w:rPr>
        <w:t xml:space="preserve">                                             日期：  年  月   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（由供应商根据采购需求自行编制）</w:t>
      </w:r>
    </w:p>
    <w:p>
      <w:pPr>
        <w:spacing w:line="360" w:lineRule="auto"/>
        <w:rPr>
          <w:rFonts w:ascii="仿宋" w:hAnsi="仿宋" w:eastAsia="仿宋" w:cs="仿宋"/>
          <w:sz w:val="18"/>
          <w:szCs w:val="18"/>
        </w:rPr>
      </w:pPr>
    </w:p>
    <w:p>
      <w:pPr>
        <w:snapToGrid w:val="0"/>
        <w:spacing w:line="360" w:lineRule="auto"/>
        <w:ind w:right="960"/>
        <w:jc w:val="right"/>
        <w:rPr>
          <w:rFonts w:ascii="仿宋" w:hAnsi="仿宋" w:eastAsia="仿宋" w:cs="仿宋"/>
          <w:kern w:val="0"/>
          <w:sz w:val="24"/>
        </w:rPr>
      </w:pPr>
      <w:r>
        <w:rPr>
          <w:rFonts w:hint="eastAsia" w:ascii="仿宋" w:hAnsi="仿宋" w:eastAsia="仿宋" w:cs="仿宋"/>
          <w:kern w:val="0"/>
          <w:sz w:val="24"/>
          <w:lang w:val="zh-CN"/>
        </w:rPr>
        <w:t>磋商响应人（</w:t>
      </w:r>
      <w:r>
        <w:rPr>
          <w:rFonts w:hint="eastAsia" w:ascii="仿宋" w:hAnsi="仿宋" w:eastAsia="仿宋" w:cs="仿宋"/>
          <w:kern w:val="0"/>
          <w:sz w:val="24"/>
        </w:rPr>
        <w:t>公章</w:t>
      </w:r>
      <w:r>
        <w:rPr>
          <w:rFonts w:hint="eastAsia" w:ascii="仿宋" w:hAnsi="仿宋" w:eastAsia="仿宋" w:cs="仿宋"/>
          <w:kern w:val="0"/>
          <w:sz w:val="24"/>
          <w:lang w:val="zh-CN"/>
        </w:rPr>
        <w:t>）：</w: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360" w:lineRule="auto"/>
        <w:rPr>
          <w:rFonts w:ascii="仿宋" w:hAnsi="仿宋" w:eastAsia="仿宋" w:cs="仿宋"/>
          <w:b/>
          <w:bCs/>
          <w:sz w:val="18"/>
          <w:szCs w:val="18"/>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13、验收方案</w:t>
      </w:r>
    </w:p>
    <w:p>
      <w:pPr>
        <w:spacing w:line="360" w:lineRule="auto"/>
        <w:rPr>
          <w:rFonts w:ascii="仿宋" w:hAnsi="仿宋" w:eastAsia="仿宋" w:cs="仿宋"/>
          <w:sz w:val="24"/>
        </w:rPr>
      </w:pPr>
      <w:r>
        <w:rPr>
          <w:rFonts w:hint="eastAsia" w:ascii="仿宋" w:hAnsi="仿宋" w:eastAsia="仿宋" w:cs="仿宋"/>
          <w:sz w:val="24"/>
        </w:rPr>
        <w:t>（由供应商根据采购需求自行编制）</w:t>
      </w:r>
    </w:p>
    <w:p>
      <w:pPr>
        <w:spacing w:line="360" w:lineRule="auto"/>
        <w:jc w:val="center"/>
        <w:rPr>
          <w:rFonts w:ascii="仿宋" w:hAnsi="仿宋" w:eastAsia="仿宋" w:cs="仿宋"/>
          <w:sz w:val="24"/>
        </w:rPr>
      </w:pPr>
    </w:p>
    <w:p>
      <w:pPr>
        <w:snapToGrid w:val="0"/>
        <w:spacing w:line="360" w:lineRule="auto"/>
        <w:ind w:right="960"/>
        <w:jc w:val="right"/>
        <w:rPr>
          <w:rFonts w:ascii="仿宋" w:hAnsi="仿宋" w:eastAsia="仿宋" w:cs="仿宋"/>
          <w:kern w:val="0"/>
          <w:sz w:val="24"/>
        </w:rPr>
      </w:pPr>
      <w:r>
        <w:rPr>
          <w:rFonts w:hint="eastAsia" w:ascii="仿宋" w:hAnsi="仿宋" w:eastAsia="仿宋" w:cs="仿宋"/>
          <w:kern w:val="0"/>
          <w:sz w:val="24"/>
          <w:lang w:val="zh-CN"/>
        </w:rPr>
        <w:t>磋商响应人（</w:t>
      </w:r>
      <w:r>
        <w:rPr>
          <w:rFonts w:hint="eastAsia" w:ascii="仿宋" w:hAnsi="仿宋" w:eastAsia="仿宋" w:cs="仿宋"/>
          <w:kern w:val="0"/>
          <w:sz w:val="24"/>
        </w:rPr>
        <w:t>公章</w:t>
      </w:r>
      <w:r>
        <w:rPr>
          <w:rFonts w:hint="eastAsia" w:ascii="仿宋" w:hAnsi="仿宋" w:eastAsia="仿宋" w:cs="仿宋"/>
          <w:kern w:val="0"/>
          <w:sz w:val="24"/>
          <w:lang w:val="zh-CN"/>
        </w:rPr>
        <w:t>）：</w: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14、认为需要的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（由供应商根据采购需求自行编制）</w:t>
      </w:r>
    </w:p>
    <w:p>
      <w:pPr>
        <w:spacing w:line="360" w:lineRule="auto"/>
        <w:rPr>
          <w:rFonts w:ascii="仿宋" w:hAnsi="仿宋" w:eastAsia="仿宋" w:cs="仿宋"/>
          <w:sz w:val="24"/>
        </w:rPr>
      </w:pPr>
    </w:p>
    <w:p>
      <w:pPr>
        <w:snapToGrid w:val="0"/>
        <w:spacing w:line="360" w:lineRule="auto"/>
        <w:ind w:right="960"/>
        <w:jc w:val="right"/>
        <w:rPr>
          <w:rFonts w:ascii="仿宋" w:hAnsi="仿宋" w:eastAsia="仿宋" w:cs="仿宋"/>
          <w:kern w:val="0"/>
          <w:sz w:val="24"/>
        </w:rPr>
      </w:pPr>
      <w:r>
        <w:rPr>
          <w:rFonts w:hint="eastAsia" w:ascii="仿宋" w:hAnsi="仿宋" w:eastAsia="仿宋" w:cs="仿宋"/>
          <w:kern w:val="0"/>
          <w:sz w:val="24"/>
          <w:lang w:val="zh-CN"/>
        </w:rPr>
        <w:t>磋商响应人（</w:t>
      </w:r>
      <w:r>
        <w:rPr>
          <w:rFonts w:hint="eastAsia" w:ascii="仿宋" w:hAnsi="仿宋" w:eastAsia="仿宋" w:cs="仿宋"/>
          <w:kern w:val="0"/>
          <w:sz w:val="24"/>
        </w:rPr>
        <w:t>公章</w:t>
      </w:r>
      <w:r>
        <w:rPr>
          <w:rFonts w:hint="eastAsia" w:ascii="仿宋" w:hAnsi="仿宋" w:eastAsia="仿宋" w:cs="仿宋"/>
          <w:kern w:val="0"/>
          <w:sz w:val="24"/>
          <w:lang w:val="zh-CN"/>
        </w:rPr>
        <w:t>）：</w: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pacing w:line="360"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16</w:t>
      </w:r>
      <w:r>
        <w:rPr>
          <w:rFonts w:hint="eastAsia" w:ascii="仿宋" w:hAnsi="仿宋" w:eastAsia="仿宋" w:cs="仿宋"/>
          <w:b/>
          <w:kern w:val="0"/>
          <w:sz w:val="32"/>
          <w:szCs w:val="32"/>
          <w:lang w:val="zh-CN"/>
        </w:rPr>
        <w:t>、落实政府采购政策需满足的资格要求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（根据磋商公告落实政府采购政策需满足的资格要求选择提供相应的材料；未要求的，无需提供）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 xml:space="preserve">（附件）。 </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磋商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（项目名称）【磋商编号：（采购编号）】</w:t>
      </w:r>
      <w:r>
        <w:rPr>
          <w:rFonts w:hint="eastAsia" w:ascii="仿宋" w:hAnsi="仿宋" w:eastAsia="仿宋" w:cs="仿宋"/>
          <w:kern w:val="0"/>
          <w:sz w:val="24"/>
          <w:lang w:val="zh-CN"/>
        </w:rPr>
        <w:t xml:space="preserve">磋商。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，代表所有联合体成员负责磋商响应和合同实施阶段的主办、协调工作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授权代表根据磋商文件规定及磋商响应内容而对采购人、采购机构所作的任何合法承诺，包括书面澄清及相应等均对联合磋商各方产生约束力。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三、本次联合磋商中，分工如下：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六、有关本次联合磋商的其他事宜：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firstLine="5760" w:firstLineChars="2400"/>
        <w:jc w:val="right"/>
        <w:rPr>
          <w:rFonts w:ascii="仿宋" w:hAnsi="仿宋" w:eastAsia="仿宋" w:cs="仿宋"/>
          <w:kern w:val="0"/>
          <w:sz w:val="24"/>
          <w:lang w:val="zh-CN"/>
        </w:rPr>
      </w:pPr>
      <w:r>
        <w:rPr>
          <w:rFonts w:hint="eastAsia" w:ascii="仿宋" w:hAnsi="仿宋" w:eastAsia="仿宋" w:cs="仿宋"/>
          <w:kern w:val="0"/>
          <w:sz w:val="24"/>
          <w:lang w:val="zh-CN"/>
        </w:rPr>
        <w:t>……                                                 日期：   年   月    日</w:t>
      </w:r>
    </w:p>
    <w:p>
      <w:pPr>
        <w:pageBreakBefore/>
        <w:spacing w:line="360" w:lineRule="auto"/>
        <w:ind w:firstLine="482" w:firstLineChars="200"/>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，分包意向协议中中小企业合同金额应当达到磋商公告载明的比例；如果供应商本身提供所有标的均由中小企业制造或承接，视同符合了资格条件，无需再向中小企业分包，无需提供分包意向协议。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（项目名称）【磋商编号：（采购编号）】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jc w:val="left"/>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w:t>
      </w:r>
    </w:p>
    <w:p>
      <w:pPr>
        <w:snapToGrid w:val="0"/>
        <w:ind w:left="5758" w:leftChars="342" w:hanging="5040" w:hangingChars="2100"/>
        <w:jc w:val="right"/>
        <w:rPr>
          <w:rFonts w:ascii="仿宋" w:hAnsi="仿宋" w:eastAsia="仿宋" w:cs="仿宋"/>
          <w:kern w:val="0"/>
          <w:sz w:val="24"/>
          <w:lang w:val="zh-CN"/>
        </w:rPr>
      </w:pPr>
      <w:r>
        <w:rPr>
          <w:rFonts w:hint="eastAsia" w:ascii="仿宋" w:hAnsi="仿宋" w:eastAsia="仿宋" w:cs="仿宋"/>
          <w:kern w:val="0"/>
          <w:sz w:val="24"/>
          <w:lang w:val="zh-CN"/>
        </w:rPr>
        <w:t>供应商名称(电子签名)：</w:t>
      </w:r>
    </w:p>
    <w:p>
      <w:pPr>
        <w:snapToGrid w:val="0"/>
        <w:jc w:val="right"/>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ind w:firstLine="6000" w:firstLineChars="2500"/>
        <w:rPr>
          <w:rFonts w:ascii="仿宋" w:hAnsi="仿宋" w:eastAsia="仿宋" w:cs="仿宋"/>
          <w:kern w:val="0"/>
          <w:sz w:val="24"/>
          <w:lang w:val="zh-CN"/>
        </w:rPr>
      </w:pPr>
      <w:r>
        <w:rPr>
          <w:rFonts w:hint="eastAsia" w:ascii="仿宋" w:hAnsi="仿宋" w:eastAsia="仿宋" w:cs="仿宋"/>
          <w:kern w:val="0"/>
          <w:sz w:val="24"/>
          <w:lang w:val="zh-CN"/>
        </w:rPr>
        <w:t>……</w:t>
      </w:r>
    </w:p>
    <w:p>
      <w:pPr>
        <w:snapToGrid w:val="0"/>
        <w:jc w:val="right"/>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你方组织的（项目名称）项目【磋商编号：（采购编号）】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供应商（法定名称章）：</w:t>
      </w:r>
    </w:p>
    <w:p>
      <w:pPr>
        <w:ind w:right="907"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cs="仿宋"/>
          <w:b/>
          <w:bCs/>
          <w:sz w:val="24"/>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sz w:val="24"/>
        </w:rPr>
        <w:t>供应法定名称章（印模）                供应商“XX专用章”（印模）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snapToGrid w:val="0"/>
        <w:spacing w:line="360" w:lineRule="auto"/>
        <w:jc w:val="left"/>
        <w:rPr>
          <w:rFonts w:ascii="仿宋" w:hAnsi="仿宋" w:eastAsia="仿宋" w:cs="仿宋"/>
          <w:kern w:val="0"/>
          <w:sz w:val="24"/>
          <w:lang w:val="zh-CN"/>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磋商文件第二部分磋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right"/>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磋商文件第二部分磋商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供应商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jc w:val="right"/>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6" o:spt="75" type="#_x0000_t75" style="height:41.95pt;width:390.05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9">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供应商提供由省级以上监狱管理局、戒毒管理局（含新疆生产建设兵团）出具的属于监狱企业证明文件的，视同为小微企业。</w:t>
      </w:r>
    </w:p>
    <w:p>
      <w:pPr>
        <w:spacing w:line="360" w:lineRule="auto"/>
        <w:rPr>
          <w:rFonts w:ascii="仿宋" w:hAnsi="仿宋" w:eastAsia="仿宋" w:cs="仿宋"/>
          <w:kern w:val="0"/>
          <w:sz w:val="24"/>
          <w:lang w:val="zh-CN"/>
        </w:rPr>
      </w:pPr>
    </w:p>
    <w:p>
      <w:pPr>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beforeLines="100"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 邮编：</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88"/>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0" w:type="auto"/>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r>
        <w:rPr>
          <w:rFonts w:hint="eastAsia" w:ascii="仿宋" w:hAnsi="仿宋" w:eastAsia="仿宋" w:cs="仿宋"/>
          <w:kern w:val="0"/>
          <w:szCs w:val="21"/>
        </w:rPr>
        <w:br w:type="textWrapping"/>
      </w:r>
      <w:r>
        <w:rPr>
          <w:rFonts w:hint="eastAsia" w:ascii="仿宋" w:hAnsi="仿宋" w:eastAsia="仿宋" w:cs="仿宋"/>
          <w:kern w:val="0"/>
          <w:szCs w:val="21"/>
        </w:rPr>
        <w:t>    1.大型、中型和小型企业须同时满足所列指标的下限，否则下划一档；微型企业只须满足所列指标中的一项即可。 　　</w:t>
      </w:r>
      <w:r>
        <w:rPr>
          <w:rFonts w:hint="eastAsia" w:ascii="仿宋" w:hAnsi="仿宋" w:eastAsia="仿宋" w:cs="仿宋"/>
          <w:kern w:val="0"/>
          <w:szCs w:val="21"/>
        </w:rPr>
        <w:br w:type="textWrapping"/>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rPr>
        <w:br w:type="textWrapping"/>
      </w:r>
      <w:r>
        <w:rPr>
          <w:rFonts w:hint="eastAsia" w:ascii="仿宋" w:hAnsi="仿宋" w:eastAsia="仿宋" w:cs="仿宋"/>
          <w:kern w:val="0"/>
          <w:szCs w:val="21"/>
        </w:rPr>
        <w:t>    3.企业划分指标以现行统计制度为准。</w:t>
      </w:r>
      <w:r>
        <w:rPr>
          <w:rFonts w:hint="eastAsia" w:ascii="仿宋" w:hAnsi="仿宋" w:eastAsia="仿宋" w:cs="仿宋"/>
          <w:kern w:val="0"/>
          <w:szCs w:val="21"/>
        </w:rPr>
        <w:br w:type="textWrapping"/>
      </w:r>
      <w:r>
        <w:rPr>
          <w:rFonts w:hint="eastAsia" w:ascii="仿宋" w:hAnsi="仿宋" w:eastAsia="仿宋" w:cs="仿宋"/>
          <w:kern w:val="0"/>
          <w:szCs w:val="21"/>
        </w:rPr>
        <w:t>    （1）从业人员，是指期末从业人员数，没有期末从业人员数的，采用全年平均人员数代替。</w:t>
      </w:r>
      <w:r>
        <w:rPr>
          <w:rFonts w:hint="eastAsia" w:ascii="仿宋" w:hAnsi="仿宋" w:eastAsia="仿宋" w:cs="仿宋"/>
          <w:kern w:val="0"/>
          <w:szCs w:val="21"/>
        </w:rPr>
        <w:br w:type="textWrapping"/>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rPr>
        <w:br w:type="textWrapping"/>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ind w:left="-424" w:leftChars="-202"/>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r>
        <w:rPr>
          <w:rFonts w:hint="eastAsia" w:ascii="仿宋" w:hAnsi="仿宋" w:eastAsia="仿宋" w:cs="仿宋"/>
          <w:kern w:val="0"/>
          <w:sz w:val="18"/>
          <w:szCs w:val="18"/>
        </w:rPr>
        <w:br w:type="textWrapping"/>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中国证券监督管理委员会中国保险监督管理委员会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kern w:val="0"/>
          <w:szCs w:val="21"/>
        </w:rPr>
        <w:br w:type="textWrapping"/>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rPr>
        <w:br w:type="textWrapping"/>
      </w:r>
      <w:r>
        <w:rPr>
          <w:rFonts w:hint="eastAsia" w:ascii="仿宋" w:hAnsi="仿宋" w:eastAsia="仿宋" w:cs="仿宋"/>
          <w:kern w:val="0"/>
          <w:szCs w:val="21"/>
        </w:rPr>
        <w:t>    二、 适用范围。本规定适用于从事《国民经济行业分类》(GB/T4754-2011)中J门类（金融业）活动的企业。</w:t>
      </w:r>
      <w:r>
        <w:rPr>
          <w:rFonts w:hint="eastAsia" w:ascii="仿宋" w:hAnsi="仿宋" w:eastAsia="仿宋" w:cs="仿宋"/>
          <w:kern w:val="0"/>
          <w:szCs w:val="21"/>
        </w:rPr>
        <w:br w:type="textWrapping"/>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rPr>
        <w:br w:type="textWrapping"/>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rPr>
        <w:br w:type="textWrapping"/>
      </w:r>
      <w:r>
        <w:rPr>
          <w:rFonts w:hint="eastAsia" w:ascii="仿宋" w:hAnsi="仿宋" w:eastAsia="仿宋" w:cs="仿宋"/>
          <w:kern w:val="0"/>
          <w:szCs w:val="21"/>
        </w:rPr>
        <w:t>    五、指标标准值。依据指标标准值，将各类金融业企业划分为大、中、小、微四个规模类型，中型企业标准上限及以上的为大型企业。</w:t>
      </w:r>
      <w:r>
        <w:rPr>
          <w:rFonts w:hint="eastAsia" w:ascii="仿宋" w:hAnsi="仿宋" w:eastAsia="仿宋" w:cs="仿宋"/>
          <w:kern w:val="0"/>
          <w:szCs w:val="21"/>
        </w:rPr>
        <w:br w:type="textWrapping"/>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rPr>
        <w:br w:type="textWrapping"/>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kern w:val="0"/>
          <w:szCs w:val="21"/>
        </w:rPr>
        <w:br w:type="textWrapping"/>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rPr>
        <w:br w:type="textWrapping"/>
      </w:r>
      <w:r>
        <w:rPr>
          <w:rFonts w:hint="eastAsia" w:ascii="仿宋" w:hAnsi="仿宋" w:eastAsia="仿宋" w:cs="仿宋"/>
          <w:kern w:val="0"/>
          <w:szCs w:val="21"/>
        </w:rPr>
        <w:t>    九、 融资担保公司参照本规定中“除贷款公司、小额贷款公司、典当行以外的其他金融机构”标准划型。</w:t>
      </w:r>
      <w:r>
        <w:rPr>
          <w:rFonts w:hint="eastAsia" w:ascii="仿宋" w:hAnsi="仿宋" w:eastAsia="仿宋" w:cs="仿宋"/>
          <w:kern w:val="0"/>
          <w:szCs w:val="21"/>
        </w:rPr>
        <w:br w:type="textWrapping"/>
      </w:r>
      <w:r>
        <w:rPr>
          <w:rFonts w:hint="eastAsia" w:ascii="仿宋" w:hAnsi="仿宋" w:eastAsia="仿宋" w:cs="仿宋"/>
          <w:kern w:val="0"/>
          <w:szCs w:val="21"/>
        </w:rPr>
        <w:t>    十、本规定由人民银行会同银监会，证监会、保监会和统计局负责解释。</w:t>
      </w:r>
      <w:r>
        <w:rPr>
          <w:rFonts w:hint="eastAsia" w:ascii="仿宋" w:hAnsi="仿宋" w:eastAsia="仿宋" w:cs="仿宋"/>
          <w:kern w:val="0"/>
          <w:szCs w:val="21"/>
        </w:rPr>
        <w:br w:type="textWrapping"/>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88"/>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0" w:type="auto"/>
            <w:vMerge w:val="continue"/>
            <w:vAlign w:val="center"/>
          </w:tcPr>
          <w:p>
            <w:pPr>
              <w:widowControl/>
              <w:jc w:val="left"/>
              <w:rPr>
                <w:rFonts w:ascii="仿宋" w:hAnsi="仿宋" w:eastAsia="仿宋" w:cs="仿宋"/>
                <w:kern w:val="0"/>
                <w:sz w:val="24"/>
              </w:rPr>
            </w:pPr>
          </w:p>
        </w:tc>
        <w:tc>
          <w:tcPr>
            <w:tcW w:w="0" w:type="auto"/>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rPr>
          <w:rFonts w:ascii="仿宋" w:hAnsi="仿宋" w:eastAsia="仿宋" w:cs="仿宋"/>
          <w:kern w:val="0"/>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23、代理服务费支付承诺书</w:t>
      </w:r>
    </w:p>
    <w:p>
      <w:pPr>
        <w:jc w:val="center"/>
        <w:rPr>
          <w:rFonts w:ascii="仿宋" w:hAnsi="仿宋" w:eastAsia="仿宋" w:cs="仿宋"/>
          <w:b/>
          <w:bCs/>
          <w:sz w:val="30"/>
          <w:szCs w:val="30"/>
        </w:rPr>
      </w:pPr>
    </w:p>
    <w:p>
      <w:pPr>
        <w:jc w:val="center"/>
        <w:rPr>
          <w:rFonts w:ascii="仿宋" w:hAnsi="仿宋" w:eastAsia="仿宋" w:cs="仿宋"/>
          <w:szCs w:val="21"/>
        </w:rPr>
      </w:pPr>
      <w:r>
        <w:rPr>
          <w:rFonts w:hint="eastAsia" w:ascii="仿宋" w:hAnsi="仿宋" w:eastAsia="仿宋" w:cs="仿宋"/>
          <w:b/>
          <w:bCs/>
          <w:sz w:val="30"/>
          <w:szCs w:val="30"/>
        </w:rPr>
        <w:t>代理服务费支付承诺书</w:t>
      </w:r>
    </w:p>
    <w:p>
      <w:pPr>
        <w:snapToGrid w:val="0"/>
        <w:spacing w:before="50" w:after="50" w:line="360" w:lineRule="auto"/>
        <w:rPr>
          <w:rFonts w:ascii="仿宋" w:hAnsi="仿宋" w:eastAsia="仿宋" w:cs="仿宋"/>
          <w:spacing w:val="20"/>
          <w:sz w:val="24"/>
          <w:u w:val="single"/>
        </w:rPr>
      </w:pPr>
    </w:p>
    <w:p>
      <w:pPr>
        <w:spacing w:before="50" w:after="50" w:line="360" w:lineRule="auto"/>
        <w:contextualSpacing/>
        <w:rPr>
          <w:rFonts w:ascii="仿宋" w:hAnsi="仿宋" w:eastAsia="仿宋" w:cs="仿宋"/>
          <w:spacing w:val="20"/>
          <w:sz w:val="24"/>
        </w:rPr>
      </w:pPr>
      <w:r>
        <w:rPr>
          <w:rFonts w:hint="eastAsia" w:ascii="仿宋" w:hAnsi="仿宋" w:eastAsia="仿宋" w:cs="仿宋"/>
          <w:spacing w:val="20"/>
          <w:sz w:val="24"/>
        </w:rPr>
        <w:t xml:space="preserve">致： </w:t>
      </w:r>
    </w:p>
    <w:p>
      <w:pPr>
        <w:spacing w:before="50" w:after="50" w:line="360" w:lineRule="auto"/>
        <w:ind w:firstLine="630"/>
        <w:contextualSpacing/>
        <w:rPr>
          <w:rFonts w:ascii="仿宋" w:hAnsi="仿宋" w:eastAsia="仿宋" w:cs="仿宋"/>
          <w:spacing w:val="20"/>
          <w:sz w:val="24"/>
        </w:rPr>
      </w:pPr>
      <w:r>
        <w:rPr>
          <w:rFonts w:hint="eastAsia" w:ascii="仿宋" w:hAnsi="仿宋" w:eastAsia="仿宋" w:cs="仿宋"/>
          <w:spacing w:val="20"/>
          <w:sz w:val="24"/>
        </w:rPr>
        <w:t>我公司已认真阅读了磋商文件（项目编号：          ）并在此承诺：</w:t>
      </w:r>
    </w:p>
    <w:p>
      <w:pPr>
        <w:spacing w:before="50" w:after="50" w:line="360" w:lineRule="auto"/>
        <w:ind w:firstLine="630"/>
        <w:contextualSpacing/>
        <w:rPr>
          <w:rFonts w:ascii="仿宋" w:hAnsi="仿宋" w:eastAsia="仿宋" w:cs="仿宋"/>
          <w:sz w:val="24"/>
        </w:rPr>
      </w:pPr>
      <w:r>
        <w:rPr>
          <w:rFonts w:hint="eastAsia" w:ascii="仿宋" w:hAnsi="仿宋" w:eastAsia="仿宋" w:cs="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line="360" w:lineRule="auto"/>
        <w:rPr>
          <w:rFonts w:ascii="仿宋" w:hAnsi="仿宋" w:eastAsia="仿宋" w:cs="仿宋"/>
          <w:sz w:val="24"/>
          <w:szCs w:val="20"/>
        </w:rPr>
      </w:pPr>
      <w:r>
        <w:rPr>
          <w:rFonts w:hint="eastAsia" w:ascii="仿宋" w:hAnsi="仿宋" w:eastAsia="仿宋" w:cs="仿宋"/>
          <w:sz w:val="24"/>
        </w:rPr>
        <w:t>承诺方（投标人）法定名称：__________</w:t>
      </w:r>
      <w:r>
        <w:rPr>
          <w:rFonts w:hint="eastAsia" w:ascii="仿宋" w:hAnsi="仿宋" w:eastAsia="仿宋" w:cs="仿宋"/>
          <w:sz w:val="24"/>
          <w:u w:val="single"/>
        </w:rPr>
        <w:t>（盖章）</w:t>
      </w:r>
      <w:r>
        <w:rPr>
          <w:rFonts w:hint="eastAsia" w:ascii="仿宋" w:hAnsi="仿宋" w:eastAsia="仿宋" w:cs="仿宋"/>
          <w:sz w:val="24"/>
        </w:rPr>
        <w:t>_________</w:t>
      </w:r>
    </w:p>
    <w:p>
      <w:pPr>
        <w:snapToGrid w:val="0"/>
        <w:spacing w:line="360" w:lineRule="auto"/>
        <w:rPr>
          <w:rFonts w:ascii="仿宋" w:hAnsi="仿宋" w:eastAsia="仿宋" w:cs="仿宋"/>
          <w:sz w:val="24"/>
        </w:rPr>
      </w:pPr>
      <w:r>
        <w:rPr>
          <w:rFonts w:hint="eastAsia" w:ascii="仿宋" w:hAnsi="仿宋" w:eastAsia="仿宋" w:cs="仿宋"/>
          <w:sz w:val="24"/>
        </w:rPr>
        <w:t xml:space="preserve">承诺方（投标人）法定地址：___________________ </w:t>
      </w:r>
    </w:p>
    <w:p>
      <w:pPr>
        <w:snapToGrid w:val="0"/>
        <w:spacing w:before="50" w:after="50" w:line="360" w:lineRule="auto"/>
        <w:rPr>
          <w:rFonts w:ascii="仿宋" w:hAnsi="仿宋" w:eastAsia="仿宋" w:cs="仿宋"/>
          <w:sz w:val="24"/>
          <w:u w:val="single"/>
        </w:rPr>
      </w:pPr>
      <w:r>
        <w:rPr>
          <w:rFonts w:hint="eastAsia" w:ascii="仿宋" w:hAnsi="仿宋" w:eastAsia="仿宋" w:cs="仿宋"/>
          <w:sz w:val="24"/>
        </w:rPr>
        <w:t>联系电话：    联系传真：</w:t>
      </w:r>
    </w:p>
    <w:p>
      <w:pPr>
        <w:snapToGrid w:val="0"/>
        <w:spacing w:before="50" w:after="50" w:line="360" w:lineRule="auto"/>
        <w:rPr>
          <w:rFonts w:ascii="仿宋" w:hAnsi="仿宋" w:eastAsia="仿宋" w:cs="仿宋"/>
          <w:sz w:val="24"/>
        </w:rPr>
      </w:pPr>
      <w:r>
        <w:rPr>
          <w:rFonts w:hint="eastAsia" w:ascii="仿宋" w:hAnsi="仿宋" w:eastAsia="仿宋" w:cs="仿宋"/>
          <w:sz w:val="24"/>
        </w:rPr>
        <w:t>承诺日期：_____年___月___日</w:t>
      </w:r>
    </w:p>
    <w:p>
      <w:pPr>
        <w:rPr>
          <w:rFonts w:ascii="仿宋" w:hAnsi="仿宋" w:eastAsia="仿宋" w:cs="仿宋"/>
          <w:sz w:val="24"/>
        </w:rPr>
      </w:pPr>
    </w:p>
    <w:p>
      <w:pPr>
        <w:spacing w:line="360" w:lineRule="auto"/>
        <w:rPr>
          <w:rFonts w:ascii="仿宋" w:hAnsi="仿宋" w:eastAsia="仿宋" w:cs="仿宋"/>
          <w:kern w:val="0"/>
          <w:sz w:val="24"/>
        </w:rPr>
      </w:pPr>
    </w:p>
    <w:sectPr>
      <w:headerReference r:id="rId12" w:type="default"/>
      <w:footerReference r:id="rId13" w:type="default"/>
      <w:footerReference r:id="rId14" w:type="even"/>
      <w:pgSz w:w="11906" w:h="16838"/>
      <w:pgMar w:top="1474" w:right="1587" w:bottom="1474" w:left="1587" w:header="1021" w:footer="90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swiss"/>
    <w:pitch w:val="default"/>
    <w:sig w:usb0="80000287" w:usb1="2ACF3C50" w:usb2="00000016" w:usb3="00000000" w:csb0="0004001F" w:csb1="00000000"/>
  </w:font>
  <w:font w:name="Adobe 繁黑體 Std B">
    <w:altName w:val="黑体"/>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56"/>
                </w:pPr>
                <w:r>
                  <w:fldChar w:fldCharType="begin"/>
                </w:r>
                <w:r>
                  <w:instrText xml:space="preserve"> PAGE  \* MERGEFORMAT </w:instrText>
                </w:r>
                <w:r>
                  <w:fldChar w:fldCharType="separate"/>
                </w:r>
                <w:r>
                  <w:t>33</w:t>
                </w:r>
                <w:r>
                  <w:fldChar w:fldCharType="end"/>
                </w:r>
              </w:p>
            </w:txbxContent>
          </v:textbox>
        </v:shape>
      </w:pict>
    </w:r>
  </w:p>
  <w:p>
    <w:pPr>
      <w:pStyle w:val="5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pict>
        <v:shape id="_x0000_s2055" o:spid="_x0000_s2055"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56"/>
                </w:pPr>
                <w:r>
                  <w:fldChar w:fldCharType="begin"/>
                </w:r>
                <w:r>
                  <w:instrText xml:space="preserve"> PAGE  \* MERGEFORMAT </w:instrText>
                </w:r>
                <w:r>
                  <w:fldChar w:fldCharType="separate"/>
                </w:r>
                <w:r>
                  <w:t>34</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仿宋_GB2312" w:eastAsia="仿宋_GB2312"/>
        <w:kern w:val="0"/>
      </w:rPr>
    </w:pPr>
    <w:r>
      <w:pict>
        <v:shape id="_x0000_s2056" o:spid="_x0000_s2056"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56"/>
                </w:pPr>
                <w:r>
                  <w:fldChar w:fldCharType="begin"/>
                </w:r>
                <w:r>
                  <w:instrText xml:space="preserve"> PAGE  \* MERGEFORMAT </w:instrText>
                </w:r>
                <w:r>
                  <w:fldChar w:fldCharType="separate"/>
                </w:r>
                <w:r>
                  <w:t>47</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92"/>
      </w:rPr>
    </w:pPr>
    <w:r>
      <w:fldChar w:fldCharType="begin"/>
    </w:r>
    <w:r>
      <w:rPr>
        <w:rStyle w:val="92"/>
      </w:rPr>
      <w:instrText xml:space="preserve">PAGE  </w:instrText>
    </w:r>
    <w:r>
      <w:fldChar w:fldCharType="end"/>
    </w:r>
  </w:p>
  <w:p>
    <w:pPr>
      <w:pStyle w:val="5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tabs>
        <w:tab w:val="left" w:pos="5573"/>
        <w:tab w:val="clear" w:pos="4153"/>
      </w:tabs>
      <w:jc w:val="both"/>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6FEC81"/>
    <w:multiLevelType w:val="singleLevel"/>
    <w:tmpl w:val="D96FEC81"/>
    <w:lvl w:ilvl="0" w:tentative="0">
      <w:start w:val="1"/>
      <w:numFmt w:val="chineseCounting"/>
      <w:suff w:val="nothing"/>
      <w:lvlText w:val="%1、"/>
      <w:lvlJc w:val="left"/>
      <w:rPr>
        <w:rFonts w:hint="eastAsia"/>
      </w:rPr>
    </w:lvl>
  </w:abstractNum>
  <w:abstractNum w:abstractNumId="1">
    <w:nsid w:val="042B19E7"/>
    <w:multiLevelType w:val="multilevel"/>
    <w:tmpl w:val="042B19E7"/>
    <w:lvl w:ilvl="0" w:tentative="0">
      <w:start w:val="1"/>
      <w:numFmt w:val="chineseCountingThousand"/>
      <w:lvlText w:val="第%1章"/>
      <w:lvlJc w:val="left"/>
      <w:pPr>
        <w:ind w:left="425" w:hanging="425"/>
      </w:pPr>
      <w:rPr>
        <w:rFonts w:hint="eastAsia"/>
      </w:rPr>
    </w:lvl>
    <w:lvl w:ilvl="1" w:tentative="0">
      <w:start w:val="1"/>
      <w:numFmt w:val="decimal"/>
      <w:pStyle w:val="285"/>
      <w:isLgl/>
      <w:lvlText w:val="%1.%2"/>
      <w:lvlJc w:val="left"/>
      <w:pPr>
        <w:ind w:left="630" w:hanging="567"/>
      </w:pPr>
      <w:rPr>
        <w:rFonts w:hint="default" w:ascii="Times New Roman" w:hAnsi="Times New Roman" w:cs="Times New Roman"/>
      </w:rPr>
    </w:lvl>
    <w:lvl w:ilvl="2" w:tentative="0">
      <w:start w:val="1"/>
      <w:numFmt w:val="decimal"/>
      <w:pStyle w:val="283"/>
      <w:isLgl/>
      <w:lvlText w:val="%1.%2.%3"/>
      <w:lvlJc w:val="left"/>
      <w:pPr>
        <w:ind w:left="567" w:hanging="567"/>
      </w:pPr>
      <w:rPr>
        <w:rFonts w:hint="default" w:ascii="Times New Roman" w:hAnsi="Times New Roman" w:cs="Times New Roman"/>
        <w:b/>
      </w:rPr>
    </w:lvl>
    <w:lvl w:ilvl="3" w:tentative="0">
      <w:start w:val="1"/>
      <w:numFmt w:val="decimal"/>
      <w:pStyle w:val="284"/>
      <w:isLgl/>
      <w:lvlText w:val="%1.%2.%3.%4"/>
      <w:lvlJc w:val="left"/>
      <w:pPr>
        <w:ind w:left="1560" w:firstLine="0"/>
      </w:pPr>
      <w:rPr>
        <w:rFonts w:hint="default" w:ascii="Times New Roman" w:hAnsi="Times New Roman" w:cs="Times New Roman"/>
        <w:b/>
        <w:sz w:val="28"/>
        <w:szCs w:val="28"/>
      </w:rPr>
    </w:lvl>
    <w:lvl w:ilvl="4" w:tentative="0">
      <w:start w:val="1"/>
      <w:numFmt w:val="decimal"/>
      <w:isLgl/>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859CA57"/>
    <w:multiLevelType w:val="singleLevel"/>
    <w:tmpl w:val="0859CA57"/>
    <w:lvl w:ilvl="0" w:tentative="0">
      <w:start w:val="2"/>
      <w:numFmt w:val="decimal"/>
      <w:suff w:val="nothing"/>
      <w:lvlText w:val="%1、"/>
      <w:lvlJc w:val="left"/>
      <w:pPr>
        <w:ind w:left="841" w:firstLine="0"/>
      </w:pPr>
    </w:lvl>
  </w:abstractNum>
  <w:abstractNum w:abstractNumId="3">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226"/>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4">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1EC4"/>
    <w:rsid w:val="00011630"/>
    <w:rsid w:val="00013CF7"/>
    <w:rsid w:val="00016985"/>
    <w:rsid w:val="00017CD8"/>
    <w:rsid w:val="0002203D"/>
    <w:rsid w:val="00022F99"/>
    <w:rsid w:val="00023B95"/>
    <w:rsid w:val="0002468D"/>
    <w:rsid w:val="000302B4"/>
    <w:rsid w:val="00031F75"/>
    <w:rsid w:val="00033C3F"/>
    <w:rsid w:val="00033F8C"/>
    <w:rsid w:val="000405DB"/>
    <w:rsid w:val="00044F24"/>
    <w:rsid w:val="00051C47"/>
    <w:rsid w:val="000529D9"/>
    <w:rsid w:val="00054B5B"/>
    <w:rsid w:val="00055CF7"/>
    <w:rsid w:val="00055F37"/>
    <w:rsid w:val="0006044E"/>
    <w:rsid w:val="00065EFB"/>
    <w:rsid w:val="00066686"/>
    <w:rsid w:val="00071AC2"/>
    <w:rsid w:val="00075000"/>
    <w:rsid w:val="0008089E"/>
    <w:rsid w:val="00080906"/>
    <w:rsid w:val="0008127C"/>
    <w:rsid w:val="0008141C"/>
    <w:rsid w:val="00083E11"/>
    <w:rsid w:val="00083E93"/>
    <w:rsid w:val="00091B62"/>
    <w:rsid w:val="000933A2"/>
    <w:rsid w:val="000946C7"/>
    <w:rsid w:val="00094C02"/>
    <w:rsid w:val="00097868"/>
    <w:rsid w:val="000A1328"/>
    <w:rsid w:val="000A15C6"/>
    <w:rsid w:val="000A1B7B"/>
    <w:rsid w:val="000A234C"/>
    <w:rsid w:val="000A452B"/>
    <w:rsid w:val="000A45D5"/>
    <w:rsid w:val="000A4A37"/>
    <w:rsid w:val="000A4F47"/>
    <w:rsid w:val="000A560E"/>
    <w:rsid w:val="000A773B"/>
    <w:rsid w:val="000B3CF1"/>
    <w:rsid w:val="000B4129"/>
    <w:rsid w:val="000B625B"/>
    <w:rsid w:val="000B731B"/>
    <w:rsid w:val="000C0894"/>
    <w:rsid w:val="000C1324"/>
    <w:rsid w:val="000C1CFA"/>
    <w:rsid w:val="000C1F2F"/>
    <w:rsid w:val="000C1F3C"/>
    <w:rsid w:val="000C3344"/>
    <w:rsid w:val="000C54AC"/>
    <w:rsid w:val="000D07A3"/>
    <w:rsid w:val="000D110F"/>
    <w:rsid w:val="000D318C"/>
    <w:rsid w:val="000D47FA"/>
    <w:rsid w:val="000D4A39"/>
    <w:rsid w:val="000D6BF0"/>
    <w:rsid w:val="000E02BF"/>
    <w:rsid w:val="000E4A4F"/>
    <w:rsid w:val="000E62E9"/>
    <w:rsid w:val="000E7296"/>
    <w:rsid w:val="000F1E27"/>
    <w:rsid w:val="000F4B86"/>
    <w:rsid w:val="000F7EA8"/>
    <w:rsid w:val="0010250A"/>
    <w:rsid w:val="001075FE"/>
    <w:rsid w:val="00112B08"/>
    <w:rsid w:val="00112C9F"/>
    <w:rsid w:val="001131F0"/>
    <w:rsid w:val="00113FB1"/>
    <w:rsid w:val="0011482C"/>
    <w:rsid w:val="00114C81"/>
    <w:rsid w:val="00116EDA"/>
    <w:rsid w:val="00117A8C"/>
    <w:rsid w:val="0012537A"/>
    <w:rsid w:val="00125579"/>
    <w:rsid w:val="001308EC"/>
    <w:rsid w:val="001315FE"/>
    <w:rsid w:val="0013448C"/>
    <w:rsid w:val="001345B3"/>
    <w:rsid w:val="00135B0A"/>
    <w:rsid w:val="00137525"/>
    <w:rsid w:val="0014682D"/>
    <w:rsid w:val="001541C3"/>
    <w:rsid w:val="0015597B"/>
    <w:rsid w:val="00157269"/>
    <w:rsid w:val="00163413"/>
    <w:rsid w:val="00164906"/>
    <w:rsid w:val="00165D74"/>
    <w:rsid w:val="00166825"/>
    <w:rsid w:val="00166CA4"/>
    <w:rsid w:val="00167436"/>
    <w:rsid w:val="001676D0"/>
    <w:rsid w:val="00167778"/>
    <w:rsid w:val="00167E15"/>
    <w:rsid w:val="001708E1"/>
    <w:rsid w:val="001722D3"/>
    <w:rsid w:val="00175AED"/>
    <w:rsid w:val="001763A3"/>
    <w:rsid w:val="0017701B"/>
    <w:rsid w:val="00177909"/>
    <w:rsid w:val="001814C3"/>
    <w:rsid w:val="001818C0"/>
    <w:rsid w:val="00181BD7"/>
    <w:rsid w:val="001841D9"/>
    <w:rsid w:val="00184C15"/>
    <w:rsid w:val="00185200"/>
    <w:rsid w:val="00187AB4"/>
    <w:rsid w:val="00190DB7"/>
    <w:rsid w:val="001910D8"/>
    <w:rsid w:val="00191263"/>
    <w:rsid w:val="00191706"/>
    <w:rsid w:val="00191EE1"/>
    <w:rsid w:val="001920DA"/>
    <w:rsid w:val="00193494"/>
    <w:rsid w:val="00193A8F"/>
    <w:rsid w:val="00196147"/>
    <w:rsid w:val="001A07EE"/>
    <w:rsid w:val="001A0C24"/>
    <w:rsid w:val="001A2699"/>
    <w:rsid w:val="001A2D7A"/>
    <w:rsid w:val="001A6D6F"/>
    <w:rsid w:val="001B2770"/>
    <w:rsid w:val="001B3B94"/>
    <w:rsid w:val="001B43A9"/>
    <w:rsid w:val="001B44CE"/>
    <w:rsid w:val="001B485F"/>
    <w:rsid w:val="001B63A8"/>
    <w:rsid w:val="001B723B"/>
    <w:rsid w:val="001C07C7"/>
    <w:rsid w:val="001C353C"/>
    <w:rsid w:val="001C75A7"/>
    <w:rsid w:val="001D15E2"/>
    <w:rsid w:val="001D24BB"/>
    <w:rsid w:val="001D5077"/>
    <w:rsid w:val="001D50EB"/>
    <w:rsid w:val="001D6ED7"/>
    <w:rsid w:val="001E053C"/>
    <w:rsid w:val="001E3B20"/>
    <w:rsid w:val="001E40A4"/>
    <w:rsid w:val="001E4A9F"/>
    <w:rsid w:val="001E5080"/>
    <w:rsid w:val="001E52C9"/>
    <w:rsid w:val="001E589F"/>
    <w:rsid w:val="001E61D6"/>
    <w:rsid w:val="001E6F0D"/>
    <w:rsid w:val="001E7313"/>
    <w:rsid w:val="001F24ED"/>
    <w:rsid w:val="001F429B"/>
    <w:rsid w:val="001F43C6"/>
    <w:rsid w:val="001F4C63"/>
    <w:rsid w:val="001F7E31"/>
    <w:rsid w:val="0020567D"/>
    <w:rsid w:val="002056F9"/>
    <w:rsid w:val="00207722"/>
    <w:rsid w:val="00207CB8"/>
    <w:rsid w:val="0021191D"/>
    <w:rsid w:val="00212540"/>
    <w:rsid w:val="00213DEE"/>
    <w:rsid w:val="002156C6"/>
    <w:rsid w:val="00216329"/>
    <w:rsid w:val="002163AB"/>
    <w:rsid w:val="0021713D"/>
    <w:rsid w:val="00221E4B"/>
    <w:rsid w:val="002243F2"/>
    <w:rsid w:val="0022536C"/>
    <w:rsid w:val="0022707F"/>
    <w:rsid w:val="00230AD8"/>
    <w:rsid w:val="002312D8"/>
    <w:rsid w:val="00231CB7"/>
    <w:rsid w:val="00234385"/>
    <w:rsid w:val="00234F98"/>
    <w:rsid w:val="002358A3"/>
    <w:rsid w:val="0023638E"/>
    <w:rsid w:val="00240FC2"/>
    <w:rsid w:val="002465DB"/>
    <w:rsid w:val="00246854"/>
    <w:rsid w:val="0024689F"/>
    <w:rsid w:val="002476B5"/>
    <w:rsid w:val="002479FE"/>
    <w:rsid w:val="00247AB8"/>
    <w:rsid w:val="00254538"/>
    <w:rsid w:val="00255923"/>
    <w:rsid w:val="002635DF"/>
    <w:rsid w:val="00264FFB"/>
    <w:rsid w:val="0026541B"/>
    <w:rsid w:val="00265978"/>
    <w:rsid w:val="00280588"/>
    <w:rsid w:val="00281424"/>
    <w:rsid w:val="00281809"/>
    <w:rsid w:val="002860D2"/>
    <w:rsid w:val="00287196"/>
    <w:rsid w:val="00287945"/>
    <w:rsid w:val="002931F6"/>
    <w:rsid w:val="002945E5"/>
    <w:rsid w:val="002A0008"/>
    <w:rsid w:val="002A0921"/>
    <w:rsid w:val="002A0A11"/>
    <w:rsid w:val="002A13E9"/>
    <w:rsid w:val="002A163B"/>
    <w:rsid w:val="002A168D"/>
    <w:rsid w:val="002A446A"/>
    <w:rsid w:val="002A4A75"/>
    <w:rsid w:val="002A5617"/>
    <w:rsid w:val="002A6EB3"/>
    <w:rsid w:val="002A7057"/>
    <w:rsid w:val="002B0873"/>
    <w:rsid w:val="002B186A"/>
    <w:rsid w:val="002B4A4B"/>
    <w:rsid w:val="002B6B66"/>
    <w:rsid w:val="002C0560"/>
    <w:rsid w:val="002C17AB"/>
    <w:rsid w:val="002C1DE8"/>
    <w:rsid w:val="002C2C53"/>
    <w:rsid w:val="002C7825"/>
    <w:rsid w:val="002E35C4"/>
    <w:rsid w:val="002E4A64"/>
    <w:rsid w:val="002E4DCA"/>
    <w:rsid w:val="002E7ADA"/>
    <w:rsid w:val="002F34ED"/>
    <w:rsid w:val="002F3755"/>
    <w:rsid w:val="002F4C86"/>
    <w:rsid w:val="003006C3"/>
    <w:rsid w:val="00301910"/>
    <w:rsid w:val="00301CAD"/>
    <w:rsid w:val="00301E85"/>
    <w:rsid w:val="00302514"/>
    <w:rsid w:val="00303BDF"/>
    <w:rsid w:val="00307917"/>
    <w:rsid w:val="00310180"/>
    <w:rsid w:val="00312BCA"/>
    <w:rsid w:val="00316329"/>
    <w:rsid w:val="00316D33"/>
    <w:rsid w:val="0032789C"/>
    <w:rsid w:val="003300D6"/>
    <w:rsid w:val="00333844"/>
    <w:rsid w:val="0033399E"/>
    <w:rsid w:val="00334C4B"/>
    <w:rsid w:val="00334E2D"/>
    <w:rsid w:val="00337E6B"/>
    <w:rsid w:val="00343810"/>
    <w:rsid w:val="00345884"/>
    <w:rsid w:val="00345E9C"/>
    <w:rsid w:val="00350721"/>
    <w:rsid w:val="00352DA6"/>
    <w:rsid w:val="00356036"/>
    <w:rsid w:val="00363DBF"/>
    <w:rsid w:val="00367EAB"/>
    <w:rsid w:val="003705B1"/>
    <w:rsid w:val="003715C1"/>
    <w:rsid w:val="00371D98"/>
    <w:rsid w:val="00371F86"/>
    <w:rsid w:val="0037368A"/>
    <w:rsid w:val="0037444C"/>
    <w:rsid w:val="00375107"/>
    <w:rsid w:val="0037517D"/>
    <w:rsid w:val="0037674C"/>
    <w:rsid w:val="00380385"/>
    <w:rsid w:val="00380E37"/>
    <w:rsid w:val="00382701"/>
    <w:rsid w:val="003830C1"/>
    <w:rsid w:val="00384E3C"/>
    <w:rsid w:val="0039130B"/>
    <w:rsid w:val="00393589"/>
    <w:rsid w:val="00393A4C"/>
    <w:rsid w:val="00393B42"/>
    <w:rsid w:val="00395065"/>
    <w:rsid w:val="003970E3"/>
    <w:rsid w:val="003A1DB9"/>
    <w:rsid w:val="003A4702"/>
    <w:rsid w:val="003A5D76"/>
    <w:rsid w:val="003A7E5C"/>
    <w:rsid w:val="003B008A"/>
    <w:rsid w:val="003B2B02"/>
    <w:rsid w:val="003B3937"/>
    <w:rsid w:val="003C5746"/>
    <w:rsid w:val="003C6195"/>
    <w:rsid w:val="003C637D"/>
    <w:rsid w:val="003D1A22"/>
    <w:rsid w:val="003E074D"/>
    <w:rsid w:val="003E07BD"/>
    <w:rsid w:val="003E49E2"/>
    <w:rsid w:val="003E4AF6"/>
    <w:rsid w:val="003E69FD"/>
    <w:rsid w:val="003E6C02"/>
    <w:rsid w:val="003F021D"/>
    <w:rsid w:val="003F0D67"/>
    <w:rsid w:val="003F1403"/>
    <w:rsid w:val="003F2602"/>
    <w:rsid w:val="003F4084"/>
    <w:rsid w:val="003F5EB6"/>
    <w:rsid w:val="003F6A07"/>
    <w:rsid w:val="003F77E0"/>
    <w:rsid w:val="00400057"/>
    <w:rsid w:val="00402DDD"/>
    <w:rsid w:val="004104B2"/>
    <w:rsid w:val="00410993"/>
    <w:rsid w:val="004109FD"/>
    <w:rsid w:val="00412F49"/>
    <w:rsid w:val="0041394C"/>
    <w:rsid w:val="00414F07"/>
    <w:rsid w:val="00417C8A"/>
    <w:rsid w:val="00421FA9"/>
    <w:rsid w:val="00431AF5"/>
    <w:rsid w:val="00437E83"/>
    <w:rsid w:val="004402C2"/>
    <w:rsid w:val="004424D6"/>
    <w:rsid w:val="004425F9"/>
    <w:rsid w:val="00442935"/>
    <w:rsid w:val="0044422F"/>
    <w:rsid w:val="00444F85"/>
    <w:rsid w:val="0044683D"/>
    <w:rsid w:val="004479E3"/>
    <w:rsid w:val="004544AC"/>
    <w:rsid w:val="00461637"/>
    <w:rsid w:val="0046167C"/>
    <w:rsid w:val="00462FF1"/>
    <w:rsid w:val="004636AA"/>
    <w:rsid w:val="0046423C"/>
    <w:rsid w:val="00464A1A"/>
    <w:rsid w:val="00467AF4"/>
    <w:rsid w:val="004703DF"/>
    <w:rsid w:val="00470BF4"/>
    <w:rsid w:val="00471407"/>
    <w:rsid w:val="00472076"/>
    <w:rsid w:val="004738C7"/>
    <w:rsid w:val="00474D71"/>
    <w:rsid w:val="00475E70"/>
    <w:rsid w:val="00476C0B"/>
    <w:rsid w:val="00477270"/>
    <w:rsid w:val="00477EFE"/>
    <w:rsid w:val="00480823"/>
    <w:rsid w:val="0048368B"/>
    <w:rsid w:val="00485280"/>
    <w:rsid w:val="00485E04"/>
    <w:rsid w:val="0048747B"/>
    <w:rsid w:val="00495084"/>
    <w:rsid w:val="00497699"/>
    <w:rsid w:val="00497DB2"/>
    <w:rsid w:val="004A236E"/>
    <w:rsid w:val="004A3F25"/>
    <w:rsid w:val="004A694A"/>
    <w:rsid w:val="004A763D"/>
    <w:rsid w:val="004B045A"/>
    <w:rsid w:val="004B4125"/>
    <w:rsid w:val="004B5136"/>
    <w:rsid w:val="004C0238"/>
    <w:rsid w:val="004C11F5"/>
    <w:rsid w:val="004C3107"/>
    <w:rsid w:val="004C72EB"/>
    <w:rsid w:val="004D0EA8"/>
    <w:rsid w:val="004D1B4D"/>
    <w:rsid w:val="004D2BAD"/>
    <w:rsid w:val="004D314A"/>
    <w:rsid w:val="004D61CE"/>
    <w:rsid w:val="004D66E3"/>
    <w:rsid w:val="004D78EB"/>
    <w:rsid w:val="004E17C8"/>
    <w:rsid w:val="004E1AB8"/>
    <w:rsid w:val="004E6F9E"/>
    <w:rsid w:val="004F0F13"/>
    <w:rsid w:val="004F13A2"/>
    <w:rsid w:val="004F7507"/>
    <w:rsid w:val="0050274F"/>
    <w:rsid w:val="005039B0"/>
    <w:rsid w:val="005041C0"/>
    <w:rsid w:val="00506285"/>
    <w:rsid w:val="00515BB3"/>
    <w:rsid w:val="00524FD6"/>
    <w:rsid w:val="00527FB3"/>
    <w:rsid w:val="005319AA"/>
    <w:rsid w:val="005328A6"/>
    <w:rsid w:val="00533515"/>
    <w:rsid w:val="00534F97"/>
    <w:rsid w:val="0053504E"/>
    <w:rsid w:val="00536FBF"/>
    <w:rsid w:val="0054018C"/>
    <w:rsid w:val="00540BF1"/>
    <w:rsid w:val="00540C3C"/>
    <w:rsid w:val="00544130"/>
    <w:rsid w:val="00555D18"/>
    <w:rsid w:val="0056065C"/>
    <w:rsid w:val="0056084F"/>
    <w:rsid w:val="00561D65"/>
    <w:rsid w:val="00563C81"/>
    <w:rsid w:val="00565BC1"/>
    <w:rsid w:val="0057066B"/>
    <w:rsid w:val="00570D87"/>
    <w:rsid w:val="005724DC"/>
    <w:rsid w:val="00572BAD"/>
    <w:rsid w:val="00573BCB"/>
    <w:rsid w:val="00573F13"/>
    <w:rsid w:val="00575C01"/>
    <w:rsid w:val="0058045E"/>
    <w:rsid w:val="00581173"/>
    <w:rsid w:val="00583B02"/>
    <w:rsid w:val="00583CCB"/>
    <w:rsid w:val="00586C3A"/>
    <w:rsid w:val="0059001D"/>
    <w:rsid w:val="00591584"/>
    <w:rsid w:val="00593693"/>
    <w:rsid w:val="005940C0"/>
    <w:rsid w:val="00594A03"/>
    <w:rsid w:val="00594CDD"/>
    <w:rsid w:val="005A03CF"/>
    <w:rsid w:val="005A32FB"/>
    <w:rsid w:val="005A3E6E"/>
    <w:rsid w:val="005A6C4A"/>
    <w:rsid w:val="005A7A4A"/>
    <w:rsid w:val="005B1132"/>
    <w:rsid w:val="005B3B7E"/>
    <w:rsid w:val="005B55B8"/>
    <w:rsid w:val="005C3A22"/>
    <w:rsid w:val="005C54A7"/>
    <w:rsid w:val="005C5665"/>
    <w:rsid w:val="005C6F10"/>
    <w:rsid w:val="005D064C"/>
    <w:rsid w:val="005D2BBA"/>
    <w:rsid w:val="005D2F62"/>
    <w:rsid w:val="005D4ED4"/>
    <w:rsid w:val="005D5021"/>
    <w:rsid w:val="005E0FFD"/>
    <w:rsid w:val="005E305B"/>
    <w:rsid w:val="005E4A7D"/>
    <w:rsid w:val="005E68E7"/>
    <w:rsid w:val="005F3236"/>
    <w:rsid w:val="005F5691"/>
    <w:rsid w:val="00601737"/>
    <w:rsid w:val="00601BAC"/>
    <w:rsid w:val="006044B9"/>
    <w:rsid w:val="00605E17"/>
    <w:rsid w:val="006120C0"/>
    <w:rsid w:val="006156AC"/>
    <w:rsid w:val="0061758A"/>
    <w:rsid w:val="00622303"/>
    <w:rsid w:val="00625BC2"/>
    <w:rsid w:val="00626610"/>
    <w:rsid w:val="00630D2B"/>
    <w:rsid w:val="00633C9D"/>
    <w:rsid w:val="00634CC1"/>
    <w:rsid w:val="00634D18"/>
    <w:rsid w:val="006351A3"/>
    <w:rsid w:val="0063604B"/>
    <w:rsid w:val="00636BFC"/>
    <w:rsid w:val="0064310D"/>
    <w:rsid w:val="00646C7D"/>
    <w:rsid w:val="006477A4"/>
    <w:rsid w:val="00647DC2"/>
    <w:rsid w:val="00657206"/>
    <w:rsid w:val="00660419"/>
    <w:rsid w:val="00660B88"/>
    <w:rsid w:val="00670931"/>
    <w:rsid w:val="00671AAF"/>
    <w:rsid w:val="006725B3"/>
    <w:rsid w:val="00675C4B"/>
    <w:rsid w:val="00676465"/>
    <w:rsid w:val="00680A85"/>
    <w:rsid w:val="0068102A"/>
    <w:rsid w:val="00681F7E"/>
    <w:rsid w:val="0068376C"/>
    <w:rsid w:val="006839B6"/>
    <w:rsid w:val="006933D5"/>
    <w:rsid w:val="00694B34"/>
    <w:rsid w:val="00696477"/>
    <w:rsid w:val="006968B8"/>
    <w:rsid w:val="006A042B"/>
    <w:rsid w:val="006A0D9A"/>
    <w:rsid w:val="006A1906"/>
    <w:rsid w:val="006A618D"/>
    <w:rsid w:val="006A7B81"/>
    <w:rsid w:val="006B183A"/>
    <w:rsid w:val="006B6B67"/>
    <w:rsid w:val="006C42FB"/>
    <w:rsid w:val="006C5FEF"/>
    <w:rsid w:val="006D13AE"/>
    <w:rsid w:val="006D5B63"/>
    <w:rsid w:val="006E141D"/>
    <w:rsid w:val="006E2128"/>
    <w:rsid w:val="006E4F48"/>
    <w:rsid w:val="006E64A5"/>
    <w:rsid w:val="006E6C77"/>
    <w:rsid w:val="006E797A"/>
    <w:rsid w:val="006F0A0C"/>
    <w:rsid w:val="006F1CCA"/>
    <w:rsid w:val="006F2510"/>
    <w:rsid w:val="006F2D76"/>
    <w:rsid w:val="006F42A5"/>
    <w:rsid w:val="006F689E"/>
    <w:rsid w:val="006F7E8E"/>
    <w:rsid w:val="007000F9"/>
    <w:rsid w:val="007008DB"/>
    <w:rsid w:val="00702458"/>
    <w:rsid w:val="00705FF1"/>
    <w:rsid w:val="00707395"/>
    <w:rsid w:val="00712DEF"/>
    <w:rsid w:val="007159AC"/>
    <w:rsid w:val="00715A1C"/>
    <w:rsid w:val="0072052D"/>
    <w:rsid w:val="007210DB"/>
    <w:rsid w:val="00721BF4"/>
    <w:rsid w:val="00727E2C"/>
    <w:rsid w:val="00730857"/>
    <w:rsid w:val="00735F71"/>
    <w:rsid w:val="00737899"/>
    <w:rsid w:val="00743C5C"/>
    <w:rsid w:val="00743E6F"/>
    <w:rsid w:val="00746B00"/>
    <w:rsid w:val="00755640"/>
    <w:rsid w:val="00757BAC"/>
    <w:rsid w:val="00761AF4"/>
    <w:rsid w:val="00762B5C"/>
    <w:rsid w:val="00764D8C"/>
    <w:rsid w:val="0077013C"/>
    <w:rsid w:val="0077086E"/>
    <w:rsid w:val="00772AC2"/>
    <w:rsid w:val="00773A2F"/>
    <w:rsid w:val="00773E8F"/>
    <w:rsid w:val="00775269"/>
    <w:rsid w:val="007779D7"/>
    <w:rsid w:val="00777C1A"/>
    <w:rsid w:val="00780268"/>
    <w:rsid w:val="007822C3"/>
    <w:rsid w:val="00782B63"/>
    <w:rsid w:val="007830B5"/>
    <w:rsid w:val="0079012B"/>
    <w:rsid w:val="00795F7A"/>
    <w:rsid w:val="007A0365"/>
    <w:rsid w:val="007A06F3"/>
    <w:rsid w:val="007A16F0"/>
    <w:rsid w:val="007A1DDD"/>
    <w:rsid w:val="007A5361"/>
    <w:rsid w:val="007A76FE"/>
    <w:rsid w:val="007B2102"/>
    <w:rsid w:val="007B2872"/>
    <w:rsid w:val="007B33F2"/>
    <w:rsid w:val="007B76DC"/>
    <w:rsid w:val="007C523F"/>
    <w:rsid w:val="007C5716"/>
    <w:rsid w:val="007D4361"/>
    <w:rsid w:val="007D7005"/>
    <w:rsid w:val="007E14F4"/>
    <w:rsid w:val="007E765C"/>
    <w:rsid w:val="007F0976"/>
    <w:rsid w:val="007F1EF9"/>
    <w:rsid w:val="007F26F9"/>
    <w:rsid w:val="007F2813"/>
    <w:rsid w:val="007F372D"/>
    <w:rsid w:val="007F3BB0"/>
    <w:rsid w:val="007F7A17"/>
    <w:rsid w:val="007F7ADC"/>
    <w:rsid w:val="00801A6C"/>
    <w:rsid w:val="00804E3D"/>
    <w:rsid w:val="00806292"/>
    <w:rsid w:val="008105D4"/>
    <w:rsid w:val="008125CD"/>
    <w:rsid w:val="00815230"/>
    <w:rsid w:val="008163D9"/>
    <w:rsid w:val="008167D4"/>
    <w:rsid w:val="0082016A"/>
    <w:rsid w:val="00820E54"/>
    <w:rsid w:val="0082176B"/>
    <w:rsid w:val="00821954"/>
    <w:rsid w:val="00822072"/>
    <w:rsid w:val="00822430"/>
    <w:rsid w:val="008231ED"/>
    <w:rsid w:val="0082403F"/>
    <w:rsid w:val="008249F4"/>
    <w:rsid w:val="00826845"/>
    <w:rsid w:val="008304B2"/>
    <w:rsid w:val="00831EC3"/>
    <w:rsid w:val="008325F0"/>
    <w:rsid w:val="00835206"/>
    <w:rsid w:val="00841D23"/>
    <w:rsid w:val="00842C80"/>
    <w:rsid w:val="0084505D"/>
    <w:rsid w:val="0084613D"/>
    <w:rsid w:val="00846817"/>
    <w:rsid w:val="00850611"/>
    <w:rsid w:val="008557E8"/>
    <w:rsid w:val="00856AC4"/>
    <w:rsid w:val="00863478"/>
    <w:rsid w:val="008637A5"/>
    <w:rsid w:val="00863945"/>
    <w:rsid w:val="00863A88"/>
    <w:rsid w:val="00865B01"/>
    <w:rsid w:val="008663B7"/>
    <w:rsid w:val="00866B25"/>
    <w:rsid w:val="00872FB7"/>
    <w:rsid w:val="00873A45"/>
    <w:rsid w:val="008773F7"/>
    <w:rsid w:val="008806CA"/>
    <w:rsid w:val="008833D3"/>
    <w:rsid w:val="0088347A"/>
    <w:rsid w:val="00886234"/>
    <w:rsid w:val="00886634"/>
    <w:rsid w:val="00887B85"/>
    <w:rsid w:val="008903D4"/>
    <w:rsid w:val="008932B0"/>
    <w:rsid w:val="00894012"/>
    <w:rsid w:val="00894C40"/>
    <w:rsid w:val="0089713E"/>
    <w:rsid w:val="008A4600"/>
    <w:rsid w:val="008A5161"/>
    <w:rsid w:val="008A69CB"/>
    <w:rsid w:val="008B0D68"/>
    <w:rsid w:val="008B111C"/>
    <w:rsid w:val="008B43D4"/>
    <w:rsid w:val="008C1B93"/>
    <w:rsid w:val="008C4E5B"/>
    <w:rsid w:val="008C7E8C"/>
    <w:rsid w:val="008D0F69"/>
    <w:rsid w:val="008D4197"/>
    <w:rsid w:val="008D45A0"/>
    <w:rsid w:val="008D503F"/>
    <w:rsid w:val="008D5CD0"/>
    <w:rsid w:val="008D7B31"/>
    <w:rsid w:val="008E07EA"/>
    <w:rsid w:val="008E07F0"/>
    <w:rsid w:val="008E19EE"/>
    <w:rsid w:val="008E6F72"/>
    <w:rsid w:val="008F07DF"/>
    <w:rsid w:val="008F0E8B"/>
    <w:rsid w:val="009003F1"/>
    <w:rsid w:val="00901259"/>
    <w:rsid w:val="0090287D"/>
    <w:rsid w:val="00906660"/>
    <w:rsid w:val="009067B2"/>
    <w:rsid w:val="00907531"/>
    <w:rsid w:val="00912BD2"/>
    <w:rsid w:val="009130E8"/>
    <w:rsid w:val="0092030F"/>
    <w:rsid w:val="00920E49"/>
    <w:rsid w:val="00922F15"/>
    <w:rsid w:val="00926541"/>
    <w:rsid w:val="009271D3"/>
    <w:rsid w:val="00927255"/>
    <w:rsid w:val="009309E4"/>
    <w:rsid w:val="0093253D"/>
    <w:rsid w:val="00933FD9"/>
    <w:rsid w:val="009363BC"/>
    <w:rsid w:val="00936426"/>
    <w:rsid w:val="00936632"/>
    <w:rsid w:val="009415ED"/>
    <w:rsid w:val="00945616"/>
    <w:rsid w:val="00947D9C"/>
    <w:rsid w:val="00947FE6"/>
    <w:rsid w:val="0095251F"/>
    <w:rsid w:val="009557D2"/>
    <w:rsid w:val="00955B84"/>
    <w:rsid w:val="009568DF"/>
    <w:rsid w:val="009611A8"/>
    <w:rsid w:val="00962489"/>
    <w:rsid w:val="00963185"/>
    <w:rsid w:val="0096450C"/>
    <w:rsid w:val="009659F7"/>
    <w:rsid w:val="00970F9E"/>
    <w:rsid w:val="0097129F"/>
    <w:rsid w:val="00974B7F"/>
    <w:rsid w:val="0097518C"/>
    <w:rsid w:val="0098612E"/>
    <w:rsid w:val="00986823"/>
    <w:rsid w:val="00990D20"/>
    <w:rsid w:val="009924D5"/>
    <w:rsid w:val="009925CC"/>
    <w:rsid w:val="00993077"/>
    <w:rsid w:val="00994EB1"/>
    <w:rsid w:val="00995623"/>
    <w:rsid w:val="0099736D"/>
    <w:rsid w:val="009A05BB"/>
    <w:rsid w:val="009A19C3"/>
    <w:rsid w:val="009A21DA"/>
    <w:rsid w:val="009A3EC8"/>
    <w:rsid w:val="009A4243"/>
    <w:rsid w:val="009A5165"/>
    <w:rsid w:val="009A5E9D"/>
    <w:rsid w:val="009B53DB"/>
    <w:rsid w:val="009B55F5"/>
    <w:rsid w:val="009C16F4"/>
    <w:rsid w:val="009C1ECA"/>
    <w:rsid w:val="009C3B05"/>
    <w:rsid w:val="009C725B"/>
    <w:rsid w:val="009C76D3"/>
    <w:rsid w:val="009C7A37"/>
    <w:rsid w:val="009D1B96"/>
    <w:rsid w:val="009D3E5A"/>
    <w:rsid w:val="009D43DC"/>
    <w:rsid w:val="009D5067"/>
    <w:rsid w:val="009D508E"/>
    <w:rsid w:val="009D5465"/>
    <w:rsid w:val="009D5C27"/>
    <w:rsid w:val="009D6BDE"/>
    <w:rsid w:val="009D744F"/>
    <w:rsid w:val="009E09EE"/>
    <w:rsid w:val="009E2847"/>
    <w:rsid w:val="009E6D86"/>
    <w:rsid w:val="009E7112"/>
    <w:rsid w:val="009F0FD1"/>
    <w:rsid w:val="009F1CA3"/>
    <w:rsid w:val="009F5CDD"/>
    <w:rsid w:val="009F6592"/>
    <w:rsid w:val="00A102D5"/>
    <w:rsid w:val="00A11029"/>
    <w:rsid w:val="00A1274F"/>
    <w:rsid w:val="00A153AE"/>
    <w:rsid w:val="00A15C91"/>
    <w:rsid w:val="00A15D77"/>
    <w:rsid w:val="00A2031E"/>
    <w:rsid w:val="00A20F2A"/>
    <w:rsid w:val="00A216B1"/>
    <w:rsid w:val="00A22AB8"/>
    <w:rsid w:val="00A23D3B"/>
    <w:rsid w:val="00A247B1"/>
    <w:rsid w:val="00A26379"/>
    <w:rsid w:val="00A27EE2"/>
    <w:rsid w:val="00A33C21"/>
    <w:rsid w:val="00A34BD3"/>
    <w:rsid w:val="00A415C8"/>
    <w:rsid w:val="00A42B9E"/>
    <w:rsid w:val="00A46169"/>
    <w:rsid w:val="00A51A3C"/>
    <w:rsid w:val="00A51DFA"/>
    <w:rsid w:val="00A52E71"/>
    <w:rsid w:val="00A55F87"/>
    <w:rsid w:val="00A608E4"/>
    <w:rsid w:val="00A6242E"/>
    <w:rsid w:val="00A635F6"/>
    <w:rsid w:val="00A64E3D"/>
    <w:rsid w:val="00A711A7"/>
    <w:rsid w:val="00A7154B"/>
    <w:rsid w:val="00A72B06"/>
    <w:rsid w:val="00A72BC7"/>
    <w:rsid w:val="00A73BEB"/>
    <w:rsid w:val="00A748ED"/>
    <w:rsid w:val="00A74DA8"/>
    <w:rsid w:val="00A7572E"/>
    <w:rsid w:val="00A77233"/>
    <w:rsid w:val="00A90244"/>
    <w:rsid w:val="00A9044C"/>
    <w:rsid w:val="00A90951"/>
    <w:rsid w:val="00A9106B"/>
    <w:rsid w:val="00A91F9A"/>
    <w:rsid w:val="00A95DBC"/>
    <w:rsid w:val="00A97582"/>
    <w:rsid w:val="00AA17DC"/>
    <w:rsid w:val="00AA23B3"/>
    <w:rsid w:val="00AA4012"/>
    <w:rsid w:val="00AA4EE9"/>
    <w:rsid w:val="00AA7F98"/>
    <w:rsid w:val="00AB1227"/>
    <w:rsid w:val="00AB29D3"/>
    <w:rsid w:val="00AB39F3"/>
    <w:rsid w:val="00AB6628"/>
    <w:rsid w:val="00AC13AE"/>
    <w:rsid w:val="00AC2836"/>
    <w:rsid w:val="00AC2B19"/>
    <w:rsid w:val="00AC3B05"/>
    <w:rsid w:val="00AC4A89"/>
    <w:rsid w:val="00AC62FC"/>
    <w:rsid w:val="00AD00F2"/>
    <w:rsid w:val="00AD02B6"/>
    <w:rsid w:val="00AD13BA"/>
    <w:rsid w:val="00AD4A91"/>
    <w:rsid w:val="00AD5395"/>
    <w:rsid w:val="00AE2ED6"/>
    <w:rsid w:val="00AE5D65"/>
    <w:rsid w:val="00AE73AF"/>
    <w:rsid w:val="00AF003D"/>
    <w:rsid w:val="00AF0CED"/>
    <w:rsid w:val="00AF44A6"/>
    <w:rsid w:val="00AF4A99"/>
    <w:rsid w:val="00B00F7A"/>
    <w:rsid w:val="00B018BE"/>
    <w:rsid w:val="00B02CE3"/>
    <w:rsid w:val="00B0332B"/>
    <w:rsid w:val="00B07E6E"/>
    <w:rsid w:val="00B12ECD"/>
    <w:rsid w:val="00B12F7A"/>
    <w:rsid w:val="00B14143"/>
    <w:rsid w:val="00B2037E"/>
    <w:rsid w:val="00B26709"/>
    <w:rsid w:val="00B3313A"/>
    <w:rsid w:val="00B34302"/>
    <w:rsid w:val="00B36043"/>
    <w:rsid w:val="00B37E7D"/>
    <w:rsid w:val="00B40DE1"/>
    <w:rsid w:val="00B443FA"/>
    <w:rsid w:val="00B45BC0"/>
    <w:rsid w:val="00B4634E"/>
    <w:rsid w:val="00B510C8"/>
    <w:rsid w:val="00B52F87"/>
    <w:rsid w:val="00B55791"/>
    <w:rsid w:val="00B578DC"/>
    <w:rsid w:val="00B63318"/>
    <w:rsid w:val="00B6726F"/>
    <w:rsid w:val="00B67D7A"/>
    <w:rsid w:val="00B75866"/>
    <w:rsid w:val="00B76882"/>
    <w:rsid w:val="00B84532"/>
    <w:rsid w:val="00B853C0"/>
    <w:rsid w:val="00B86DC9"/>
    <w:rsid w:val="00B86F4F"/>
    <w:rsid w:val="00B9420B"/>
    <w:rsid w:val="00B94480"/>
    <w:rsid w:val="00BA2AAA"/>
    <w:rsid w:val="00BA5550"/>
    <w:rsid w:val="00BA6BEA"/>
    <w:rsid w:val="00BB09FD"/>
    <w:rsid w:val="00BB0A07"/>
    <w:rsid w:val="00BB18BA"/>
    <w:rsid w:val="00BB27A8"/>
    <w:rsid w:val="00BB2A8B"/>
    <w:rsid w:val="00BB4352"/>
    <w:rsid w:val="00BB5323"/>
    <w:rsid w:val="00BB5A91"/>
    <w:rsid w:val="00BB71E1"/>
    <w:rsid w:val="00BB72B1"/>
    <w:rsid w:val="00BC02D7"/>
    <w:rsid w:val="00BC5169"/>
    <w:rsid w:val="00BC5AD3"/>
    <w:rsid w:val="00BC5BE0"/>
    <w:rsid w:val="00BD38C8"/>
    <w:rsid w:val="00BD3DBB"/>
    <w:rsid w:val="00BD6280"/>
    <w:rsid w:val="00BE10F8"/>
    <w:rsid w:val="00BE1DB1"/>
    <w:rsid w:val="00BE4249"/>
    <w:rsid w:val="00BE6FA5"/>
    <w:rsid w:val="00BF0038"/>
    <w:rsid w:val="00BF0F90"/>
    <w:rsid w:val="00BF52D0"/>
    <w:rsid w:val="00BF53C3"/>
    <w:rsid w:val="00BF57C0"/>
    <w:rsid w:val="00C0353F"/>
    <w:rsid w:val="00C036EC"/>
    <w:rsid w:val="00C053D6"/>
    <w:rsid w:val="00C0598F"/>
    <w:rsid w:val="00C064ED"/>
    <w:rsid w:val="00C10039"/>
    <w:rsid w:val="00C10130"/>
    <w:rsid w:val="00C10C3B"/>
    <w:rsid w:val="00C120BD"/>
    <w:rsid w:val="00C13CF5"/>
    <w:rsid w:val="00C13D00"/>
    <w:rsid w:val="00C13F0F"/>
    <w:rsid w:val="00C17530"/>
    <w:rsid w:val="00C1781A"/>
    <w:rsid w:val="00C17B4C"/>
    <w:rsid w:val="00C20DC8"/>
    <w:rsid w:val="00C233B3"/>
    <w:rsid w:val="00C23B64"/>
    <w:rsid w:val="00C24EE8"/>
    <w:rsid w:val="00C2593F"/>
    <w:rsid w:val="00C25D55"/>
    <w:rsid w:val="00C27678"/>
    <w:rsid w:val="00C31EB2"/>
    <w:rsid w:val="00C32985"/>
    <w:rsid w:val="00C329C3"/>
    <w:rsid w:val="00C452D9"/>
    <w:rsid w:val="00C46FFF"/>
    <w:rsid w:val="00C51F28"/>
    <w:rsid w:val="00C52860"/>
    <w:rsid w:val="00C53054"/>
    <w:rsid w:val="00C55A4D"/>
    <w:rsid w:val="00C63835"/>
    <w:rsid w:val="00C65894"/>
    <w:rsid w:val="00C6623C"/>
    <w:rsid w:val="00C66EE6"/>
    <w:rsid w:val="00C673B6"/>
    <w:rsid w:val="00C70C72"/>
    <w:rsid w:val="00C721C3"/>
    <w:rsid w:val="00C74C32"/>
    <w:rsid w:val="00C77C5D"/>
    <w:rsid w:val="00C81311"/>
    <w:rsid w:val="00C8162E"/>
    <w:rsid w:val="00C83068"/>
    <w:rsid w:val="00C83429"/>
    <w:rsid w:val="00C93022"/>
    <w:rsid w:val="00C95C66"/>
    <w:rsid w:val="00C969F3"/>
    <w:rsid w:val="00CA3B7F"/>
    <w:rsid w:val="00CA42B7"/>
    <w:rsid w:val="00CA45AE"/>
    <w:rsid w:val="00CA4B23"/>
    <w:rsid w:val="00CA6080"/>
    <w:rsid w:val="00CA7348"/>
    <w:rsid w:val="00CB16E8"/>
    <w:rsid w:val="00CB1B1D"/>
    <w:rsid w:val="00CB20CD"/>
    <w:rsid w:val="00CB7229"/>
    <w:rsid w:val="00CC0B6D"/>
    <w:rsid w:val="00CC20C2"/>
    <w:rsid w:val="00CC2B80"/>
    <w:rsid w:val="00CC4F72"/>
    <w:rsid w:val="00CC52F5"/>
    <w:rsid w:val="00CC58CA"/>
    <w:rsid w:val="00CC695B"/>
    <w:rsid w:val="00CD1CAB"/>
    <w:rsid w:val="00CD2BEA"/>
    <w:rsid w:val="00CD37DE"/>
    <w:rsid w:val="00CD3E5C"/>
    <w:rsid w:val="00CD4866"/>
    <w:rsid w:val="00CD5C86"/>
    <w:rsid w:val="00CD6AF6"/>
    <w:rsid w:val="00CE3AD7"/>
    <w:rsid w:val="00CE4359"/>
    <w:rsid w:val="00CE50F5"/>
    <w:rsid w:val="00CE54F0"/>
    <w:rsid w:val="00CE6516"/>
    <w:rsid w:val="00CF0B81"/>
    <w:rsid w:val="00CF23F2"/>
    <w:rsid w:val="00CF33C3"/>
    <w:rsid w:val="00CF3D40"/>
    <w:rsid w:val="00CF4CAD"/>
    <w:rsid w:val="00CF4D29"/>
    <w:rsid w:val="00CF7525"/>
    <w:rsid w:val="00CF781F"/>
    <w:rsid w:val="00CF7F2A"/>
    <w:rsid w:val="00D0063B"/>
    <w:rsid w:val="00D008A1"/>
    <w:rsid w:val="00D01621"/>
    <w:rsid w:val="00D026F7"/>
    <w:rsid w:val="00D02884"/>
    <w:rsid w:val="00D03847"/>
    <w:rsid w:val="00D05BBB"/>
    <w:rsid w:val="00D064C9"/>
    <w:rsid w:val="00D06E3F"/>
    <w:rsid w:val="00D0725E"/>
    <w:rsid w:val="00D0765D"/>
    <w:rsid w:val="00D11361"/>
    <w:rsid w:val="00D11B36"/>
    <w:rsid w:val="00D11C68"/>
    <w:rsid w:val="00D1373D"/>
    <w:rsid w:val="00D16A33"/>
    <w:rsid w:val="00D200E4"/>
    <w:rsid w:val="00D2049A"/>
    <w:rsid w:val="00D24803"/>
    <w:rsid w:val="00D24C7D"/>
    <w:rsid w:val="00D317F4"/>
    <w:rsid w:val="00D332FA"/>
    <w:rsid w:val="00D353FF"/>
    <w:rsid w:val="00D43C16"/>
    <w:rsid w:val="00D5021E"/>
    <w:rsid w:val="00D51448"/>
    <w:rsid w:val="00D51479"/>
    <w:rsid w:val="00D61CFC"/>
    <w:rsid w:val="00D625F8"/>
    <w:rsid w:val="00D62A0E"/>
    <w:rsid w:val="00D64B45"/>
    <w:rsid w:val="00D65AF5"/>
    <w:rsid w:val="00D733F2"/>
    <w:rsid w:val="00D73F4E"/>
    <w:rsid w:val="00D74466"/>
    <w:rsid w:val="00D74A49"/>
    <w:rsid w:val="00D7626D"/>
    <w:rsid w:val="00D77894"/>
    <w:rsid w:val="00D82052"/>
    <w:rsid w:val="00D82CD9"/>
    <w:rsid w:val="00D832F2"/>
    <w:rsid w:val="00D840D8"/>
    <w:rsid w:val="00D869E0"/>
    <w:rsid w:val="00D91DE2"/>
    <w:rsid w:val="00D93673"/>
    <w:rsid w:val="00D965AC"/>
    <w:rsid w:val="00D96954"/>
    <w:rsid w:val="00DA012B"/>
    <w:rsid w:val="00DA204D"/>
    <w:rsid w:val="00DA4D0F"/>
    <w:rsid w:val="00DA4EC4"/>
    <w:rsid w:val="00DA55DB"/>
    <w:rsid w:val="00DA5D11"/>
    <w:rsid w:val="00DA7361"/>
    <w:rsid w:val="00DA7BFE"/>
    <w:rsid w:val="00DB42BD"/>
    <w:rsid w:val="00DB6291"/>
    <w:rsid w:val="00DB65D0"/>
    <w:rsid w:val="00DB6E42"/>
    <w:rsid w:val="00DC10A7"/>
    <w:rsid w:val="00DC294E"/>
    <w:rsid w:val="00DC2DEF"/>
    <w:rsid w:val="00DC4A80"/>
    <w:rsid w:val="00DC76EE"/>
    <w:rsid w:val="00DD29D3"/>
    <w:rsid w:val="00DD4B24"/>
    <w:rsid w:val="00DD73C3"/>
    <w:rsid w:val="00DE0336"/>
    <w:rsid w:val="00DE0E5F"/>
    <w:rsid w:val="00DE12F4"/>
    <w:rsid w:val="00DE1DFC"/>
    <w:rsid w:val="00DF1D0C"/>
    <w:rsid w:val="00DF3C24"/>
    <w:rsid w:val="00DF4624"/>
    <w:rsid w:val="00DF46D3"/>
    <w:rsid w:val="00DF4743"/>
    <w:rsid w:val="00DF626D"/>
    <w:rsid w:val="00DF674D"/>
    <w:rsid w:val="00DF72E0"/>
    <w:rsid w:val="00DF7B2B"/>
    <w:rsid w:val="00E000C0"/>
    <w:rsid w:val="00E00BB5"/>
    <w:rsid w:val="00E0169D"/>
    <w:rsid w:val="00E01909"/>
    <w:rsid w:val="00E01992"/>
    <w:rsid w:val="00E019DE"/>
    <w:rsid w:val="00E025C2"/>
    <w:rsid w:val="00E02850"/>
    <w:rsid w:val="00E04FDF"/>
    <w:rsid w:val="00E05F15"/>
    <w:rsid w:val="00E0690C"/>
    <w:rsid w:val="00E07D2B"/>
    <w:rsid w:val="00E10659"/>
    <w:rsid w:val="00E10CB3"/>
    <w:rsid w:val="00E11BB8"/>
    <w:rsid w:val="00E12665"/>
    <w:rsid w:val="00E13348"/>
    <w:rsid w:val="00E13504"/>
    <w:rsid w:val="00E13BF7"/>
    <w:rsid w:val="00E149E5"/>
    <w:rsid w:val="00E17D3E"/>
    <w:rsid w:val="00E17D79"/>
    <w:rsid w:val="00E20A02"/>
    <w:rsid w:val="00E21EF5"/>
    <w:rsid w:val="00E2247A"/>
    <w:rsid w:val="00E24E60"/>
    <w:rsid w:val="00E30507"/>
    <w:rsid w:val="00E33668"/>
    <w:rsid w:val="00E35F82"/>
    <w:rsid w:val="00E3742A"/>
    <w:rsid w:val="00E375AF"/>
    <w:rsid w:val="00E41672"/>
    <w:rsid w:val="00E41D1C"/>
    <w:rsid w:val="00E42DE4"/>
    <w:rsid w:val="00E44548"/>
    <w:rsid w:val="00E44B08"/>
    <w:rsid w:val="00E46623"/>
    <w:rsid w:val="00E51C1B"/>
    <w:rsid w:val="00E5472A"/>
    <w:rsid w:val="00E57296"/>
    <w:rsid w:val="00E60115"/>
    <w:rsid w:val="00E6060D"/>
    <w:rsid w:val="00E622B2"/>
    <w:rsid w:val="00E6532B"/>
    <w:rsid w:val="00E65A9B"/>
    <w:rsid w:val="00E74B8F"/>
    <w:rsid w:val="00E80805"/>
    <w:rsid w:val="00E82C35"/>
    <w:rsid w:val="00E85789"/>
    <w:rsid w:val="00E91B94"/>
    <w:rsid w:val="00E95D31"/>
    <w:rsid w:val="00EA430C"/>
    <w:rsid w:val="00EA4736"/>
    <w:rsid w:val="00EA559B"/>
    <w:rsid w:val="00EA5D00"/>
    <w:rsid w:val="00EA62B8"/>
    <w:rsid w:val="00EA6A0D"/>
    <w:rsid w:val="00EA6B0D"/>
    <w:rsid w:val="00EA79C8"/>
    <w:rsid w:val="00EB32E5"/>
    <w:rsid w:val="00EB4210"/>
    <w:rsid w:val="00EB486B"/>
    <w:rsid w:val="00EB6972"/>
    <w:rsid w:val="00EC0F84"/>
    <w:rsid w:val="00EC155E"/>
    <w:rsid w:val="00EC2414"/>
    <w:rsid w:val="00EC3182"/>
    <w:rsid w:val="00EC38D9"/>
    <w:rsid w:val="00EC4BE7"/>
    <w:rsid w:val="00EC53E2"/>
    <w:rsid w:val="00EC7697"/>
    <w:rsid w:val="00ED23BB"/>
    <w:rsid w:val="00ED2AD2"/>
    <w:rsid w:val="00ED4E6A"/>
    <w:rsid w:val="00EE1496"/>
    <w:rsid w:val="00EE1853"/>
    <w:rsid w:val="00EE2615"/>
    <w:rsid w:val="00EE2CF8"/>
    <w:rsid w:val="00EE3970"/>
    <w:rsid w:val="00EE54FE"/>
    <w:rsid w:val="00EE5CFA"/>
    <w:rsid w:val="00EE5E15"/>
    <w:rsid w:val="00EF0226"/>
    <w:rsid w:val="00EF03E2"/>
    <w:rsid w:val="00EF0674"/>
    <w:rsid w:val="00EF3BF6"/>
    <w:rsid w:val="00EF42C9"/>
    <w:rsid w:val="00EF6B81"/>
    <w:rsid w:val="00EF734B"/>
    <w:rsid w:val="00F008FC"/>
    <w:rsid w:val="00F00B93"/>
    <w:rsid w:val="00F01C96"/>
    <w:rsid w:val="00F05006"/>
    <w:rsid w:val="00F059EC"/>
    <w:rsid w:val="00F0661F"/>
    <w:rsid w:val="00F073BB"/>
    <w:rsid w:val="00F12CBB"/>
    <w:rsid w:val="00F15409"/>
    <w:rsid w:val="00F17111"/>
    <w:rsid w:val="00F221EF"/>
    <w:rsid w:val="00F23E03"/>
    <w:rsid w:val="00F2566F"/>
    <w:rsid w:val="00F26ADA"/>
    <w:rsid w:val="00F26E7D"/>
    <w:rsid w:val="00F301F7"/>
    <w:rsid w:val="00F309AF"/>
    <w:rsid w:val="00F32961"/>
    <w:rsid w:val="00F32EDB"/>
    <w:rsid w:val="00F33527"/>
    <w:rsid w:val="00F35DF7"/>
    <w:rsid w:val="00F37F62"/>
    <w:rsid w:val="00F40B7C"/>
    <w:rsid w:val="00F41632"/>
    <w:rsid w:val="00F44B9A"/>
    <w:rsid w:val="00F454C9"/>
    <w:rsid w:val="00F5100C"/>
    <w:rsid w:val="00F5295B"/>
    <w:rsid w:val="00F53A82"/>
    <w:rsid w:val="00F5753C"/>
    <w:rsid w:val="00F610A5"/>
    <w:rsid w:val="00F62DAB"/>
    <w:rsid w:val="00F63771"/>
    <w:rsid w:val="00F63922"/>
    <w:rsid w:val="00F70C83"/>
    <w:rsid w:val="00F71D59"/>
    <w:rsid w:val="00F73E5B"/>
    <w:rsid w:val="00F74833"/>
    <w:rsid w:val="00F74E99"/>
    <w:rsid w:val="00F750F1"/>
    <w:rsid w:val="00F76826"/>
    <w:rsid w:val="00F76A15"/>
    <w:rsid w:val="00F77F72"/>
    <w:rsid w:val="00F81FAC"/>
    <w:rsid w:val="00F83AF4"/>
    <w:rsid w:val="00F8613F"/>
    <w:rsid w:val="00F8752C"/>
    <w:rsid w:val="00F904AB"/>
    <w:rsid w:val="00F90AEF"/>
    <w:rsid w:val="00F9223B"/>
    <w:rsid w:val="00F927B5"/>
    <w:rsid w:val="00F9414A"/>
    <w:rsid w:val="00F94408"/>
    <w:rsid w:val="00F9457B"/>
    <w:rsid w:val="00FA0190"/>
    <w:rsid w:val="00FA259E"/>
    <w:rsid w:val="00FA6091"/>
    <w:rsid w:val="00FA7F3D"/>
    <w:rsid w:val="00FB02A1"/>
    <w:rsid w:val="00FB051B"/>
    <w:rsid w:val="00FB1EB6"/>
    <w:rsid w:val="00FB27C2"/>
    <w:rsid w:val="00FB3B86"/>
    <w:rsid w:val="00FB5436"/>
    <w:rsid w:val="00FB5FF6"/>
    <w:rsid w:val="00FB66C8"/>
    <w:rsid w:val="00FB69EF"/>
    <w:rsid w:val="00FB6C90"/>
    <w:rsid w:val="00FB72B6"/>
    <w:rsid w:val="00FC04BD"/>
    <w:rsid w:val="00FC04E5"/>
    <w:rsid w:val="00FC066F"/>
    <w:rsid w:val="00FC0B3C"/>
    <w:rsid w:val="00FC0E77"/>
    <w:rsid w:val="00FC5B79"/>
    <w:rsid w:val="00FC7E1D"/>
    <w:rsid w:val="00FD197B"/>
    <w:rsid w:val="00FD44AF"/>
    <w:rsid w:val="00FE1B5A"/>
    <w:rsid w:val="00FE1C85"/>
    <w:rsid w:val="00FE222C"/>
    <w:rsid w:val="00FE5E89"/>
    <w:rsid w:val="00FF0933"/>
    <w:rsid w:val="00FF186C"/>
    <w:rsid w:val="00FF39CE"/>
    <w:rsid w:val="00FF65DD"/>
    <w:rsid w:val="00FF7656"/>
    <w:rsid w:val="056D0B77"/>
    <w:rsid w:val="06060425"/>
    <w:rsid w:val="07BB0C6F"/>
    <w:rsid w:val="09F03E7D"/>
    <w:rsid w:val="0ACD0958"/>
    <w:rsid w:val="0AFD5B4F"/>
    <w:rsid w:val="0C555774"/>
    <w:rsid w:val="0EB47D8D"/>
    <w:rsid w:val="116B4324"/>
    <w:rsid w:val="122B5EDD"/>
    <w:rsid w:val="16FA21E1"/>
    <w:rsid w:val="171F2A2A"/>
    <w:rsid w:val="194146AA"/>
    <w:rsid w:val="1DD033CB"/>
    <w:rsid w:val="1ED9584E"/>
    <w:rsid w:val="22060CAA"/>
    <w:rsid w:val="2D477B7D"/>
    <w:rsid w:val="2DB93891"/>
    <w:rsid w:val="2E2C04AA"/>
    <w:rsid w:val="2FA51153"/>
    <w:rsid w:val="30226B4B"/>
    <w:rsid w:val="31265B15"/>
    <w:rsid w:val="3151215B"/>
    <w:rsid w:val="32EC4D05"/>
    <w:rsid w:val="35A75CB0"/>
    <w:rsid w:val="36AD1CD5"/>
    <w:rsid w:val="39E92D19"/>
    <w:rsid w:val="3B965C7F"/>
    <w:rsid w:val="3D5E202E"/>
    <w:rsid w:val="40C77063"/>
    <w:rsid w:val="412A4CE0"/>
    <w:rsid w:val="416D2D10"/>
    <w:rsid w:val="42084F7D"/>
    <w:rsid w:val="437B5289"/>
    <w:rsid w:val="4433107D"/>
    <w:rsid w:val="445D3B1B"/>
    <w:rsid w:val="456545E0"/>
    <w:rsid w:val="4CD654BB"/>
    <w:rsid w:val="50E65C92"/>
    <w:rsid w:val="52E5776C"/>
    <w:rsid w:val="573D19E6"/>
    <w:rsid w:val="574316FB"/>
    <w:rsid w:val="57E91F2A"/>
    <w:rsid w:val="58EF7663"/>
    <w:rsid w:val="59CB55FE"/>
    <w:rsid w:val="621F0568"/>
    <w:rsid w:val="639D52EB"/>
    <w:rsid w:val="647E4268"/>
    <w:rsid w:val="67A45F03"/>
    <w:rsid w:val="6A6C477F"/>
    <w:rsid w:val="6C5401CC"/>
    <w:rsid w:val="6C893CEB"/>
    <w:rsid w:val="6F4F7F24"/>
    <w:rsid w:val="71635C6D"/>
    <w:rsid w:val="71744944"/>
    <w:rsid w:val="722E38C3"/>
    <w:rsid w:val="748C6AB6"/>
    <w:rsid w:val="75C141AA"/>
    <w:rsid w:val="7A380FF9"/>
    <w:rsid w:val="7A685AA6"/>
    <w:rsid w:val="7AF27987"/>
    <w:rsid w:val="7DBA352D"/>
    <w:rsid w:val="7F8BF7F0"/>
    <w:rsid w:val="7FEE702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99"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75"/>
    <w:qFormat/>
    <w:uiPriority w:val="99"/>
    <w:pPr>
      <w:keepNext/>
      <w:keepLines/>
      <w:spacing w:before="340" w:after="330" w:line="578" w:lineRule="auto"/>
      <w:ind w:left="425" w:hanging="425"/>
      <w:outlineLvl w:val="0"/>
    </w:pPr>
    <w:rPr>
      <w:rFonts w:eastAsia="仿宋_GB2312"/>
      <w:b/>
      <w:kern w:val="44"/>
      <w:sz w:val="44"/>
      <w:szCs w:val="20"/>
    </w:rPr>
  </w:style>
  <w:style w:type="paragraph" w:styleId="6">
    <w:name w:val="heading 2"/>
    <w:basedOn w:val="1"/>
    <w:next w:val="7"/>
    <w:link w:val="109"/>
    <w:qFormat/>
    <w:uiPriority w:val="9"/>
    <w:pPr>
      <w:keepNext/>
      <w:keepLines/>
      <w:tabs>
        <w:tab w:val="left" w:pos="1145"/>
      </w:tabs>
      <w:spacing w:before="260" w:after="260" w:line="416" w:lineRule="auto"/>
      <w:ind w:left="992" w:hanging="567"/>
      <w:outlineLvl w:val="1"/>
    </w:pPr>
    <w:rPr>
      <w:rFonts w:ascii="Arial" w:hAnsi="Arial" w:eastAsia="黑体"/>
      <w:b/>
      <w:sz w:val="32"/>
      <w:szCs w:val="20"/>
    </w:rPr>
  </w:style>
  <w:style w:type="paragraph" w:styleId="8">
    <w:name w:val="heading 3"/>
    <w:basedOn w:val="1"/>
    <w:next w:val="7"/>
    <w:link w:val="127"/>
    <w:qFormat/>
    <w:uiPriority w:val="9"/>
    <w:pPr>
      <w:keepNext/>
      <w:keepLines/>
      <w:tabs>
        <w:tab w:val="left" w:pos="2651"/>
      </w:tabs>
      <w:spacing w:before="260" w:after="260" w:line="416" w:lineRule="auto"/>
      <w:ind w:left="1418" w:hanging="567"/>
      <w:outlineLvl w:val="2"/>
    </w:pPr>
    <w:rPr>
      <w:rFonts w:eastAsia="仿宋_GB2312"/>
      <w:b/>
      <w:sz w:val="32"/>
      <w:szCs w:val="20"/>
    </w:rPr>
  </w:style>
  <w:style w:type="paragraph" w:styleId="9">
    <w:name w:val="heading 4"/>
    <w:basedOn w:val="1"/>
    <w:next w:val="7"/>
    <w:link w:val="104"/>
    <w:qFormat/>
    <w:uiPriority w:val="0"/>
    <w:pPr>
      <w:keepNext/>
      <w:keepLines/>
      <w:tabs>
        <w:tab w:val="left" w:pos="1984"/>
      </w:tabs>
      <w:spacing w:before="280" w:after="290" w:line="376" w:lineRule="auto"/>
      <w:ind w:left="1984" w:hanging="708"/>
      <w:outlineLvl w:val="3"/>
    </w:pPr>
    <w:rPr>
      <w:rFonts w:ascii="Arial" w:hAnsi="Arial" w:eastAsia="黑体"/>
      <w:b/>
      <w:sz w:val="28"/>
      <w:szCs w:val="20"/>
    </w:rPr>
  </w:style>
  <w:style w:type="paragraph" w:styleId="10">
    <w:name w:val="heading 5"/>
    <w:basedOn w:val="1"/>
    <w:next w:val="7"/>
    <w:link w:val="158"/>
    <w:qFormat/>
    <w:uiPriority w:val="0"/>
    <w:pPr>
      <w:keepNext/>
      <w:widowControl/>
      <w:tabs>
        <w:tab w:val="left" w:pos="405"/>
      </w:tabs>
      <w:ind w:left="405" w:hanging="405"/>
      <w:jc w:val="left"/>
      <w:outlineLvl w:val="4"/>
    </w:pPr>
    <w:rPr>
      <w:kern w:val="0"/>
      <w:sz w:val="24"/>
      <w:szCs w:val="20"/>
    </w:rPr>
  </w:style>
  <w:style w:type="paragraph" w:styleId="11">
    <w:name w:val="heading 6"/>
    <w:basedOn w:val="1"/>
    <w:next w:val="1"/>
    <w:link w:val="164"/>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1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10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129"/>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1"/>
    <w:link w:val="125"/>
    <w:qFormat/>
    <w:uiPriority w:val="99"/>
    <w:pPr>
      <w:spacing w:after="120"/>
      <w:ind w:left="420" w:leftChars="200"/>
    </w:pPr>
  </w:style>
  <w:style w:type="paragraph" w:styleId="4">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7">
    <w:name w:val="Normal Indent"/>
    <w:basedOn w:val="1"/>
    <w:link w:val="154"/>
    <w:qFormat/>
    <w:uiPriority w:val="0"/>
    <w:pPr>
      <w:ind w:firstLine="420" w:firstLineChars="200"/>
    </w:pPr>
  </w:style>
  <w:style w:type="paragraph" w:styleId="15">
    <w:name w:val="List 3"/>
    <w:basedOn w:val="1"/>
    <w:qFormat/>
    <w:uiPriority w:val="0"/>
    <w:pPr>
      <w:ind w:left="100" w:leftChars="400" w:hanging="200" w:hangingChars="200"/>
      <w:contextualSpacing/>
    </w:p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spacing w:afterLines="50"/>
      <w:ind w:left="1697" w:hanging="420"/>
      <w:jc w:val="left"/>
    </w:pPr>
    <w:rPr>
      <w:kern w:val="0"/>
      <w:sz w:val="24"/>
      <w:szCs w:val="20"/>
    </w:rPr>
  </w:style>
  <w:style w:type="paragraph" w:styleId="18">
    <w:name w:val="table of authorities"/>
    <w:basedOn w:val="1"/>
    <w:next w:val="1"/>
    <w:qFormat/>
    <w:uiPriority w:val="0"/>
    <w:pPr>
      <w:ind w:left="420" w:leftChars="200"/>
    </w:pPr>
  </w:style>
  <w:style w:type="paragraph" w:styleId="19">
    <w:name w:val="Note Heading"/>
    <w:basedOn w:val="1"/>
    <w:next w:val="1"/>
    <w:link w:val="168"/>
    <w:qFormat/>
    <w:uiPriority w:val="0"/>
    <w:pPr>
      <w:jc w:val="center"/>
    </w:pPr>
    <w:rPr>
      <w:rFonts w:ascii="宋体" w:hAnsi="Courier New"/>
      <w:szCs w:val="20"/>
    </w:rPr>
  </w:style>
  <w:style w:type="paragraph" w:styleId="20">
    <w:name w:val="List Bullet 4"/>
    <w:basedOn w:val="1"/>
    <w:qFormat/>
    <w:uiPriority w:val="0"/>
    <w:pPr>
      <w:tabs>
        <w:tab w:val="left" w:pos="1620"/>
      </w:tabs>
      <w:ind w:left="1620" w:hanging="360"/>
      <w:contextualSpacing/>
    </w:pPr>
  </w:style>
  <w:style w:type="paragraph" w:styleId="21">
    <w:name w:val="index 8"/>
    <w:basedOn w:val="1"/>
    <w:next w:val="1"/>
    <w:qFormat/>
    <w:uiPriority w:val="0"/>
    <w:pPr>
      <w:ind w:left="1400" w:leftChars="1400"/>
    </w:pPr>
  </w:style>
  <w:style w:type="paragraph" w:styleId="22">
    <w:name w:val="E-mail Signature"/>
    <w:basedOn w:val="1"/>
    <w:qFormat/>
    <w:uiPriority w:val="0"/>
  </w:style>
  <w:style w:type="paragraph" w:styleId="23">
    <w:name w:val="List Number"/>
    <w:basedOn w:val="1"/>
    <w:qFormat/>
    <w:uiPriority w:val="99"/>
    <w:pPr>
      <w:widowControl/>
      <w:tabs>
        <w:tab w:val="left" w:pos="454"/>
      </w:tabs>
      <w:spacing w:afterLines="50"/>
      <w:ind w:left="454" w:hanging="284"/>
      <w:jc w:val="left"/>
    </w:pPr>
    <w:rPr>
      <w:kern w:val="0"/>
      <w:sz w:val="24"/>
      <w:szCs w:val="20"/>
    </w:rPr>
  </w:style>
  <w:style w:type="paragraph" w:styleId="24">
    <w:name w:val="caption"/>
    <w:basedOn w:val="1"/>
    <w:next w:val="1"/>
    <w:qFormat/>
    <w:uiPriority w:val="0"/>
    <w:pPr>
      <w:spacing w:line="360" w:lineRule="auto"/>
      <w:jc w:val="center"/>
    </w:pPr>
    <w:rPr>
      <w:rFonts w:ascii="Calibri" w:hAnsi="Calibri"/>
      <w:sz w:val="20"/>
      <w:szCs w:val="20"/>
    </w:rPr>
  </w:style>
  <w:style w:type="paragraph" w:styleId="25">
    <w:name w:val="index 5"/>
    <w:basedOn w:val="1"/>
    <w:next w:val="1"/>
    <w:qFormat/>
    <w:uiPriority w:val="0"/>
    <w:pPr>
      <w:ind w:left="800" w:leftChars="800"/>
    </w:pPr>
  </w:style>
  <w:style w:type="paragraph" w:styleId="26">
    <w:name w:val="List Bullet"/>
    <w:basedOn w:val="1"/>
    <w:qFormat/>
    <w:uiPriority w:val="0"/>
    <w:pPr>
      <w:tabs>
        <w:tab w:val="left" w:pos="360"/>
      </w:tabs>
      <w:ind w:left="360" w:hanging="360"/>
      <w:contextualSpacing/>
    </w:pPr>
  </w:style>
  <w:style w:type="paragraph" w:styleId="27">
    <w:name w:val="envelope address"/>
    <w:basedOn w:val="1"/>
    <w:qFormat/>
    <w:uiPriority w:val="0"/>
    <w:pPr>
      <w:framePr w:w="7920" w:h="1980" w:hRule="exact" w:hSpace="180" w:wrap="around" w:vAnchor="margin" w:hAnchor="page" w:xAlign="center" w:yAlign="bottom"/>
      <w:snapToGrid w:val="0"/>
      <w:ind w:left="100" w:leftChars="1400"/>
    </w:pPr>
    <w:rPr>
      <w:rFonts w:ascii="Cambria" w:hAnsi="Cambria"/>
      <w:sz w:val="24"/>
    </w:rPr>
  </w:style>
  <w:style w:type="paragraph" w:styleId="28">
    <w:name w:val="Document Map"/>
    <w:basedOn w:val="1"/>
    <w:link w:val="163"/>
    <w:qFormat/>
    <w:uiPriority w:val="99"/>
    <w:pPr>
      <w:shd w:val="clear" w:color="auto" w:fill="000080"/>
    </w:pPr>
  </w:style>
  <w:style w:type="paragraph" w:styleId="29">
    <w:name w:val="toa heading"/>
    <w:basedOn w:val="1"/>
    <w:next w:val="1"/>
    <w:qFormat/>
    <w:uiPriority w:val="0"/>
    <w:pPr>
      <w:spacing w:before="120"/>
    </w:pPr>
    <w:rPr>
      <w:rFonts w:ascii="Cambria" w:hAnsi="Cambria"/>
      <w:sz w:val="24"/>
    </w:rPr>
  </w:style>
  <w:style w:type="paragraph" w:styleId="30">
    <w:name w:val="annotation text"/>
    <w:basedOn w:val="1"/>
    <w:link w:val="135"/>
    <w:qFormat/>
    <w:uiPriority w:val="0"/>
    <w:pPr>
      <w:jc w:val="left"/>
    </w:pPr>
  </w:style>
  <w:style w:type="paragraph" w:styleId="31">
    <w:name w:val="index 6"/>
    <w:basedOn w:val="1"/>
    <w:next w:val="1"/>
    <w:qFormat/>
    <w:uiPriority w:val="0"/>
    <w:pPr>
      <w:ind w:left="1000" w:leftChars="1000"/>
    </w:pPr>
  </w:style>
  <w:style w:type="paragraph" w:styleId="32">
    <w:name w:val="Salutation"/>
    <w:basedOn w:val="1"/>
    <w:next w:val="1"/>
    <w:link w:val="132"/>
    <w:qFormat/>
    <w:uiPriority w:val="0"/>
  </w:style>
  <w:style w:type="paragraph" w:styleId="33">
    <w:name w:val="Body Text 3"/>
    <w:basedOn w:val="1"/>
    <w:qFormat/>
    <w:uiPriority w:val="0"/>
    <w:pPr>
      <w:spacing w:after="120"/>
    </w:pPr>
    <w:rPr>
      <w:sz w:val="16"/>
      <w:szCs w:val="16"/>
    </w:rPr>
  </w:style>
  <w:style w:type="paragraph" w:styleId="34">
    <w:name w:val="Closing"/>
    <w:basedOn w:val="1"/>
    <w:qFormat/>
    <w:uiPriority w:val="0"/>
    <w:pPr>
      <w:ind w:left="100" w:leftChars="2100"/>
    </w:pPr>
  </w:style>
  <w:style w:type="paragraph" w:styleId="35">
    <w:name w:val="List Bullet 3"/>
    <w:basedOn w:val="1"/>
    <w:qFormat/>
    <w:uiPriority w:val="0"/>
    <w:pPr>
      <w:tabs>
        <w:tab w:val="left" w:pos="1200"/>
      </w:tabs>
      <w:ind w:left="1200" w:hanging="360"/>
      <w:contextualSpacing/>
    </w:pPr>
  </w:style>
  <w:style w:type="paragraph" w:styleId="36">
    <w:name w:val="Body Text"/>
    <w:basedOn w:val="1"/>
    <w:next w:val="1"/>
    <w:link w:val="113"/>
    <w:qFormat/>
    <w:uiPriority w:val="99"/>
    <w:pPr>
      <w:spacing w:line="360" w:lineRule="auto"/>
    </w:pPr>
    <w:rPr>
      <w:rFonts w:eastAsia="仿宋_GB2312"/>
      <w:sz w:val="28"/>
    </w:rPr>
  </w:style>
  <w:style w:type="paragraph" w:styleId="37">
    <w:name w:val="List Number 3"/>
    <w:basedOn w:val="1"/>
    <w:qFormat/>
    <w:uiPriority w:val="0"/>
    <w:pPr>
      <w:widowControl/>
      <w:tabs>
        <w:tab w:val="left" w:pos="482"/>
      </w:tabs>
      <w:spacing w:afterLines="50"/>
      <w:ind w:left="482" w:hanging="340"/>
      <w:jc w:val="left"/>
    </w:pPr>
    <w:rPr>
      <w:kern w:val="0"/>
      <w:sz w:val="24"/>
      <w:szCs w:val="20"/>
    </w:rPr>
  </w:style>
  <w:style w:type="paragraph" w:styleId="38">
    <w:name w:val="List 2"/>
    <w:basedOn w:val="1"/>
    <w:qFormat/>
    <w:uiPriority w:val="0"/>
    <w:pPr>
      <w:ind w:left="100" w:leftChars="200" w:hanging="200" w:hangingChars="200"/>
      <w:contextualSpacing/>
    </w:pPr>
  </w:style>
  <w:style w:type="paragraph" w:styleId="39">
    <w:name w:val="List Continue"/>
    <w:basedOn w:val="1"/>
    <w:qFormat/>
    <w:uiPriority w:val="0"/>
    <w:pPr>
      <w:spacing w:after="120"/>
      <w:ind w:left="420" w:leftChars="200"/>
      <w:contextualSpacing/>
    </w:pPr>
  </w:style>
  <w:style w:type="paragraph" w:styleId="40">
    <w:name w:val="Block Text"/>
    <w:basedOn w:val="1"/>
    <w:next w:val="41"/>
    <w:qFormat/>
    <w:uiPriority w:val="0"/>
    <w:pPr>
      <w:spacing w:before="120" w:line="360" w:lineRule="auto"/>
      <w:ind w:left="824" w:right="202"/>
    </w:pPr>
    <w:rPr>
      <w:rFonts w:ascii="宋体" w:hAnsi="宋体"/>
      <w:sz w:val="24"/>
      <w:szCs w:val="21"/>
    </w:rPr>
  </w:style>
  <w:style w:type="paragraph" w:styleId="41">
    <w:name w:val="Plain Text"/>
    <w:basedOn w:val="1"/>
    <w:next w:val="1"/>
    <w:link w:val="143"/>
    <w:qFormat/>
    <w:uiPriority w:val="0"/>
    <w:rPr>
      <w:rFonts w:ascii="宋体" w:hAnsi="Courier New"/>
      <w:szCs w:val="20"/>
    </w:rPr>
  </w:style>
  <w:style w:type="paragraph" w:styleId="42">
    <w:name w:val="List Bullet 2"/>
    <w:basedOn w:val="1"/>
    <w:qFormat/>
    <w:uiPriority w:val="0"/>
    <w:pPr>
      <w:tabs>
        <w:tab w:val="left" w:pos="780"/>
      </w:tabs>
      <w:ind w:left="780" w:hanging="360"/>
      <w:contextualSpacing/>
    </w:pPr>
  </w:style>
  <w:style w:type="paragraph" w:styleId="43">
    <w:name w:val="HTML Address"/>
    <w:basedOn w:val="1"/>
    <w:link w:val="111"/>
    <w:qFormat/>
    <w:uiPriority w:val="0"/>
    <w:rPr>
      <w:i/>
      <w:iCs/>
    </w:rPr>
  </w:style>
  <w:style w:type="paragraph" w:styleId="44">
    <w:name w:val="index 4"/>
    <w:basedOn w:val="1"/>
    <w:next w:val="1"/>
    <w:qFormat/>
    <w:uiPriority w:val="0"/>
    <w:pPr>
      <w:ind w:left="600" w:leftChars="600"/>
    </w:pPr>
  </w:style>
  <w:style w:type="paragraph" w:styleId="45">
    <w:name w:val="toc 5"/>
    <w:basedOn w:val="1"/>
    <w:next w:val="1"/>
    <w:qFormat/>
    <w:uiPriority w:val="0"/>
    <w:pPr>
      <w:ind w:left="1680" w:leftChars="800"/>
    </w:pPr>
  </w:style>
  <w:style w:type="paragraph" w:styleId="46">
    <w:name w:val="toc 3"/>
    <w:basedOn w:val="1"/>
    <w:next w:val="1"/>
    <w:qFormat/>
    <w:uiPriority w:val="99"/>
    <w:pPr>
      <w:ind w:left="840" w:leftChars="400"/>
    </w:pPr>
  </w:style>
  <w:style w:type="paragraph" w:styleId="47">
    <w:name w:val="List Bullet 5"/>
    <w:basedOn w:val="1"/>
    <w:qFormat/>
    <w:uiPriority w:val="0"/>
    <w:pPr>
      <w:tabs>
        <w:tab w:val="left" w:pos="2040"/>
      </w:tabs>
      <w:ind w:left="2040" w:hanging="360"/>
      <w:contextualSpacing/>
    </w:pPr>
  </w:style>
  <w:style w:type="paragraph" w:styleId="48">
    <w:name w:val="List Number 4"/>
    <w:basedOn w:val="1"/>
    <w:qFormat/>
    <w:uiPriority w:val="0"/>
    <w:pPr>
      <w:tabs>
        <w:tab w:val="left" w:pos="1620"/>
      </w:tabs>
      <w:ind w:left="1620" w:hanging="360"/>
      <w:contextualSpacing/>
    </w:pPr>
  </w:style>
  <w:style w:type="paragraph" w:styleId="49">
    <w:name w:val="toc 8"/>
    <w:basedOn w:val="1"/>
    <w:next w:val="1"/>
    <w:qFormat/>
    <w:uiPriority w:val="0"/>
    <w:pPr>
      <w:ind w:left="2940" w:leftChars="1400"/>
    </w:pPr>
  </w:style>
  <w:style w:type="paragraph" w:styleId="50">
    <w:name w:val="index 3"/>
    <w:basedOn w:val="1"/>
    <w:next w:val="1"/>
    <w:qFormat/>
    <w:uiPriority w:val="0"/>
    <w:pPr>
      <w:ind w:left="400" w:leftChars="400"/>
    </w:pPr>
  </w:style>
  <w:style w:type="paragraph" w:styleId="51">
    <w:name w:val="Date"/>
    <w:basedOn w:val="1"/>
    <w:next w:val="1"/>
    <w:link w:val="159"/>
    <w:qFormat/>
    <w:uiPriority w:val="0"/>
    <w:rPr>
      <w:rFonts w:ascii="楷体_GB2312" w:eastAsia="楷体_GB2312"/>
      <w:b/>
      <w:sz w:val="28"/>
      <w:szCs w:val="20"/>
    </w:rPr>
  </w:style>
  <w:style w:type="paragraph" w:styleId="52">
    <w:name w:val="Body Text Indent 2"/>
    <w:basedOn w:val="1"/>
    <w:link w:val="191"/>
    <w:qFormat/>
    <w:uiPriority w:val="0"/>
    <w:pPr>
      <w:spacing w:after="120" w:line="480" w:lineRule="auto"/>
      <w:ind w:left="420" w:leftChars="200"/>
    </w:pPr>
  </w:style>
  <w:style w:type="paragraph" w:styleId="53">
    <w:name w:val="endnote text"/>
    <w:basedOn w:val="1"/>
    <w:qFormat/>
    <w:uiPriority w:val="0"/>
    <w:pPr>
      <w:snapToGrid w:val="0"/>
      <w:jc w:val="left"/>
    </w:pPr>
  </w:style>
  <w:style w:type="paragraph" w:styleId="54">
    <w:name w:val="List Continue 5"/>
    <w:basedOn w:val="1"/>
    <w:qFormat/>
    <w:uiPriority w:val="0"/>
    <w:pPr>
      <w:spacing w:after="120"/>
      <w:ind w:left="2100" w:leftChars="1000"/>
      <w:contextualSpacing/>
    </w:pPr>
  </w:style>
  <w:style w:type="paragraph" w:styleId="55">
    <w:name w:val="Balloon Text"/>
    <w:basedOn w:val="1"/>
    <w:link w:val="147"/>
    <w:qFormat/>
    <w:uiPriority w:val="0"/>
    <w:rPr>
      <w:sz w:val="18"/>
      <w:szCs w:val="18"/>
    </w:rPr>
  </w:style>
  <w:style w:type="paragraph" w:styleId="56">
    <w:name w:val="footer"/>
    <w:basedOn w:val="1"/>
    <w:link w:val="263"/>
    <w:qFormat/>
    <w:uiPriority w:val="0"/>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Cambria" w:hAnsi="Cambria"/>
    </w:rPr>
  </w:style>
  <w:style w:type="paragraph" w:styleId="58">
    <w:name w:val="header"/>
    <w:basedOn w:val="1"/>
    <w:link w:val="101"/>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qFormat/>
    <w:uiPriority w:val="0"/>
    <w:pPr>
      <w:ind w:left="100" w:leftChars="2100"/>
    </w:pPr>
  </w:style>
  <w:style w:type="paragraph" w:styleId="60">
    <w:name w:val="toc 1"/>
    <w:basedOn w:val="1"/>
    <w:next w:val="1"/>
    <w:qFormat/>
    <w:uiPriority w:val="99"/>
  </w:style>
  <w:style w:type="paragraph" w:styleId="61">
    <w:name w:val="List Continue 4"/>
    <w:basedOn w:val="1"/>
    <w:qFormat/>
    <w:uiPriority w:val="0"/>
    <w:pPr>
      <w:spacing w:after="120"/>
      <w:ind w:left="1680" w:leftChars="800"/>
      <w:contextualSpacing/>
    </w:pPr>
  </w:style>
  <w:style w:type="paragraph" w:styleId="62">
    <w:name w:val="toc 4"/>
    <w:basedOn w:val="1"/>
    <w:next w:val="1"/>
    <w:qFormat/>
    <w:uiPriority w:val="0"/>
    <w:pPr>
      <w:tabs>
        <w:tab w:val="right" w:leader="dot" w:pos="8314"/>
      </w:tabs>
      <w:ind w:firstLine="588" w:firstLineChars="245"/>
    </w:pPr>
  </w:style>
  <w:style w:type="paragraph" w:styleId="63">
    <w:name w:val="index heading"/>
    <w:basedOn w:val="1"/>
    <w:next w:val="64"/>
    <w:qFormat/>
    <w:uiPriority w:val="0"/>
    <w:rPr>
      <w:rFonts w:ascii="Cambria" w:hAnsi="Cambria"/>
      <w:b/>
      <w:bCs/>
    </w:rPr>
  </w:style>
  <w:style w:type="paragraph" w:styleId="64">
    <w:name w:val="index 1"/>
    <w:basedOn w:val="1"/>
    <w:next w:val="1"/>
    <w:semiHidden/>
    <w:qFormat/>
    <w:uiPriority w:val="0"/>
    <w:pPr>
      <w:spacing w:line="320" w:lineRule="exact"/>
    </w:pPr>
    <w:rPr>
      <w:b/>
      <w:snapToGrid w:val="0"/>
      <w:color w:val="FF6600"/>
      <w:kern w:val="0"/>
      <w:sz w:val="18"/>
      <w:szCs w:val="21"/>
    </w:rPr>
  </w:style>
  <w:style w:type="paragraph" w:styleId="65">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66">
    <w:name w:val="List Number 5"/>
    <w:basedOn w:val="1"/>
    <w:qFormat/>
    <w:uiPriority w:val="0"/>
    <w:pPr>
      <w:tabs>
        <w:tab w:val="left" w:pos="2040"/>
      </w:tabs>
      <w:ind w:left="2040" w:hanging="360"/>
      <w:contextualSpacing/>
    </w:pPr>
  </w:style>
  <w:style w:type="paragraph" w:styleId="67">
    <w:name w:val="List"/>
    <w:basedOn w:val="1"/>
    <w:qFormat/>
    <w:uiPriority w:val="0"/>
    <w:pPr>
      <w:ind w:left="200" w:hanging="200" w:hangingChars="200"/>
      <w:contextualSpacing/>
    </w:pPr>
  </w:style>
  <w:style w:type="paragraph" w:styleId="68">
    <w:name w:val="footnote text"/>
    <w:basedOn w:val="1"/>
    <w:qFormat/>
    <w:uiPriority w:val="0"/>
    <w:pPr>
      <w:snapToGrid w:val="0"/>
      <w:jc w:val="left"/>
    </w:pPr>
    <w:rPr>
      <w:sz w:val="18"/>
      <w:szCs w:val="18"/>
    </w:rPr>
  </w:style>
  <w:style w:type="paragraph" w:styleId="69">
    <w:name w:val="toc 6"/>
    <w:basedOn w:val="1"/>
    <w:next w:val="1"/>
    <w:qFormat/>
    <w:uiPriority w:val="0"/>
    <w:pPr>
      <w:ind w:left="2100" w:leftChars="1000"/>
    </w:pPr>
  </w:style>
  <w:style w:type="paragraph" w:styleId="70">
    <w:name w:val="List 5"/>
    <w:basedOn w:val="1"/>
    <w:qFormat/>
    <w:uiPriority w:val="0"/>
    <w:pPr>
      <w:ind w:left="100" w:leftChars="800" w:hanging="200" w:hangingChars="200"/>
      <w:contextualSpacing/>
    </w:pPr>
  </w:style>
  <w:style w:type="paragraph" w:styleId="71">
    <w:name w:val="Body Text Indent 3"/>
    <w:basedOn w:val="1"/>
    <w:link w:val="264"/>
    <w:qFormat/>
    <w:uiPriority w:val="99"/>
    <w:pPr>
      <w:spacing w:after="120"/>
      <w:ind w:left="42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99"/>
    <w:pPr>
      <w:ind w:left="420" w:leftChars="200"/>
    </w:pPr>
  </w:style>
  <w:style w:type="paragraph" w:styleId="76">
    <w:name w:val="toc 9"/>
    <w:basedOn w:val="1"/>
    <w:next w:val="1"/>
    <w:qFormat/>
    <w:uiPriority w:val="0"/>
    <w:pPr>
      <w:ind w:left="3360" w:leftChars="1600"/>
    </w:pPr>
  </w:style>
  <w:style w:type="paragraph" w:styleId="77">
    <w:name w:val="Body Text 2"/>
    <w:basedOn w:val="1"/>
    <w:link w:val="165"/>
    <w:qFormat/>
    <w:uiPriority w:val="0"/>
    <w:pPr>
      <w:widowControl/>
      <w:spacing w:afterLines="50" w:line="216" w:lineRule="auto"/>
      <w:jc w:val="center"/>
    </w:pPr>
    <w:rPr>
      <w:rFonts w:ascii="隶书" w:eastAsia="隶书"/>
      <w:bCs/>
      <w:kern w:val="0"/>
      <w:sz w:val="72"/>
      <w:szCs w:val="84"/>
    </w:rPr>
  </w:style>
  <w:style w:type="paragraph" w:styleId="78">
    <w:name w:val="List 4"/>
    <w:basedOn w:val="1"/>
    <w:qFormat/>
    <w:uiPriority w:val="0"/>
    <w:pPr>
      <w:ind w:left="100" w:leftChars="600" w:hanging="200" w:hangingChars="200"/>
      <w:contextualSpacing/>
    </w:pPr>
  </w:style>
  <w:style w:type="paragraph" w:styleId="79">
    <w:name w:val="List Continue 2"/>
    <w:basedOn w:val="1"/>
    <w:qFormat/>
    <w:uiPriority w:val="0"/>
    <w:pPr>
      <w:spacing w:after="120"/>
      <w:ind w:left="840" w:leftChars="400"/>
    </w:pPr>
  </w:style>
  <w:style w:type="paragraph" w:styleId="8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81">
    <w:name w:val="HTML Preformatted"/>
    <w:basedOn w:val="1"/>
    <w:link w:val="26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82">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83">
    <w:name w:val="List Continue 3"/>
    <w:basedOn w:val="1"/>
    <w:qFormat/>
    <w:uiPriority w:val="0"/>
    <w:pPr>
      <w:spacing w:after="120"/>
      <w:ind w:left="1260" w:leftChars="600"/>
      <w:contextualSpacing/>
    </w:pPr>
  </w:style>
  <w:style w:type="paragraph" w:styleId="84">
    <w:name w:val="index 2"/>
    <w:basedOn w:val="1"/>
    <w:next w:val="1"/>
    <w:qFormat/>
    <w:uiPriority w:val="0"/>
    <w:pPr>
      <w:ind w:left="200" w:leftChars="200"/>
    </w:pPr>
  </w:style>
  <w:style w:type="paragraph" w:styleId="85">
    <w:name w:val="Title"/>
    <w:basedOn w:val="1"/>
    <w:next w:val="1"/>
    <w:link w:val="192"/>
    <w:qFormat/>
    <w:uiPriority w:val="0"/>
    <w:pPr>
      <w:spacing w:before="240" w:after="60"/>
      <w:jc w:val="center"/>
      <w:outlineLvl w:val="0"/>
    </w:pPr>
    <w:rPr>
      <w:rFonts w:ascii="Cambria" w:hAnsi="Cambria"/>
      <w:b/>
      <w:bCs/>
      <w:sz w:val="32"/>
      <w:szCs w:val="32"/>
    </w:rPr>
  </w:style>
  <w:style w:type="paragraph" w:styleId="86">
    <w:name w:val="annotation subject"/>
    <w:basedOn w:val="30"/>
    <w:next w:val="30"/>
    <w:link w:val="134"/>
    <w:qFormat/>
    <w:uiPriority w:val="0"/>
    <w:pPr>
      <w:widowControl/>
      <w:spacing w:afterLines="50"/>
    </w:pPr>
    <w:rPr>
      <w:b/>
      <w:bCs/>
      <w:kern w:val="0"/>
      <w:sz w:val="24"/>
      <w:szCs w:val="20"/>
    </w:rPr>
  </w:style>
  <w:style w:type="paragraph" w:styleId="87">
    <w:name w:val="Body Text First Indent"/>
    <w:basedOn w:val="36"/>
    <w:next w:val="69"/>
    <w:qFormat/>
    <w:uiPriority w:val="0"/>
    <w:pPr>
      <w:spacing w:after="120" w:line="240" w:lineRule="auto"/>
      <w:ind w:firstLine="420" w:firstLineChars="100"/>
    </w:pPr>
    <w:rPr>
      <w:rFonts w:eastAsia="宋体"/>
      <w:sz w:val="21"/>
    </w:rPr>
  </w:style>
  <w:style w:type="table" w:styleId="89">
    <w:name w:val="Table Grid"/>
    <w:basedOn w:val="8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qFormat/>
    <w:uiPriority w:val="99"/>
    <w:rPr>
      <w:b/>
      <w:bCs/>
    </w:rPr>
  </w:style>
  <w:style w:type="character" w:styleId="92">
    <w:name w:val="page number"/>
    <w:basedOn w:val="90"/>
    <w:qFormat/>
    <w:uiPriority w:val="0"/>
  </w:style>
  <w:style w:type="character" w:styleId="93">
    <w:name w:val="FollowedHyperlink"/>
    <w:qFormat/>
    <w:uiPriority w:val="0"/>
    <w:rPr>
      <w:color w:val="800080"/>
      <w:u w:val="single"/>
    </w:rPr>
  </w:style>
  <w:style w:type="character" w:styleId="94">
    <w:name w:val="Emphasis"/>
    <w:qFormat/>
    <w:uiPriority w:val="0"/>
    <w:rPr>
      <w:color w:val="CC0000"/>
    </w:rPr>
  </w:style>
  <w:style w:type="character" w:styleId="95">
    <w:name w:val="Hyperlink"/>
    <w:qFormat/>
    <w:uiPriority w:val="99"/>
    <w:rPr>
      <w:color w:val="0000FF"/>
      <w:u w:val="single"/>
    </w:rPr>
  </w:style>
  <w:style w:type="character" w:styleId="96">
    <w:name w:val="annotation reference"/>
    <w:qFormat/>
    <w:uiPriority w:val="0"/>
    <w:rPr>
      <w:sz w:val="21"/>
      <w:szCs w:val="21"/>
    </w:rPr>
  </w:style>
  <w:style w:type="character" w:customStyle="1" w:styleId="97">
    <w:name w:val="正文（缩进2汉字） Char"/>
    <w:link w:val="98"/>
    <w:qFormat/>
    <w:uiPriority w:val="0"/>
    <w:rPr>
      <w:rFonts w:ascii="宋体"/>
      <w:kern w:val="2"/>
      <w:sz w:val="21"/>
      <w:lang w:bidi="ar-SA"/>
    </w:rPr>
  </w:style>
  <w:style w:type="paragraph" w:customStyle="1" w:styleId="98">
    <w:name w:val="正文（缩进2汉字）"/>
    <w:basedOn w:val="1"/>
    <w:link w:val="97"/>
    <w:qFormat/>
    <w:uiPriority w:val="0"/>
    <w:pPr>
      <w:tabs>
        <w:tab w:val="left" w:pos="525"/>
      </w:tabs>
      <w:spacing w:before="100" w:beforeAutospacing="1" w:after="100" w:afterAutospacing="1"/>
      <w:ind w:left="120" w:leftChars="50" w:firstLine="494" w:firstLineChars="206"/>
    </w:pPr>
    <w:rPr>
      <w:rFonts w:ascii="宋体"/>
      <w:szCs w:val="20"/>
    </w:rPr>
  </w:style>
  <w:style w:type="character" w:customStyle="1" w:styleId="99">
    <w:name w:val="Table Text Char1"/>
    <w:link w:val="100"/>
    <w:qFormat/>
    <w:uiPriority w:val="0"/>
    <w:rPr>
      <w:rFonts w:ascii="Arial" w:hAnsi="Arial"/>
      <w:sz w:val="18"/>
      <w:lang w:val="en-US" w:eastAsia="zh-CN" w:bidi="ar-SA"/>
    </w:rPr>
  </w:style>
  <w:style w:type="paragraph" w:customStyle="1" w:styleId="100">
    <w:name w:val="Table Text"/>
    <w:link w:val="99"/>
    <w:qFormat/>
    <w:uiPriority w:val="0"/>
    <w:pPr>
      <w:snapToGrid w:val="0"/>
      <w:spacing w:before="80" w:after="80"/>
    </w:pPr>
    <w:rPr>
      <w:rFonts w:ascii="Arial" w:hAnsi="Arial" w:eastAsia="宋体" w:cs="Times New Roman"/>
      <w:sz w:val="18"/>
      <w:lang w:val="en-US" w:eastAsia="zh-CN" w:bidi="ar-SA"/>
    </w:rPr>
  </w:style>
  <w:style w:type="character" w:customStyle="1" w:styleId="101">
    <w:name w:val="页眉 Char"/>
    <w:link w:val="58"/>
    <w:qFormat/>
    <w:uiPriority w:val="0"/>
    <w:rPr>
      <w:rFonts w:eastAsia="宋体"/>
      <w:kern w:val="2"/>
      <w:sz w:val="18"/>
      <w:szCs w:val="18"/>
      <w:lang w:val="en-US" w:eastAsia="zh-CN" w:bidi="ar-SA"/>
    </w:rPr>
  </w:style>
  <w:style w:type="character" w:customStyle="1" w:styleId="102">
    <w:name w:val="标题 8 Char"/>
    <w:link w:val="13"/>
    <w:qFormat/>
    <w:uiPriority w:val="0"/>
    <w:rPr>
      <w:rFonts w:ascii="Arial" w:hAnsi="Arial" w:eastAsia="黑体"/>
      <w:sz w:val="24"/>
      <w:lang w:val="en-US" w:eastAsia="zh-CN" w:bidi="ar-SA"/>
    </w:rPr>
  </w:style>
  <w:style w:type="character" w:customStyle="1" w:styleId="103">
    <w:name w:val="style51"/>
    <w:qFormat/>
    <w:uiPriority w:val="0"/>
    <w:rPr>
      <w:sz w:val="21"/>
      <w:szCs w:val="21"/>
    </w:rPr>
  </w:style>
  <w:style w:type="character" w:customStyle="1" w:styleId="104">
    <w:name w:val="标题 4 Char"/>
    <w:link w:val="9"/>
    <w:qFormat/>
    <w:uiPriority w:val="0"/>
    <w:rPr>
      <w:rFonts w:ascii="Arial" w:hAnsi="Arial" w:eastAsia="黑体"/>
      <w:b/>
      <w:kern w:val="2"/>
      <w:sz w:val="28"/>
    </w:rPr>
  </w:style>
  <w:style w:type="character" w:customStyle="1" w:styleId="105">
    <w:name w:val="明显引用 Char"/>
    <w:link w:val="106"/>
    <w:qFormat/>
    <w:uiPriority w:val="0"/>
    <w:rPr>
      <w:rFonts w:eastAsia="宋体"/>
      <w:b/>
      <w:bCs/>
      <w:i/>
      <w:iCs/>
      <w:color w:val="4F81BD"/>
      <w:kern w:val="2"/>
      <w:sz w:val="21"/>
      <w:szCs w:val="24"/>
      <w:lang w:val="en-US" w:eastAsia="zh-CN" w:bidi="ar-SA"/>
    </w:rPr>
  </w:style>
  <w:style w:type="paragraph" w:styleId="106">
    <w:name w:val="Intense Quote"/>
    <w:basedOn w:val="1"/>
    <w:next w:val="1"/>
    <w:link w:val="105"/>
    <w:qFormat/>
    <w:uiPriority w:val="0"/>
    <w:pPr>
      <w:pBdr>
        <w:bottom w:val="single" w:color="4F81BD" w:sz="4" w:space="4"/>
      </w:pBdr>
      <w:spacing w:before="200" w:after="280"/>
      <w:ind w:left="936" w:right="936"/>
    </w:pPr>
    <w:rPr>
      <w:b/>
      <w:bCs/>
      <w:i/>
      <w:iCs/>
      <w:color w:val="4F81BD"/>
    </w:rPr>
  </w:style>
  <w:style w:type="character" w:customStyle="1" w:styleId="107">
    <w:name w:val="Char Char8"/>
    <w:qFormat/>
    <w:uiPriority w:val="0"/>
    <w:rPr>
      <w:rFonts w:ascii="宋体" w:eastAsia="宋体"/>
      <w:kern w:val="2"/>
      <w:sz w:val="28"/>
      <w:lang w:val="en-US" w:eastAsia="zh-CN" w:bidi="ar-SA"/>
    </w:rPr>
  </w:style>
  <w:style w:type="character" w:customStyle="1" w:styleId="108">
    <w:name w:val="ca-3"/>
    <w:basedOn w:val="90"/>
    <w:qFormat/>
    <w:uiPriority w:val="0"/>
  </w:style>
  <w:style w:type="character" w:customStyle="1" w:styleId="109">
    <w:name w:val="标题 2 Char"/>
    <w:link w:val="6"/>
    <w:qFormat/>
    <w:uiPriority w:val="9"/>
    <w:rPr>
      <w:rFonts w:ascii="Arial" w:hAnsi="Arial" w:eastAsia="黑体"/>
      <w:b/>
      <w:kern w:val="2"/>
      <w:sz w:val="32"/>
    </w:rPr>
  </w:style>
  <w:style w:type="character" w:customStyle="1" w:styleId="110">
    <w:name w:val="Char Char19"/>
    <w:qFormat/>
    <w:uiPriority w:val="0"/>
    <w:rPr>
      <w:rFonts w:eastAsia="宋体"/>
      <w:kern w:val="2"/>
      <w:sz w:val="21"/>
      <w:szCs w:val="24"/>
      <w:lang w:val="en-US" w:eastAsia="zh-CN" w:bidi="ar-SA"/>
    </w:rPr>
  </w:style>
  <w:style w:type="character" w:customStyle="1" w:styleId="111">
    <w:name w:val="HTML 地址 Char"/>
    <w:link w:val="43"/>
    <w:qFormat/>
    <w:uiPriority w:val="0"/>
    <w:rPr>
      <w:rFonts w:eastAsia="宋体"/>
      <w:i/>
      <w:iCs/>
      <w:kern w:val="2"/>
      <w:sz w:val="21"/>
      <w:szCs w:val="24"/>
      <w:lang w:val="en-US" w:eastAsia="zh-CN" w:bidi="ar-SA"/>
    </w:rPr>
  </w:style>
  <w:style w:type="character" w:customStyle="1" w:styleId="112">
    <w:name w:val="Char Char16"/>
    <w:semiHidden/>
    <w:qFormat/>
    <w:uiPriority w:val="0"/>
    <w:rPr>
      <w:rFonts w:eastAsia="宋体"/>
      <w:kern w:val="2"/>
      <w:sz w:val="21"/>
      <w:szCs w:val="24"/>
      <w:lang w:val="en-US" w:eastAsia="zh-CN" w:bidi="ar-SA"/>
    </w:rPr>
  </w:style>
  <w:style w:type="character" w:customStyle="1" w:styleId="113">
    <w:name w:val="正文文本 Char"/>
    <w:link w:val="36"/>
    <w:qFormat/>
    <w:locked/>
    <w:uiPriority w:val="99"/>
    <w:rPr>
      <w:rFonts w:eastAsia="仿宋_GB2312"/>
      <w:kern w:val="2"/>
      <w:sz w:val="28"/>
      <w:szCs w:val="24"/>
      <w:lang w:val="en-US" w:eastAsia="zh-CN" w:bidi="ar-SA"/>
    </w:rPr>
  </w:style>
  <w:style w:type="character" w:customStyle="1" w:styleId="114">
    <w:name w:val="Char Char9"/>
    <w:qFormat/>
    <w:uiPriority w:val="0"/>
    <w:rPr>
      <w:b/>
      <w:kern w:val="2"/>
      <w:sz w:val="24"/>
      <w:szCs w:val="24"/>
    </w:rPr>
  </w:style>
  <w:style w:type="character" w:customStyle="1" w:styleId="115">
    <w:name w:val="H4 Char"/>
    <w:qFormat/>
    <w:uiPriority w:val="0"/>
    <w:rPr>
      <w:rFonts w:ascii="宋体" w:hAnsi="宋体" w:eastAsia="黑体"/>
      <w:b/>
      <w:bCs/>
      <w:color w:val="000000"/>
      <w:spacing w:val="-4"/>
      <w:kern w:val="2"/>
      <w:sz w:val="24"/>
      <w:szCs w:val="30"/>
      <w:lang w:val="en-US" w:eastAsia="zh-CN" w:bidi="ar-SA"/>
    </w:rPr>
  </w:style>
  <w:style w:type="character" w:customStyle="1" w:styleId="116">
    <w:name w:val="info"/>
    <w:basedOn w:val="90"/>
    <w:qFormat/>
    <w:uiPriority w:val="0"/>
  </w:style>
  <w:style w:type="character" w:customStyle="1" w:styleId="117">
    <w:name w:val="Char Char"/>
    <w:qFormat/>
    <w:uiPriority w:val="0"/>
    <w:rPr>
      <w:rFonts w:hint="eastAsia" w:ascii="宋体" w:hAnsi="Courier New" w:eastAsia="宋体"/>
      <w:kern w:val="2"/>
      <w:sz w:val="21"/>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H5 Char"/>
    <w:qFormat/>
    <w:uiPriority w:val="0"/>
    <w:rPr>
      <w:rFonts w:ascii="Arial" w:hAnsi="Arial" w:eastAsia="宋体"/>
      <w:sz w:val="24"/>
      <w:lang w:val="en-US" w:eastAsia="zh-CN" w:bidi="ar-SA"/>
    </w:rPr>
  </w:style>
  <w:style w:type="character" w:customStyle="1" w:styleId="120">
    <w:name w:val="表格 Char Char"/>
    <w:link w:val="121"/>
    <w:qFormat/>
    <w:locked/>
    <w:uiPriority w:val="0"/>
    <w:rPr>
      <w:rFonts w:ascii="宋体" w:hAnsi="宋体" w:eastAsia="宋体"/>
      <w:lang w:val="en-US" w:eastAsia="zh-CN" w:bidi="ar-SA"/>
    </w:rPr>
  </w:style>
  <w:style w:type="paragraph" w:customStyle="1" w:styleId="121">
    <w:name w:val="表格"/>
    <w:basedOn w:val="1"/>
    <w:link w:val="120"/>
    <w:qFormat/>
    <w:uiPriority w:val="0"/>
    <w:pPr>
      <w:snapToGrid w:val="0"/>
      <w:ind w:firstLine="42" w:firstLineChars="21"/>
    </w:pPr>
    <w:rPr>
      <w:rFonts w:ascii="宋体" w:hAnsi="宋体"/>
      <w:kern w:val="0"/>
      <w:sz w:val="20"/>
      <w:szCs w:val="20"/>
    </w:rPr>
  </w:style>
  <w:style w:type="character" w:customStyle="1" w:styleId="122">
    <w:name w:val="Char Char33"/>
    <w:qFormat/>
    <w:uiPriority w:val="0"/>
    <w:rPr>
      <w:rFonts w:eastAsia="仿宋_GB2312"/>
      <w:b/>
      <w:kern w:val="2"/>
      <w:sz w:val="32"/>
      <w:lang w:val="en-US" w:eastAsia="zh-CN" w:bidi="ar-SA"/>
    </w:rPr>
  </w:style>
  <w:style w:type="character" w:customStyle="1" w:styleId="123">
    <w:name w:val="Char Char20"/>
    <w:qFormat/>
    <w:locked/>
    <w:uiPriority w:val="0"/>
    <w:rPr>
      <w:rFonts w:eastAsia="宋体"/>
      <w:kern w:val="2"/>
      <w:sz w:val="21"/>
      <w:szCs w:val="24"/>
      <w:lang w:val="en-US" w:eastAsia="zh-CN" w:bidi="ar-SA"/>
    </w:rPr>
  </w:style>
  <w:style w:type="character" w:customStyle="1" w:styleId="124">
    <w:name w:val="Char Char35"/>
    <w:qFormat/>
    <w:uiPriority w:val="0"/>
    <w:rPr>
      <w:rFonts w:eastAsia="仿宋_GB2312"/>
      <w:b/>
      <w:kern w:val="44"/>
      <w:sz w:val="44"/>
      <w:lang w:val="en-US" w:eastAsia="zh-CN" w:bidi="ar-SA"/>
    </w:rPr>
  </w:style>
  <w:style w:type="character" w:customStyle="1" w:styleId="125">
    <w:name w:val="正文文本缩进 Char"/>
    <w:link w:val="3"/>
    <w:qFormat/>
    <w:uiPriority w:val="99"/>
    <w:rPr>
      <w:rFonts w:eastAsia="宋体"/>
      <w:kern w:val="2"/>
      <w:sz w:val="21"/>
      <w:szCs w:val="24"/>
      <w:lang w:val="en-US" w:eastAsia="zh-CN" w:bidi="ar-SA"/>
    </w:rPr>
  </w:style>
  <w:style w:type="character" w:customStyle="1" w:styleId="126">
    <w:name w:val="Char Char27"/>
    <w:qFormat/>
    <w:uiPriority w:val="0"/>
    <w:rPr>
      <w:rFonts w:ascii="Arial" w:hAnsi="Arial" w:eastAsia="黑体"/>
      <w:sz w:val="24"/>
      <w:lang w:val="en-US" w:eastAsia="zh-CN" w:bidi="ar-SA"/>
    </w:rPr>
  </w:style>
  <w:style w:type="character" w:customStyle="1" w:styleId="127">
    <w:name w:val="标题 3 Char"/>
    <w:link w:val="8"/>
    <w:qFormat/>
    <w:uiPriority w:val="9"/>
    <w:rPr>
      <w:rFonts w:eastAsia="仿宋_GB2312"/>
      <w:b/>
      <w:kern w:val="2"/>
      <w:sz w:val="32"/>
    </w:rPr>
  </w:style>
  <w:style w:type="character" w:customStyle="1" w:styleId="128">
    <w:name w:val="style21"/>
    <w:uiPriority w:val="0"/>
    <w:rPr>
      <w:sz w:val="15"/>
      <w:szCs w:val="15"/>
    </w:rPr>
  </w:style>
  <w:style w:type="character" w:customStyle="1" w:styleId="129">
    <w:name w:val="标题 9 Char"/>
    <w:link w:val="14"/>
    <w:qFormat/>
    <w:uiPriority w:val="0"/>
    <w:rPr>
      <w:rFonts w:ascii="Arial" w:hAnsi="Arial" w:eastAsia="黑体"/>
      <w:sz w:val="24"/>
      <w:lang w:val="en-US" w:eastAsia="zh-CN" w:bidi="ar-SA"/>
    </w:rPr>
  </w:style>
  <w:style w:type="character" w:customStyle="1" w:styleId="130">
    <w:name w:val="Char Char34"/>
    <w:qFormat/>
    <w:uiPriority w:val="0"/>
    <w:rPr>
      <w:rFonts w:ascii="Arial" w:hAnsi="Arial" w:eastAsia="黑体"/>
      <w:b/>
      <w:kern w:val="2"/>
      <w:sz w:val="32"/>
      <w:lang w:val="en-US" w:eastAsia="zh-CN" w:bidi="ar-SA"/>
    </w:rPr>
  </w:style>
  <w:style w:type="character" w:customStyle="1" w:styleId="131">
    <w:name w:val="Char Char24"/>
    <w:qFormat/>
    <w:uiPriority w:val="0"/>
    <w:rPr>
      <w:rFonts w:ascii="宋体" w:hAnsi="Courier New" w:eastAsia="宋体"/>
      <w:kern w:val="2"/>
      <w:sz w:val="21"/>
      <w:lang w:val="en-US" w:eastAsia="zh-CN" w:bidi="ar-SA"/>
    </w:rPr>
  </w:style>
  <w:style w:type="character" w:customStyle="1" w:styleId="132">
    <w:name w:val="称呼 Char"/>
    <w:link w:val="32"/>
    <w:qFormat/>
    <w:uiPriority w:val="0"/>
    <w:rPr>
      <w:rFonts w:eastAsia="宋体"/>
      <w:kern w:val="2"/>
      <w:sz w:val="21"/>
      <w:szCs w:val="24"/>
      <w:lang w:val="en-US" w:eastAsia="zh-CN" w:bidi="ar-SA"/>
    </w:rPr>
  </w:style>
  <w:style w:type="character" w:customStyle="1" w:styleId="133">
    <w:name w:val="Char Char23"/>
    <w:locked/>
    <w:uiPriority w:val="0"/>
    <w:rPr>
      <w:rFonts w:eastAsia="仿宋_GB2312"/>
      <w:kern w:val="2"/>
      <w:sz w:val="28"/>
      <w:szCs w:val="24"/>
      <w:lang w:val="en-US" w:eastAsia="zh-CN" w:bidi="ar-SA"/>
    </w:rPr>
  </w:style>
  <w:style w:type="character" w:customStyle="1" w:styleId="134">
    <w:name w:val="批注主题 Char"/>
    <w:basedOn w:val="135"/>
    <w:link w:val="86"/>
    <w:qFormat/>
    <w:uiPriority w:val="0"/>
    <w:rPr>
      <w:rFonts w:eastAsia="宋体"/>
      <w:b/>
      <w:bCs/>
      <w:kern w:val="2"/>
      <w:sz w:val="24"/>
      <w:szCs w:val="24"/>
      <w:lang w:val="en-US" w:eastAsia="zh-CN" w:bidi="ar-SA"/>
    </w:rPr>
  </w:style>
  <w:style w:type="character" w:customStyle="1" w:styleId="135">
    <w:name w:val="批注文字 Char"/>
    <w:link w:val="30"/>
    <w:qFormat/>
    <w:uiPriority w:val="0"/>
    <w:rPr>
      <w:rFonts w:eastAsia="宋体"/>
      <w:kern w:val="2"/>
      <w:sz w:val="21"/>
      <w:szCs w:val="24"/>
      <w:lang w:val="en-US" w:eastAsia="zh-CN" w:bidi="ar-SA"/>
    </w:rPr>
  </w:style>
  <w:style w:type="character" w:customStyle="1" w:styleId="136">
    <w:name w:val="paragraph1 Char"/>
    <w:link w:val="137"/>
    <w:qFormat/>
    <w:uiPriority w:val="0"/>
    <w:rPr>
      <w:rFonts w:ascii="Arial" w:hAnsi="Arial" w:eastAsia="宋体"/>
      <w:sz w:val="24"/>
      <w:szCs w:val="24"/>
      <w:lang w:bidi="ar-SA"/>
    </w:rPr>
  </w:style>
  <w:style w:type="paragraph" w:customStyle="1" w:styleId="137">
    <w:name w:val="paragraph1"/>
    <w:basedOn w:val="1"/>
    <w:link w:val="136"/>
    <w:qFormat/>
    <w:uiPriority w:val="0"/>
    <w:pPr>
      <w:spacing w:afterLines="30" w:line="360" w:lineRule="auto"/>
      <w:ind w:firstLine="480" w:firstLineChars="200"/>
    </w:pPr>
    <w:rPr>
      <w:rFonts w:ascii="Arial" w:hAnsi="Arial"/>
      <w:kern w:val="0"/>
      <w:sz w:val="24"/>
    </w:rPr>
  </w:style>
  <w:style w:type="character" w:customStyle="1" w:styleId="138">
    <w:name w:val="Char Char22"/>
    <w:qFormat/>
    <w:uiPriority w:val="0"/>
    <w:rPr>
      <w:rFonts w:ascii="宋体" w:hAnsi="Courier New" w:eastAsia="宋体"/>
      <w:kern w:val="2"/>
      <w:sz w:val="21"/>
      <w:lang w:val="en-US" w:eastAsia="zh-CN" w:bidi="ar-SA"/>
    </w:rPr>
  </w:style>
  <w:style w:type="character" w:customStyle="1" w:styleId="139">
    <w:name w:val="font1"/>
    <w:qFormat/>
    <w:uiPriority w:val="0"/>
    <w:rPr>
      <w:color w:val="999999"/>
      <w:sz w:val="18"/>
      <w:szCs w:val="18"/>
      <w:u w:val="none"/>
    </w:rPr>
  </w:style>
  <w:style w:type="character" w:customStyle="1" w:styleId="140">
    <w:name w:val="正文2 Char"/>
    <w:link w:val="141"/>
    <w:qFormat/>
    <w:uiPriority w:val="0"/>
    <w:rPr>
      <w:rFonts w:eastAsia="宋体"/>
      <w:kern w:val="2"/>
      <w:sz w:val="24"/>
      <w:lang w:val="en-US" w:eastAsia="zh-CN" w:bidi="ar-SA"/>
    </w:rPr>
  </w:style>
  <w:style w:type="paragraph" w:customStyle="1" w:styleId="141">
    <w:name w:val="正文2"/>
    <w:basedOn w:val="1"/>
    <w:link w:val="140"/>
    <w:qFormat/>
    <w:uiPriority w:val="0"/>
    <w:pPr>
      <w:spacing w:before="156" w:line="360" w:lineRule="auto"/>
      <w:ind w:firstLine="510" w:firstLineChars="200"/>
    </w:pPr>
    <w:rPr>
      <w:sz w:val="24"/>
      <w:szCs w:val="20"/>
    </w:rPr>
  </w:style>
  <w:style w:type="character" w:customStyle="1" w:styleId="142">
    <w:name w:val="Char Char32"/>
    <w:qFormat/>
    <w:uiPriority w:val="0"/>
    <w:rPr>
      <w:rFonts w:ascii="Arial" w:hAnsi="Arial" w:eastAsia="黑体"/>
      <w:b/>
      <w:kern w:val="2"/>
      <w:sz w:val="28"/>
      <w:lang w:val="en-US" w:eastAsia="zh-CN" w:bidi="ar-SA"/>
    </w:rPr>
  </w:style>
  <w:style w:type="character" w:customStyle="1" w:styleId="143">
    <w:name w:val="纯文本 Char"/>
    <w:link w:val="41"/>
    <w:qFormat/>
    <w:uiPriority w:val="0"/>
    <w:rPr>
      <w:rFonts w:ascii="宋体" w:hAnsi="Courier New" w:eastAsia="宋体"/>
      <w:kern w:val="2"/>
      <w:sz w:val="21"/>
      <w:lang w:val="en-US" w:eastAsia="zh-CN" w:bidi="ar-SA"/>
    </w:rPr>
  </w:style>
  <w:style w:type="character" w:customStyle="1" w:styleId="144">
    <w:name w:val="Char Char7"/>
    <w:uiPriority w:val="0"/>
    <w:rPr>
      <w:rFonts w:eastAsia="仿宋_GB2312"/>
      <w:kern w:val="2"/>
      <w:sz w:val="24"/>
      <w:szCs w:val="24"/>
      <w:lang w:val="en-US" w:eastAsia="zh-CN" w:bidi="ar-SA"/>
    </w:rPr>
  </w:style>
  <w:style w:type="character" w:customStyle="1" w:styleId="145">
    <w:name w:val="apple-style-span"/>
    <w:basedOn w:val="90"/>
    <w:qFormat/>
    <w:uiPriority w:val="0"/>
  </w:style>
  <w:style w:type="character" w:customStyle="1" w:styleId="146">
    <w:name w:val="font01"/>
    <w:basedOn w:val="90"/>
    <w:qFormat/>
    <w:uiPriority w:val="99"/>
    <w:rPr>
      <w:rFonts w:ascii="Calibri" w:hAnsi="Calibri" w:cs="Calibri"/>
      <w:color w:val="000000"/>
      <w:sz w:val="21"/>
      <w:szCs w:val="21"/>
      <w:u w:val="none"/>
    </w:rPr>
  </w:style>
  <w:style w:type="character" w:customStyle="1" w:styleId="147">
    <w:name w:val="批注框文本 Char"/>
    <w:basedOn w:val="90"/>
    <w:link w:val="55"/>
    <w:qFormat/>
    <w:uiPriority w:val="0"/>
    <w:rPr>
      <w:kern w:val="2"/>
      <w:sz w:val="18"/>
      <w:szCs w:val="18"/>
    </w:rPr>
  </w:style>
  <w:style w:type="character" w:customStyle="1" w:styleId="148">
    <w:name w:val="项目排列 Char"/>
    <w:link w:val="149"/>
    <w:qFormat/>
    <w:uiPriority w:val="0"/>
    <w:rPr>
      <w:kern w:val="2"/>
      <w:sz w:val="24"/>
      <w:szCs w:val="24"/>
    </w:rPr>
  </w:style>
  <w:style w:type="paragraph" w:customStyle="1" w:styleId="149">
    <w:name w:val="项目排列"/>
    <w:basedOn w:val="1"/>
    <w:link w:val="148"/>
    <w:uiPriority w:val="0"/>
    <w:pPr>
      <w:tabs>
        <w:tab w:val="left" w:pos="900"/>
      </w:tabs>
      <w:spacing w:beforeLines="50" w:afterLines="50" w:line="300" w:lineRule="auto"/>
      <w:ind w:left="900" w:hanging="420"/>
    </w:pPr>
    <w:rPr>
      <w:sz w:val="24"/>
    </w:rPr>
  </w:style>
  <w:style w:type="character" w:customStyle="1" w:styleId="150">
    <w:name w:val="列出段落 Char"/>
    <w:link w:val="151"/>
    <w:qFormat/>
    <w:uiPriority w:val="0"/>
    <w:rPr>
      <w:rFonts w:ascii="Calibri" w:hAnsi="Calibri" w:eastAsia="宋体"/>
      <w:sz w:val="22"/>
      <w:szCs w:val="22"/>
      <w:lang w:val="en-US" w:eastAsia="zh-CN" w:bidi="ar-SA"/>
    </w:rPr>
  </w:style>
  <w:style w:type="paragraph" w:styleId="151">
    <w:name w:val="List Paragraph"/>
    <w:basedOn w:val="1"/>
    <w:link w:val="150"/>
    <w:qFormat/>
    <w:uiPriority w:val="99"/>
    <w:pPr>
      <w:widowControl/>
      <w:spacing w:after="200" w:line="276" w:lineRule="auto"/>
      <w:ind w:left="720"/>
      <w:contextualSpacing/>
      <w:jc w:val="left"/>
    </w:pPr>
    <w:rPr>
      <w:rFonts w:ascii="Calibri" w:hAnsi="Calibri"/>
      <w:kern w:val="0"/>
      <w:sz w:val="22"/>
      <w:szCs w:val="22"/>
    </w:rPr>
  </w:style>
  <w:style w:type="character" w:customStyle="1" w:styleId="152">
    <w:name w:val="正文段 Char"/>
    <w:link w:val="153"/>
    <w:qFormat/>
    <w:uiPriority w:val="0"/>
    <w:rPr>
      <w:sz w:val="24"/>
    </w:rPr>
  </w:style>
  <w:style w:type="paragraph" w:customStyle="1" w:styleId="153">
    <w:name w:val="正文段"/>
    <w:basedOn w:val="1"/>
    <w:link w:val="152"/>
    <w:qFormat/>
    <w:uiPriority w:val="0"/>
    <w:pPr>
      <w:widowControl/>
      <w:snapToGrid w:val="0"/>
      <w:spacing w:afterLines="50"/>
      <w:ind w:firstLine="200" w:firstLineChars="200"/>
    </w:pPr>
    <w:rPr>
      <w:kern w:val="0"/>
      <w:sz w:val="24"/>
      <w:szCs w:val="20"/>
    </w:rPr>
  </w:style>
  <w:style w:type="character" w:customStyle="1" w:styleId="154">
    <w:name w:val="正文缩进 Char"/>
    <w:link w:val="7"/>
    <w:qFormat/>
    <w:uiPriority w:val="0"/>
    <w:rPr>
      <w:rFonts w:eastAsia="宋体"/>
      <w:kern w:val="2"/>
      <w:sz w:val="21"/>
      <w:szCs w:val="24"/>
      <w:lang w:val="en-US" w:eastAsia="zh-CN" w:bidi="ar-SA"/>
    </w:rPr>
  </w:style>
  <w:style w:type="character" w:customStyle="1" w:styleId="155">
    <w:name w:val="font21"/>
    <w:basedOn w:val="90"/>
    <w:qFormat/>
    <w:uiPriority w:val="99"/>
    <w:rPr>
      <w:rFonts w:hint="eastAsia" w:ascii="宋体" w:hAnsi="宋体" w:eastAsia="宋体" w:cs="宋体"/>
      <w:color w:val="0000FF"/>
      <w:sz w:val="21"/>
      <w:szCs w:val="21"/>
      <w:u w:val="none"/>
    </w:rPr>
  </w:style>
  <w:style w:type="character" w:customStyle="1" w:styleId="156">
    <w:name w:val="Char Char18"/>
    <w:qFormat/>
    <w:uiPriority w:val="0"/>
    <w:rPr>
      <w:rFonts w:ascii="隶书" w:eastAsia="隶书"/>
      <w:bCs/>
      <w:sz w:val="72"/>
      <w:szCs w:val="84"/>
      <w:lang w:val="en-US" w:eastAsia="zh-CN" w:bidi="ar-SA"/>
    </w:rPr>
  </w:style>
  <w:style w:type="character" w:customStyle="1" w:styleId="157">
    <w:name w:val="font71"/>
    <w:basedOn w:val="90"/>
    <w:qFormat/>
    <w:uiPriority w:val="0"/>
    <w:rPr>
      <w:rFonts w:hint="eastAsia" w:ascii="宋体" w:hAnsi="宋体" w:eastAsia="宋体" w:cs="宋体"/>
      <w:b/>
      <w:color w:val="000000"/>
      <w:sz w:val="22"/>
      <w:szCs w:val="22"/>
      <w:u w:val="none"/>
    </w:rPr>
  </w:style>
  <w:style w:type="character" w:customStyle="1" w:styleId="158">
    <w:name w:val="标题 5 Char"/>
    <w:link w:val="10"/>
    <w:uiPriority w:val="0"/>
    <w:rPr>
      <w:sz w:val="24"/>
    </w:rPr>
  </w:style>
  <w:style w:type="character" w:customStyle="1" w:styleId="159">
    <w:name w:val="日期 Char"/>
    <w:link w:val="51"/>
    <w:qFormat/>
    <w:uiPriority w:val="0"/>
    <w:rPr>
      <w:rFonts w:ascii="楷体_GB2312" w:eastAsia="楷体_GB2312"/>
      <w:b/>
      <w:kern w:val="2"/>
      <w:sz w:val="28"/>
      <w:lang w:val="en-US" w:eastAsia="zh-CN" w:bidi="ar-SA"/>
    </w:rPr>
  </w:style>
  <w:style w:type="character" w:customStyle="1" w:styleId="160">
    <w:name w:val="标题 7 Char"/>
    <w:link w:val="12"/>
    <w:qFormat/>
    <w:uiPriority w:val="0"/>
    <w:rPr>
      <w:rFonts w:ascii="宋体" w:hAnsi="Arial" w:eastAsia="宋体"/>
      <w:b/>
      <w:sz w:val="24"/>
      <w:lang w:val="en-US" w:eastAsia="zh-CN" w:bidi="ar-SA"/>
    </w:rPr>
  </w:style>
  <w:style w:type="character" w:customStyle="1" w:styleId="161">
    <w:name w:val="自定义正文 Char"/>
    <w:link w:val="162"/>
    <w:uiPriority w:val="0"/>
    <w:rPr>
      <w:rFonts w:ascii="仿宋_GB2312" w:eastAsia="仿宋_GB2312"/>
      <w:kern w:val="2"/>
      <w:sz w:val="28"/>
      <w:szCs w:val="24"/>
      <w:lang w:val="en-US" w:eastAsia="zh-CN" w:bidi="ar-SA"/>
    </w:rPr>
  </w:style>
  <w:style w:type="paragraph" w:customStyle="1" w:styleId="162">
    <w:name w:val="自定义正文"/>
    <w:basedOn w:val="1"/>
    <w:link w:val="161"/>
    <w:qFormat/>
    <w:uiPriority w:val="0"/>
    <w:pPr>
      <w:spacing w:line="480" w:lineRule="exact"/>
      <w:ind w:firstLine="200" w:firstLineChars="200"/>
      <w:jc w:val="left"/>
    </w:pPr>
    <w:rPr>
      <w:rFonts w:ascii="仿宋_GB2312" w:eastAsia="仿宋_GB2312"/>
      <w:sz w:val="28"/>
    </w:rPr>
  </w:style>
  <w:style w:type="character" w:customStyle="1" w:styleId="163">
    <w:name w:val="文档结构图 Char"/>
    <w:link w:val="28"/>
    <w:semiHidden/>
    <w:qFormat/>
    <w:uiPriority w:val="99"/>
    <w:rPr>
      <w:rFonts w:eastAsia="宋体"/>
      <w:kern w:val="2"/>
      <w:sz w:val="21"/>
      <w:szCs w:val="24"/>
      <w:lang w:val="en-US" w:eastAsia="zh-CN" w:bidi="ar-SA"/>
    </w:rPr>
  </w:style>
  <w:style w:type="character" w:customStyle="1" w:styleId="164">
    <w:name w:val="标题 6 Char"/>
    <w:link w:val="11"/>
    <w:uiPriority w:val="0"/>
    <w:rPr>
      <w:rFonts w:ascii="宋体" w:hAnsi="Arial" w:eastAsia="宋体"/>
      <w:sz w:val="24"/>
      <w:lang w:val="en-US" w:eastAsia="zh-CN" w:bidi="ar-SA"/>
    </w:rPr>
  </w:style>
  <w:style w:type="character" w:customStyle="1" w:styleId="165">
    <w:name w:val="正文文本 2 Char"/>
    <w:link w:val="77"/>
    <w:qFormat/>
    <w:uiPriority w:val="0"/>
    <w:rPr>
      <w:rFonts w:ascii="隶书" w:eastAsia="隶书"/>
      <w:bCs/>
      <w:sz w:val="72"/>
      <w:szCs w:val="84"/>
      <w:lang w:val="en-US" w:eastAsia="zh-CN" w:bidi="ar-SA"/>
    </w:rPr>
  </w:style>
  <w:style w:type="character" w:customStyle="1" w:styleId="166">
    <w:name w:val="font91"/>
    <w:basedOn w:val="90"/>
    <w:qFormat/>
    <w:uiPriority w:val="0"/>
    <w:rPr>
      <w:rFonts w:hint="eastAsia" w:ascii="宋体" w:hAnsi="宋体" w:eastAsia="宋体" w:cs="宋体"/>
      <w:color w:val="000000"/>
      <w:sz w:val="22"/>
      <w:szCs w:val="22"/>
      <w:u w:val="none"/>
    </w:rPr>
  </w:style>
  <w:style w:type="character" w:customStyle="1" w:styleId="167">
    <w:name w:val="style11"/>
    <w:qFormat/>
    <w:uiPriority w:val="0"/>
    <w:rPr>
      <w:b/>
      <w:bCs/>
      <w:color w:val="FF0000"/>
    </w:rPr>
  </w:style>
  <w:style w:type="character" w:customStyle="1" w:styleId="168">
    <w:name w:val="注释标题 Char"/>
    <w:link w:val="19"/>
    <w:qFormat/>
    <w:uiPriority w:val="0"/>
    <w:rPr>
      <w:rFonts w:ascii="宋体" w:hAnsi="Courier New" w:eastAsia="宋体"/>
      <w:kern w:val="2"/>
      <w:sz w:val="21"/>
      <w:lang w:val="en-US" w:eastAsia="zh-CN" w:bidi="ar-SA"/>
    </w:rPr>
  </w:style>
  <w:style w:type="character" w:customStyle="1" w:styleId="169">
    <w:name w:val="Char Char31"/>
    <w:qFormat/>
    <w:uiPriority w:val="0"/>
    <w:rPr>
      <w:rFonts w:eastAsia="宋体"/>
      <w:sz w:val="24"/>
      <w:lang w:val="en-US" w:eastAsia="zh-CN" w:bidi="ar-SA"/>
    </w:rPr>
  </w:style>
  <w:style w:type="character" w:customStyle="1" w:styleId="170">
    <w:name w:val="Char Char11"/>
    <w:uiPriority w:val="0"/>
    <w:rPr>
      <w:b/>
      <w:kern w:val="44"/>
      <w:sz w:val="44"/>
    </w:rPr>
  </w:style>
  <w:style w:type="character" w:customStyle="1" w:styleId="171">
    <w:name w:val="宋体正文 Char"/>
    <w:link w:val="172"/>
    <w:qFormat/>
    <w:uiPriority w:val="0"/>
    <w:rPr>
      <w:rFonts w:eastAsia="Times New Roman"/>
      <w:kern w:val="2"/>
      <w:sz w:val="24"/>
      <w:szCs w:val="24"/>
      <w:lang w:val="en-US" w:eastAsia="zh-CN" w:bidi="ar-SA"/>
    </w:rPr>
  </w:style>
  <w:style w:type="paragraph" w:customStyle="1" w:styleId="172">
    <w:name w:val="宋体正文"/>
    <w:next w:val="1"/>
    <w:link w:val="171"/>
    <w:qFormat/>
    <w:uiPriority w:val="0"/>
    <w:pPr>
      <w:spacing w:line="360" w:lineRule="auto"/>
      <w:ind w:firstLine="480" w:firstLineChars="200"/>
      <w:jc w:val="both"/>
    </w:pPr>
    <w:rPr>
      <w:rFonts w:ascii="Times New Roman" w:hAnsi="Times New Roman" w:eastAsia="Times New Roman" w:cs="Times New Roman"/>
      <w:kern w:val="2"/>
      <w:sz w:val="24"/>
      <w:szCs w:val="24"/>
      <w:lang w:val="en-US" w:eastAsia="zh-CN" w:bidi="ar-SA"/>
    </w:rPr>
  </w:style>
  <w:style w:type="character" w:customStyle="1" w:styleId="173">
    <w:name w:val="tpc_content1"/>
    <w:qFormat/>
    <w:uiPriority w:val="0"/>
    <w:rPr>
      <w:sz w:val="20"/>
      <w:szCs w:val="20"/>
    </w:rPr>
  </w:style>
  <w:style w:type="character" w:customStyle="1" w:styleId="174">
    <w:name w:val="Char Char29"/>
    <w:qFormat/>
    <w:uiPriority w:val="0"/>
    <w:rPr>
      <w:rFonts w:ascii="宋体" w:hAnsi="Arial" w:eastAsia="宋体"/>
      <w:b/>
      <w:sz w:val="24"/>
      <w:lang w:val="en-US" w:eastAsia="zh-CN" w:bidi="ar-SA"/>
    </w:rPr>
  </w:style>
  <w:style w:type="character" w:customStyle="1" w:styleId="175">
    <w:name w:val="标题 1 Char"/>
    <w:link w:val="5"/>
    <w:qFormat/>
    <w:uiPriority w:val="99"/>
    <w:rPr>
      <w:rFonts w:eastAsia="仿宋_GB2312"/>
      <w:b/>
      <w:kern w:val="44"/>
      <w:sz w:val="44"/>
    </w:rPr>
  </w:style>
  <w:style w:type="character" w:customStyle="1" w:styleId="176">
    <w:name w:val="bulletintext1"/>
    <w:qFormat/>
    <w:uiPriority w:val="0"/>
    <w:rPr>
      <w:rFonts w:hint="eastAsia" w:ascii="宋体" w:hAnsi="宋体" w:eastAsia="宋体"/>
      <w:sz w:val="18"/>
      <w:szCs w:val="18"/>
    </w:rPr>
  </w:style>
  <w:style w:type="character" w:customStyle="1" w:styleId="177">
    <w:name w:val="Char Char30"/>
    <w:qFormat/>
    <w:uiPriority w:val="0"/>
    <w:rPr>
      <w:rFonts w:ascii="宋体" w:hAnsi="Arial" w:eastAsia="宋体"/>
      <w:sz w:val="24"/>
      <w:lang w:val="en-US" w:eastAsia="zh-CN" w:bidi="ar-SA"/>
    </w:rPr>
  </w:style>
  <w:style w:type="character" w:customStyle="1" w:styleId="178">
    <w:name w:val="正文无缩进 Char"/>
    <w:link w:val="179"/>
    <w:qFormat/>
    <w:uiPriority w:val="0"/>
    <w:rPr>
      <w:rFonts w:ascii="宋体" w:eastAsia="宋体"/>
      <w:color w:val="000000"/>
      <w:kern w:val="2"/>
      <w:sz w:val="24"/>
      <w:szCs w:val="24"/>
      <w:lang w:val="en-US" w:eastAsia="zh-CN" w:bidi="ar-SA"/>
    </w:rPr>
  </w:style>
  <w:style w:type="paragraph" w:customStyle="1" w:styleId="179">
    <w:name w:val="正文无缩进"/>
    <w:basedOn w:val="1"/>
    <w:link w:val="178"/>
    <w:qFormat/>
    <w:uiPriority w:val="0"/>
    <w:pPr>
      <w:spacing w:line="360" w:lineRule="auto"/>
    </w:pPr>
    <w:rPr>
      <w:rFonts w:ascii="宋体"/>
      <w:color w:val="000000"/>
      <w:sz w:val="24"/>
    </w:rPr>
  </w:style>
  <w:style w:type="character" w:customStyle="1" w:styleId="180">
    <w:name w:val="Char Char17"/>
    <w:qFormat/>
    <w:uiPriority w:val="0"/>
    <w:rPr>
      <w:rFonts w:ascii="楷体_GB2312" w:eastAsia="楷体_GB2312"/>
      <w:b/>
      <w:kern w:val="2"/>
      <w:sz w:val="28"/>
      <w:lang w:val="en-US" w:eastAsia="zh-CN" w:bidi="ar-SA"/>
    </w:rPr>
  </w:style>
  <w:style w:type="character" w:customStyle="1" w:styleId="181">
    <w:name w:val="Char Char28"/>
    <w:qFormat/>
    <w:uiPriority w:val="0"/>
    <w:rPr>
      <w:rFonts w:ascii="Arial" w:hAnsi="Arial" w:eastAsia="黑体"/>
      <w:sz w:val="24"/>
      <w:lang w:val="en-US" w:eastAsia="zh-CN" w:bidi="ar-SA"/>
    </w:rPr>
  </w:style>
  <w:style w:type="character" w:customStyle="1" w:styleId="182">
    <w:name w:val="舟式样--正文 Char"/>
    <w:link w:val="183"/>
    <w:uiPriority w:val="0"/>
    <w:rPr>
      <w:rFonts w:ascii="仿宋_GB2312" w:hAnsi="Calibri" w:eastAsia="仿宋_GB2312"/>
      <w:sz w:val="28"/>
      <w:lang w:bidi="ar-SA"/>
    </w:rPr>
  </w:style>
  <w:style w:type="paragraph" w:customStyle="1" w:styleId="183">
    <w:name w:val="舟式样--正文"/>
    <w:basedOn w:val="1"/>
    <w:link w:val="182"/>
    <w:qFormat/>
    <w:uiPriority w:val="0"/>
    <w:pPr>
      <w:spacing w:line="360" w:lineRule="auto"/>
      <w:ind w:firstLine="200" w:firstLineChars="200"/>
    </w:pPr>
    <w:rPr>
      <w:rFonts w:ascii="仿宋_GB2312" w:hAnsi="Calibri" w:eastAsia="仿宋_GB2312"/>
      <w:kern w:val="0"/>
      <w:sz w:val="28"/>
      <w:szCs w:val="20"/>
    </w:rPr>
  </w:style>
  <w:style w:type="character" w:customStyle="1" w:styleId="184">
    <w:name w:val="标准文本 Char"/>
    <w:link w:val="185"/>
    <w:qFormat/>
    <w:uiPriority w:val="0"/>
    <w:rPr>
      <w:rFonts w:eastAsia="宋体" w:cs="宋体"/>
      <w:kern w:val="2"/>
      <w:sz w:val="24"/>
      <w:lang w:val="en-US" w:eastAsia="zh-CN" w:bidi="ar-SA"/>
    </w:rPr>
  </w:style>
  <w:style w:type="paragraph" w:customStyle="1" w:styleId="185">
    <w:name w:val="标准文本"/>
    <w:basedOn w:val="1"/>
    <w:link w:val="184"/>
    <w:qFormat/>
    <w:uiPriority w:val="0"/>
    <w:pPr>
      <w:spacing w:line="360" w:lineRule="auto"/>
      <w:ind w:firstLine="480" w:firstLineChars="200"/>
    </w:pPr>
    <w:rPr>
      <w:rFonts w:cs="宋体"/>
      <w:sz w:val="24"/>
      <w:szCs w:val="20"/>
    </w:rPr>
  </w:style>
  <w:style w:type="character" w:customStyle="1" w:styleId="186">
    <w:name w:val="font51"/>
    <w:basedOn w:val="90"/>
    <w:qFormat/>
    <w:uiPriority w:val="0"/>
    <w:rPr>
      <w:rFonts w:hint="eastAsia" w:ascii="宋体" w:hAnsi="宋体" w:eastAsia="宋体" w:cs="宋体"/>
      <w:color w:val="000000"/>
      <w:sz w:val="21"/>
      <w:szCs w:val="21"/>
      <w:u w:val="none"/>
    </w:rPr>
  </w:style>
  <w:style w:type="character" w:customStyle="1" w:styleId="187">
    <w:name w:val="引用 Char"/>
    <w:link w:val="188"/>
    <w:uiPriority w:val="0"/>
    <w:rPr>
      <w:rFonts w:eastAsia="宋体"/>
      <w:i/>
      <w:iCs/>
      <w:color w:val="000000"/>
      <w:kern w:val="2"/>
      <w:sz w:val="21"/>
      <w:szCs w:val="24"/>
      <w:lang w:val="en-US" w:eastAsia="zh-CN" w:bidi="ar-SA"/>
    </w:rPr>
  </w:style>
  <w:style w:type="paragraph" w:styleId="188">
    <w:name w:val="Quote"/>
    <w:basedOn w:val="1"/>
    <w:next w:val="1"/>
    <w:link w:val="187"/>
    <w:qFormat/>
    <w:uiPriority w:val="0"/>
    <w:rPr>
      <w:i/>
      <w:iCs/>
      <w:color w:val="000000"/>
    </w:rPr>
  </w:style>
  <w:style w:type="character" w:customStyle="1" w:styleId="189">
    <w:name w:val="Char Char10"/>
    <w:uiPriority w:val="0"/>
    <w:rPr>
      <w:b/>
      <w:kern w:val="2"/>
      <w:sz w:val="28"/>
      <w:szCs w:val="28"/>
    </w:rPr>
  </w:style>
  <w:style w:type="character" w:customStyle="1" w:styleId="190">
    <w:name w:val="Char Char25"/>
    <w:qFormat/>
    <w:uiPriority w:val="0"/>
    <w:rPr>
      <w:rFonts w:eastAsia="宋体"/>
      <w:kern w:val="2"/>
      <w:sz w:val="21"/>
      <w:szCs w:val="24"/>
      <w:lang w:val="en-US" w:eastAsia="zh-CN" w:bidi="ar-SA"/>
    </w:rPr>
  </w:style>
  <w:style w:type="character" w:customStyle="1" w:styleId="191">
    <w:name w:val="正文文本缩进 2 Char"/>
    <w:link w:val="52"/>
    <w:locked/>
    <w:uiPriority w:val="0"/>
    <w:rPr>
      <w:rFonts w:eastAsia="宋体"/>
      <w:kern w:val="2"/>
      <w:sz w:val="21"/>
      <w:szCs w:val="24"/>
      <w:lang w:val="en-US" w:eastAsia="zh-CN" w:bidi="ar-SA"/>
    </w:rPr>
  </w:style>
  <w:style w:type="character" w:customStyle="1" w:styleId="192">
    <w:name w:val="标题 Char"/>
    <w:link w:val="85"/>
    <w:qFormat/>
    <w:uiPriority w:val="0"/>
    <w:rPr>
      <w:rFonts w:ascii="Cambria" w:hAnsi="Cambria" w:eastAsia="宋体"/>
      <w:b/>
      <w:bCs/>
      <w:kern w:val="2"/>
      <w:sz w:val="32"/>
      <w:szCs w:val="32"/>
      <w:lang w:val="en-US" w:eastAsia="zh-CN" w:bidi="ar-SA"/>
    </w:rPr>
  </w:style>
  <w:style w:type="character" w:customStyle="1" w:styleId="193">
    <w:name w:val="Char Char21"/>
    <w:semiHidden/>
    <w:qFormat/>
    <w:uiPriority w:val="0"/>
    <w:rPr>
      <w:rFonts w:eastAsia="宋体"/>
      <w:kern w:val="2"/>
      <w:sz w:val="21"/>
      <w:szCs w:val="24"/>
      <w:lang w:val="en-US" w:eastAsia="zh-CN" w:bidi="ar-SA"/>
    </w:rPr>
  </w:style>
  <w:style w:type="character" w:customStyle="1" w:styleId="194">
    <w:name w:val="样式 正文缩进 + 首行缩进:  2 字符 Char"/>
    <w:link w:val="195"/>
    <w:locked/>
    <w:uiPriority w:val="0"/>
    <w:rPr>
      <w:rFonts w:ascii="宋体" w:hAnsi="宋体" w:eastAsia="宋体"/>
      <w:color w:val="000000"/>
      <w:sz w:val="24"/>
      <w:lang w:bidi="ar-SA"/>
    </w:rPr>
  </w:style>
  <w:style w:type="paragraph" w:customStyle="1" w:styleId="195">
    <w:name w:val="样式 正文缩进 + 首行缩进:  2 字符"/>
    <w:basedOn w:val="7"/>
    <w:link w:val="194"/>
    <w:qFormat/>
    <w:uiPriority w:val="0"/>
    <w:pPr>
      <w:spacing w:line="360" w:lineRule="auto"/>
      <w:ind w:firstLine="480"/>
    </w:pPr>
    <w:rPr>
      <w:rFonts w:ascii="宋体" w:hAnsi="宋体"/>
      <w:color w:val="000000"/>
      <w:kern w:val="0"/>
      <w:sz w:val="24"/>
      <w:szCs w:val="20"/>
    </w:rPr>
  </w:style>
  <w:style w:type="paragraph" w:customStyle="1" w:styleId="1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97">
    <w:name w:val="表正文"/>
    <w:basedOn w:val="1"/>
    <w:next w:val="41"/>
    <w:qFormat/>
    <w:uiPriority w:val="0"/>
    <w:rPr>
      <w:rFonts w:ascii="宋体" w:hAnsi="Courier New"/>
      <w:szCs w:val="20"/>
    </w:rPr>
  </w:style>
  <w:style w:type="paragraph" w:customStyle="1" w:styleId="198">
    <w:name w:val="Char Char Char1 Char Char Char1 Char Char Char Char"/>
    <w:basedOn w:val="1"/>
    <w:qFormat/>
    <w:uiPriority w:val="0"/>
  </w:style>
  <w:style w:type="paragraph" w:customStyle="1" w:styleId="19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paragraph" w:customStyle="1" w:styleId="200">
    <w:name w:val="Char"/>
    <w:basedOn w:val="1"/>
    <w:qFormat/>
    <w:uiPriority w:val="0"/>
    <w:rPr>
      <w:rFonts w:ascii="仿宋_GB2312" w:eastAsia="仿宋_GB2312"/>
      <w:b/>
      <w:sz w:val="32"/>
      <w:szCs w:val="32"/>
    </w:rPr>
  </w:style>
  <w:style w:type="paragraph" w:customStyle="1" w:styleId="201">
    <w:name w:val="Char Char Char Char1"/>
    <w:basedOn w:val="1"/>
    <w:qFormat/>
    <w:uiPriority w:val="0"/>
    <w:rPr>
      <w:rFonts w:ascii="Tahoma" w:hAnsi="Tahoma"/>
      <w:sz w:val="24"/>
      <w:szCs w:val="20"/>
    </w:rPr>
  </w:style>
  <w:style w:type="paragraph" w:styleId="202">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3">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2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20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0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7">
    <w:name w:val="Char Char Char 字元 字元"/>
    <w:basedOn w:val="1"/>
    <w:qFormat/>
    <w:uiPriority w:val="0"/>
    <w:pPr>
      <w:spacing w:line="360" w:lineRule="auto"/>
      <w:ind w:firstLine="200" w:firstLineChars="200"/>
    </w:pPr>
    <w:rPr>
      <w:szCs w:val="20"/>
    </w:rPr>
  </w:style>
  <w:style w:type="paragraph" w:customStyle="1" w:styleId="208">
    <w:name w:val="Char2"/>
    <w:basedOn w:val="1"/>
    <w:qFormat/>
    <w:uiPriority w:val="0"/>
    <w:pPr>
      <w:tabs>
        <w:tab w:val="left" w:pos="432"/>
      </w:tabs>
      <w:spacing w:beforeLines="50" w:afterLines="50"/>
      <w:ind w:left="432" w:hanging="432"/>
      <w:jc w:val="center"/>
    </w:pPr>
    <w:rPr>
      <w:sz w:val="24"/>
    </w:rPr>
  </w:style>
  <w:style w:type="paragraph" w:customStyle="1" w:styleId="20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210">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1">
    <w:name w:val="模板普通正文"/>
    <w:basedOn w:val="3"/>
    <w:qFormat/>
    <w:uiPriority w:val="0"/>
    <w:pPr>
      <w:spacing w:beforeLines="50" w:after="10" w:line="360" w:lineRule="auto"/>
      <w:ind w:left="0" w:leftChars="0" w:firstLine="175" w:firstLineChars="175"/>
      <w:jc w:val="left"/>
    </w:pPr>
    <w:rPr>
      <w:sz w:val="24"/>
    </w:rPr>
  </w:style>
  <w:style w:type="paragraph" w:customStyle="1" w:styleId="212">
    <w:name w:val="p0"/>
    <w:basedOn w:val="1"/>
    <w:qFormat/>
    <w:uiPriority w:val="0"/>
    <w:pPr>
      <w:widowControl/>
    </w:pPr>
    <w:rPr>
      <w:kern w:val="0"/>
      <w:szCs w:val="21"/>
    </w:rPr>
  </w:style>
  <w:style w:type="paragraph" w:customStyle="1" w:styleId="213">
    <w:name w:val="缺省文本"/>
    <w:basedOn w:val="1"/>
    <w:qFormat/>
    <w:uiPriority w:val="0"/>
    <w:pPr>
      <w:autoSpaceDE w:val="0"/>
      <w:autoSpaceDN w:val="0"/>
      <w:adjustRightInd w:val="0"/>
      <w:jc w:val="left"/>
    </w:pPr>
    <w:rPr>
      <w:kern w:val="0"/>
      <w:sz w:val="24"/>
    </w:rPr>
  </w:style>
  <w:style w:type="paragraph" w:customStyle="1" w:styleId="214">
    <w:name w:val="WW-正文文字缩进 2"/>
    <w:basedOn w:val="1"/>
    <w:qFormat/>
    <w:uiPriority w:val="0"/>
    <w:pPr>
      <w:suppressAutoHyphens/>
      <w:ind w:firstLine="420"/>
    </w:pPr>
    <w:rPr>
      <w:kern w:val="1"/>
      <w:szCs w:val="20"/>
    </w:rPr>
  </w:style>
  <w:style w:type="paragraph" w:customStyle="1" w:styleId="215">
    <w:name w:val="默认段落字体 Para Char Char Char Char Char Char Char Char Char1 Char Char Char Char"/>
    <w:basedOn w:val="1"/>
    <w:qFormat/>
    <w:uiPriority w:val="0"/>
    <w:rPr>
      <w:rFonts w:ascii="Tahoma" w:hAnsi="Tahoma"/>
      <w:sz w:val="24"/>
      <w:szCs w:val="20"/>
    </w:rPr>
  </w:style>
  <w:style w:type="paragraph" w:customStyle="1" w:styleId="216">
    <w:name w:val="项目1"/>
    <w:basedOn w:val="1"/>
    <w:qFormat/>
    <w:uiPriority w:val="0"/>
    <w:pPr>
      <w:tabs>
        <w:tab w:val="left" w:pos="840"/>
      </w:tabs>
      <w:spacing w:after="60"/>
      <w:ind w:left="840" w:hanging="420"/>
    </w:pPr>
    <w:rPr>
      <w:rFonts w:ascii="宋体"/>
      <w:spacing w:val="4"/>
      <w:szCs w:val="20"/>
    </w:rPr>
  </w:style>
  <w:style w:type="paragraph" w:customStyle="1" w:styleId="2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218">
    <w:name w:val="_Style 1"/>
    <w:basedOn w:val="1"/>
    <w:qFormat/>
    <w:uiPriority w:val="0"/>
    <w:pPr>
      <w:ind w:firstLine="420" w:firstLineChars="200"/>
    </w:pPr>
    <w:rPr>
      <w:rFonts w:ascii="Calibri" w:hAnsi="Calibri"/>
      <w:szCs w:val="22"/>
    </w:rPr>
  </w:style>
  <w:style w:type="paragraph" w:customStyle="1" w:styleId="219">
    <w:name w:val="段"/>
    <w:basedOn w:val="1"/>
    <w:qFormat/>
    <w:uiPriority w:val="0"/>
    <w:pPr>
      <w:ind w:firstLine="425"/>
    </w:pPr>
    <w:rPr>
      <w:rFonts w:ascii="宋体"/>
      <w:szCs w:val="20"/>
    </w:rPr>
  </w:style>
  <w:style w:type="paragraph" w:customStyle="1" w:styleId="220">
    <w:name w:val="Char1"/>
    <w:basedOn w:val="1"/>
    <w:qFormat/>
    <w:uiPriority w:val="0"/>
    <w:rPr>
      <w:szCs w:val="20"/>
    </w:rPr>
  </w:style>
  <w:style w:type="paragraph" w:customStyle="1" w:styleId="221">
    <w:name w:val="Char1 Char Char Char Char Char Char"/>
    <w:basedOn w:val="1"/>
    <w:qFormat/>
    <w:uiPriority w:val="0"/>
    <w:rPr>
      <w:rFonts w:ascii="Tahoma" w:hAnsi="Tahoma"/>
      <w:sz w:val="24"/>
      <w:szCs w:val="20"/>
    </w:rPr>
  </w:style>
  <w:style w:type="paragraph" w:customStyle="1" w:styleId="222">
    <w:name w:val="列出段落1"/>
    <w:basedOn w:val="1"/>
    <w:qFormat/>
    <w:uiPriority w:val="0"/>
    <w:pPr>
      <w:ind w:firstLine="420" w:firstLineChars="200"/>
    </w:pPr>
    <w:rPr>
      <w:rFonts w:ascii="Calibri" w:hAnsi="Calibri"/>
      <w:szCs w:val="22"/>
    </w:rPr>
  </w:style>
  <w:style w:type="paragraph" w:customStyle="1" w:styleId="223">
    <w:name w:val="默认段落字体 Para Char Char Char Char"/>
    <w:basedOn w:val="1"/>
    <w:qFormat/>
    <w:uiPriority w:val="0"/>
  </w:style>
  <w:style w:type="paragraph" w:customStyle="1" w:styleId="224">
    <w:name w:val="样式 标题 2"/>
    <w:basedOn w:val="6"/>
    <w:next w:val="1"/>
    <w:qFormat/>
    <w:uiPriority w:val="0"/>
    <w:pPr>
      <w:keepLines w:val="0"/>
      <w:spacing w:before="120" w:after="50" w:line="240" w:lineRule="auto"/>
    </w:pPr>
    <w:rPr>
      <w:rFonts w:ascii="宋体" w:hAnsi="Times New Roman" w:eastAsia="宋体"/>
      <w:bCs/>
      <w:snapToGrid w:val="0"/>
      <w:kern w:val="0"/>
    </w:rPr>
  </w:style>
  <w:style w:type="paragraph" w:customStyle="1" w:styleId="225">
    <w:name w:val="样式5"/>
    <w:basedOn w:val="1"/>
    <w:next w:val="226"/>
    <w:qFormat/>
    <w:uiPriority w:val="0"/>
    <w:pPr>
      <w:adjustRightInd w:val="0"/>
      <w:spacing w:line="440" w:lineRule="exact"/>
      <w:ind w:left="2" w:firstLine="480" w:firstLineChars="200"/>
    </w:pPr>
    <w:rPr>
      <w:rFonts w:ascii="仿宋_GB2312" w:hAnsi="仿宋" w:eastAsia="仿宋_GB2312"/>
      <w:sz w:val="24"/>
    </w:rPr>
  </w:style>
  <w:style w:type="paragraph" w:customStyle="1" w:styleId="226">
    <w:name w:val="正文文字 8"/>
    <w:next w:val="1"/>
    <w:qFormat/>
    <w:uiPriority w:val="0"/>
    <w:pPr>
      <w:widowControl w:val="0"/>
      <w:numPr>
        <w:ilvl w:val="1"/>
        <w:numId w:val="1"/>
      </w:numPr>
      <w:ind w:left="805"/>
      <w:jc w:val="both"/>
    </w:pPr>
    <w:rPr>
      <w:rFonts w:ascii="Times New Roman" w:hAnsi="Times New Roman" w:eastAsia="宋体" w:cs="Times New Roman"/>
      <w:kern w:val="2"/>
      <w:sz w:val="16"/>
      <w:lang w:val="en-US" w:eastAsia="zh-CN" w:bidi="ar-SA"/>
    </w:rPr>
  </w:style>
  <w:style w:type="paragraph" w:customStyle="1" w:styleId="227">
    <w:name w:val="Char Char Char Char Char Char Char Char Char Char"/>
    <w:basedOn w:val="1"/>
    <w:qFormat/>
    <w:uiPriority w:val="0"/>
    <w:rPr>
      <w:rFonts w:ascii="Tahoma" w:hAnsi="Tahoma"/>
      <w:sz w:val="24"/>
      <w:szCs w:val="20"/>
    </w:rPr>
  </w:style>
  <w:style w:type="paragraph" w:customStyle="1" w:styleId="2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29">
    <w:name w:val="Char Char1 Char Char Char Char1 Char Char Char"/>
    <w:basedOn w:val="1"/>
    <w:qFormat/>
    <w:uiPriority w:val="0"/>
    <w:pPr>
      <w:adjustRightInd w:val="0"/>
      <w:spacing w:line="360" w:lineRule="atLeast"/>
    </w:pPr>
    <w:rPr>
      <w:rFonts w:ascii="Tahoma" w:hAnsi="Tahoma"/>
      <w:sz w:val="24"/>
      <w:szCs w:val="20"/>
    </w:rPr>
  </w:style>
  <w:style w:type="paragraph" w:customStyle="1" w:styleId="230">
    <w:name w:val="列出段落3"/>
    <w:basedOn w:val="1"/>
    <w:qFormat/>
    <w:uiPriority w:val="99"/>
    <w:pPr>
      <w:ind w:firstLine="420" w:firstLineChars="200"/>
    </w:pPr>
    <w:rPr>
      <w:rFonts w:ascii="Calibri" w:hAnsi="Calibri"/>
    </w:rPr>
  </w:style>
  <w:style w:type="paragraph" w:customStyle="1" w:styleId="231">
    <w:name w:val="Char Char1 Char Char Char Char Char Char"/>
    <w:basedOn w:val="1"/>
    <w:qFormat/>
    <w:uiPriority w:val="0"/>
    <w:pPr>
      <w:widowControl/>
      <w:spacing w:after="160" w:line="240" w:lineRule="exact"/>
      <w:jc w:val="left"/>
    </w:pPr>
  </w:style>
  <w:style w:type="paragraph" w:customStyle="1" w:styleId="23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23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34">
    <w:name w:val="样式 标题1"/>
    <w:basedOn w:val="1"/>
    <w:next w:val="1"/>
    <w:qFormat/>
    <w:uiPriority w:val="0"/>
    <w:pPr>
      <w:keepNext/>
      <w:spacing w:before="120" w:afterLines="50" w:line="360" w:lineRule="auto"/>
      <w:ind w:left="425" w:hanging="425"/>
      <w:jc w:val="left"/>
      <w:outlineLvl w:val="0"/>
    </w:pPr>
    <w:rPr>
      <w:rFonts w:ascii="宋体"/>
      <w:b/>
      <w:snapToGrid w:val="0"/>
      <w:kern w:val="0"/>
      <w:sz w:val="36"/>
      <w:szCs w:val="20"/>
    </w:rPr>
  </w:style>
  <w:style w:type="paragraph" w:customStyle="1" w:styleId="23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236">
    <w:name w:val="列出段落11"/>
    <w:basedOn w:val="1"/>
    <w:qFormat/>
    <w:uiPriority w:val="99"/>
    <w:pPr>
      <w:adjustRightInd w:val="0"/>
      <w:spacing w:line="360" w:lineRule="auto"/>
      <w:ind w:firstLine="200" w:firstLineChars="200"/>
    </w:pPr>
    <w:rPr>
      <w:rFonts w:eastAsia="楷体_GB2312" w:cs="Lucida Sans"/>
      <w:sz w:val="24"/>
    </w:rPr>
  </w:style>
  <w:style w:type="paragraph" w:customStyle="1" w:styleId="237">
    <w:name w:val="自定义表格文字"/>
    <w:basedOn w:val="1"/>
    <w:qFormat/>
    <w:uiPriority w:val="0"/>
    <w:pPr>
      <w:spacing w:before="60" w:after="60" w:line="320" w:lineRule="exact"/>
      <w:jc w:val="left"/>
    </w:pPr>
    <w:rPr>
      <w:rFonts w:ascii="宋体" w:eastAsia="楷体_GB2312"/>
    </w:rPr>
  </w:style>
  <w:style w:type="paragraph" w:customStyle="1" w:styleId="238">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paragraph" w:customStyle="1" w:styleId="239">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0">
    <w:name w:val="_Style 68"/>
    <w:basedOn w:val="1"/>
    <w:qFormat/>
    <w:uiPriority w:val="0"/>
    <w:rPr>
      <w:rFonts w:ascii="Tahoma" w:hAnsi="Tahoma"/>
      <w:sz w:val="24"/>
      <w:szCs w:val="20"/>
    </w:rPr>
  </w:style>
  <w:style w:type="paragraph" w:customStyle="1" w:styleId="241">
    <w:name w:val="样式 标题 4"/>
    <w:basedOn w:val="1"/>
    <w:next w:val="1"/>
    <w:qFormat/>
    <w:uiPriority w:val="0"/>
    <w:pPr>
      <w:keepNext/>
      <w:tabs>
        <w:tab w:val="left" w:pos="1984"/>
      </w:tabs>
      <w:spacing w:before="120" w:afterLines="50" w:line="360" w:lineRule="auto"/>
      <w:ind w:left="1984" w:hanging="708"/>
      <w:jc w:val="left"/>
      <w:outlineLvl w:val="3"/>
    </w:pPr>
    <w:rPr>
      <w:rFonts w:ascii="宋体"/>
      <w:b/>
      <w:bCs/>
      <w:snapToGrid w:val="0"/>
      <w:kern w:val="0"/>
      <w:sz w:val="32"/>
      <w:szCs w:val="20"/>
    </w:rPr>
  </w:style>
  <w:style w:type="paragraph" w:customStyle="1" w:styleId="242">
    <w:name w:val="文档正文"/>
    <w:basedOn w:val="1"/>
    <w:qFormat/>
    <w:uiPriority w:val="0"/>
    <w:pPr>
      <w:widowControl/>
      <w:adjustRightInd w:val="0"/>
      <w:snapToGrid w:val="0"/>
      <w:spacing w:after="120"/>
      <w:ind w:firstLine="454"/>
      <w:jc w:val="left"/>
    </w:pPr>
    <w:rPr>
      <w:rFonts w:eastAsia="微软雅黑"/>
      <w:kern w:val="21"/>
      <w:sz w:val="22"/>
      <w:szCs w:val="22"/>
    </w:rPr>
  </w:style>
  <w:style w:type="paragraph" w:customStyle="1" w:styleId="243">
    <w:name w:val="表内文字"/>
    <w:basedOn w:val="1"/>
    <w:qFormat/>
    <w:uiPriority w:val="0"/>
    <w:pPr>
      <w:jc w:val="center"/>
    </w:pPr>
    <w:rPr>
      <w:color w:val="FF0000"/>
      <w:kern w:val="0"/>
      <w:sz w:val="24"/>
    </w:rPr>
  </w:style>
  <w:style w:type="paragraph" w:customStyle="1" w:styleId="244">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245">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46">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47">
    <w:name w:val="样式 样式 小四 右侧:  0.03 厘米 行距: 1.5 倍行距 + 首行缩进:  2 字符"/>
    <w:basedOn w:val="1"/>
    <w:qFormat/>
    <w:uiPriority w:val="0"/>
    <w:pPr>
      <w:spacing w:line="360" w:lineRule="auto"/>
      <w:ind w:right="17" w:firstLine="420" w:firstLineChars="200"/>
    </w:pPr>
    <w:rPr>
      <w:sz w:val="24"/>
      <w:szCs w:val="20"/>
    </w:rPr>
  </w:style>
  <w:style w:type="paragraph" w:customStyle="1" w:styleId="248">
    <w:name w:val="编10号"/>
    <w:basedOn w:val="1"/>
    <w:qFormat/>
    <w:uiPriority w:val="0"/>
    <w:pPr>
      <w:tabs>
        <w:tab w:val="left" w:pos="1620"/>
      </w:tabs>
      <w:ind w:left="1620" w:hanging="360"/>
    </w:pPr>
  </w:style>
  <w:style w:type="paragraph" w:customStyle="1" w:styleId="249">
    <w:name w:val="列出段落2"/>
    <w:basedOn w:val="1"/>
    <w:qFormat/>
    <w:uiPriority w:val="99"/>
    <w:pPr>
      <w:widowControl/>
      <w:adjustRightInd w:val="0"/>
      <w:snapToGrid w:val="0"/>
      <w:spacing w:after="200"/>
      <w:ind w:firstLine="420"/>
      <w:jc w:val="left"/>
    </w:pPr>
    <w:rPr>
      <w:rFonts w:ascii="Tahoma" w:hAnsi="Tahoma" w:eastAsia="微软雅黑"/>
      <w:kern w:val="0"/>
      <w:sz w:val="22"/>
      <w:szCs w:val="22"/>
    </w:rPr>
  </w:style>
  <w:style w:type="paragraph" w:customStyle="1" w:styleId="250">
    <w:name w:val="Char Char Char Char"/>
    <w:basedOn w:val="1"/>
    <w:qFormat/>
    <w:uiPriority w:val="0"/>
    <w:pPr>
      <w:widowControl/>
      <w:spacing w:after="160" w:line="240" w:lineRule="exact"/>
      <w:jc w:val="left"/>
    </w:pPr>
    <w:rPr>
      <w:kern w:val="0"/>
      <w:sz w:val="24"/>
    </w:rPr>
  </w:style>
  <w:style w:type="paragraph" w:customStyle="1" w:styleId="251">
    <w:name w:val="Char Char2 Char Char Char Char"/>
    <w:basedOn w:val="28"/>
    <w:qFormat/>
    <w:uiPriority w:val="0"/>
    <w:rPr>
      <w:rFonts w:ascii="Tahoma" w:hAnsi="Tahoma"/>
      <w:sz w:val="24"/>
    </w:rPr>
  </w:style>
  <w:style w:type="paragraph" w:customStyle="1" w:styleId="252">
    <w:name w:val="段(正文）"/>
    <w:qFormat/>
    <w:uiPriority w:val="0"/>
    <w:pPr>
      <w:autoSpaceDE w:val="0"/>
      <w:autoSpaceDN w:val="0"/>
      <w:ind w:firstLine="420"/>
      <w:jc w:val="both"/>
    </w:pPr>
    <w:rPr>
      <w:rFonts w:ascii="宋体" w:hAnsi="Times New Roman" w:eastAsia="宋体" w:cs="宋体"/>
      <w:sz w:val="21"/>
      <w:szCs w:val="21"/>
      <w:lang w:val="en-US" w:eastAsia="zh-CN" w:bidi="ar-SA"/>
    </w:rPr>
  </w:style>
  <w:style w:type="paragraph" w:customStyle="1" w:styleId="253">
    <w:name w:val="Char Char Char"/>
    <w:basedOn w:val="28"/>
    <w:qFormat/>
    <w:uiPriority w:val="0"/>
    <w:rPr>
      <w:rFonts w:ascii="Tahoma" w:hAnsi="Tahoma"/>
      <w:sz w:val="24"/>
    </w:rPr>
  </w:style>
  <w:style w:type="paragraph" w:customStyle="1" w:styleId="254">
    <w:name w:val="正文缩进 New"/>
    <w:basedOn w:val="1"/>
    <w:qFormat/>
    <w:uiPriority w:val="0"/>
    <w:pPr>
      <w:ind w:firstLine="420" w:firstLineChars="200"/>
    </w:pPr>
    <w:rPr>
      <w:szCs w:val="20"/>
    </w:rPr>
  </w:style>
  <w:style w:type="paragraph" w:customStyle="1" w:styleId="25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56">
    <w:name w:val="B表格正文"/>
    <w:qFormat/>
    <w:uiPriority w:val="0"/>
    <w:rPr>
      <w:rFonts w:ascii="Arial" w:hAnsi="Arial" w:eastAsia="仿宋" w:cs="Times New Roman"/>
      <w:kern w:val="2"/>
      <w:sz w:val="21"/>
      <w:szCs w:val="21"/>
      <w:lang w:val="en-US" w:eastAsia="zh-CN" w:bidi="ar-SA"/>
    </w:rPr>
  </w:style>
  <w:style w:type="paragraph" w:customStyle="1" w:styleId="257">
    <w:name w:val="GP正文(首行缩进)"/>
    <w:basedOn w:val="1"/>
    <w:qFormat/>
    <w:uiPriority w:val="0"/>
    <w:pPr>
      <w:spacing w:line="360" w:lineRule="auto"/>
      <w:ind w:firstLine="200" w:firstLineChars="200"/>
      <w:jc w:val="left"/>
    </w:pPr>
    <w:rPr>
      <w:rFonts w:ascii="Calibri" w:hAnsi="Calibri"/>
      <w:sz w:val="24"/>
      <w:szCs w:val="21"/>
    </w:rPr>
  </w:style>
  <w:style w:type="paragraph" w:customStyle="1" w:styleId="258">
    <w:name w:val="_Style 681"/>
    <w:basedOn w:val="1"/>
    <w:qFormat/>
    <w:uiPriority w:val="0"/>
    <w:rPr>
      <w:rFonts w:ascii="Tahoma" w:hAnsi="Tahoma"/>
      <w:sz w:val="24"/>
      <w:szCs w:val="20"/>
    </w:rPr>
  </w:style>
  <w:style w:type="paragraph" w:customStyle="1" w:styleId="259">
    <w:name w:val="表格字体"/>
    <w:basedOn w:val="242"/>
    <w:qFormat/>
    <w:uiPriority w:val="0"/>
    <w:pPr>
      <w:spacing w:after="0"/>
      <w:ind w:firstLine="0"/>
    </w:pPr>
    <w:rPr>
      <w:rFonts w:ascii="黑体" w:hAnsi="黑体" w:eastAsia="黑体"/>
      <w:sz w:val="20"/>
      <w:szCs w:val="21"/>
    </w:rPr>
  </w:style>
  <w:style w:type="paragraph" w:customStyle="1" w:styleId="260">
    <w:name w:val="投标正文"/>
    <w:basedOn w:val="1"/>
    <w:qFormat/>
    <w:uiPriority w:val="99"/>
    <w:pPr>
      <w:spacing w:line="360" w:lineRule="auto"/>
      <w:ind w:left="100" w:firstLine="480" w:firstLineChars="200"/>
    </w:pPr>
    <w:rPr>
      <w:rFonts w:ascii="Calibri" w:hAnsi="Calibri"/>
      <w:kern w:val="0"/>
      <w:sz w:val="24"/>
    </w:rPr>
  </w:style>
  <w:style w:type="paragraph" w:customStyle="1" w:styleId="261">
    <w:name w:val="样式 标题 3"/>
    <w:basedOn w:val="241"/>
    <w:next w:val="1"/>
    <w:qFormat/>
    <w:uiPriority w:val="0"/>
    <w:pPr>
      <w:tabs>
        <w:tab w:val="left" w:pos="2651"/>
      </w:tabs>
      <w:spacing w:after="50"/>
      <w:outlineLvl w:val="2"/>
    </w:pPr>
  </w:style>
  <w:style w:type="character" w:customStyle="1" w:styleId="262">
    <w:name w:val="纯文本 Char2"/>
    <w:qFormat/>
    <w:uiPriority w:val="0"/>
    <w:rPr>
      <w:rFonts w:ascii="宋体" w:hAnsi="Courier New" w:eastAsia="宋体"/>
      <w:kern w:val="2"/>
      <w:sz w:val="21"/>
      <w:lang w:val="en-US" w:eastAsia="zh-CN" w:bidi="ar-SA"/>
    </w:rPr>
  </w:style>
  <w:style w:type="character" w:customStyle="1" w:styleId="263">
    <w:name w:val="页脚 Char"/>
    <w:basedOn w:val="90"/>
    <w:link w:val="56"/>
    <w:qFormat/>
    <w:uiPriority w:val="0"/>
    <w:rPr>
      <w:kern w:val="2"/>
      <w:sz w:val="18"/>
      <w:szCs w:val="18"/>
    </w:rPr>
  </w:style>
  <w:style w:type="character" w:customStyle="1" w:styleId="264">
    <w:name w:val="正文文本缩进 3 Char"/>
    <w:basedOn w:val="90"/>
    <w:link w:val="71"/>
    <w:qFormat/>
    <w:uiPriority w:val="99"/>
    <w:rPr>
      <w:kern w:val="2"/>
      <w:sz w:val="16"/>
      <w:szCs w:val="16"/>
    </w:rPr>
  </w:style>
  <w:style w:type="character" w:customStyle="1" w:styleId="265">
    <w:name w:val="HTML 预设格式 Char"/>
    <w:basedOn w:val="90"/>
    <w:link w:val="81"/>
    <w:qFormat/>
    <w:uiPriority w:val="99"/>
    <w:rPr>
      <w:rFonts w:ascii="黑体" w:hAnsi="Courier New" w:eastAsia="黑体" w:cs="Courier New"/>
    </w:rPr>
  </w:style>
  <w:style w:type="paragraph" w:customStyle="1" w:styleId="266">
    <w:name w:val="_Style 3"/>
    <w:basedOn w:val="5"/>
    <w:qFormat/>
    <w:uiPriority w:val="99"/>
    <w:pPr>
      <w:adjustRightInd w:val="0"/>
      <w:snapToGrid w:val="0"/>
      <w:spacing w:before="0" w:after="0" w:line="348" w:lineRule="auto"/>
      <w:ind w:left="0" w:firstLine="0"/>
    </w:pPr>
    <w:rPr>
      <w:rFonts w:eastAsia="宋体"/>
      <w:bCs/>
      <w:szCs w:val="44"/>
    </w:rPr>
  </w:style>
  <w:style w:type="paragraph" w:customStyle="1" w:styleId="267">
    <w:name w:val="Plain Text1"/>
    <w:basedOn w:val="1"/>
    <w:qFormat/>
    <w:uiPriority w:val="99"/>
    <w:pPr>
      <w:spacing w:beforeLines="50" w:afterLines="50" w:line="400" w:lineRule="exact"/>
    </w:pPr>
    <w:rPr>
      <w:rFonts w:ascii="宋体" w:hAnsi="Courier New"/>
      <w:sz w:val="24"/>
      <w:szCs w:val="20"/>
    </w:rPr>
  </w:style>
  <w:style w:type="paragraph" w:customStyle="1" w:styleId="268">
    <w:name w:val="Normal1"/>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269">
    <w:name w:val="font31"/>
    <w:basedOn w:val="90"/>
    <w:qFormat/>
    <w:uiPriority w:val="99"/>
    <w:rPr>
      <w:rFonts w:ascii="宋体" w:hAnsi="宋体" w:eastAsia="宋体" w:cs="宋体"/>
      <w:b/>
      <w:color w:val="000000"/>
      <w:sz w:val="18"/>
      <w:szCs w:val="18"/>
      <w:u w:val="none"/>
    </w:rPr>
  </w:style>
  <w:style w:type="paragraph" w:customStyle="1" w:styleId="270">
    <w:name w:val="h33"/>
    <w:basedOn w:val="8"/>
    <w:qFormat/>
    <w:uiPriority w:val="0"/>
    <w:pPr>
      <w:tabs>
        <w:tab w:val="left" w:pos="432"/>
        <w:tab w:val="left" w:pos="720"/>
        <w:tab w:val="clear" w:pos="2651"/>
      </w:tabs>
      <w:spacing w:before="120" w:after="120" w:line="240" w:lineRule="auto"/>
      <w:ind w:left="720"/>
    </w:pPr>
    <w:rPr>
      <w:rFonts w:eastAsia="黑体"/>
      <w:bCs/>
      <w:sz w:val="28"/>
      <w:szCs w:val="32"/>
    </w:rPr>
  </w:style>
  <w:style w:type="character" w:customStyle="1" w:styleId="271">
    <w:name w:val="font11"/>
    <w:basedOn w:val="90"/>
    <w:qFormat/>
    <w:uiPriority w:val="0"/>
    <w:rPr>
      <w:rFonts w:hint="default" w:ascii="Times New Roman" w:hAnsi="Times New Roman" w:cs="Times New Roman"/>
      <w:color w:val="000000"/>
      <w:sz w:val="21"/>
      <w:szCs w:val="21"/>
      <w:u w:val="none"/>
    </w:rPr>
  </w:style>
  <w:style w:type="character" w:customStyle="1" w:styleId="272">
    <w:name w:val="font111"/>
    <w:basedOn w:val="90"/>
    <w:qFormat/>
    <w:uiPriority w:val="0"/>
    <w:rPr>
      <w:rFonts w:hint="eastAsia" w:ascii="宋体" w:hAnsi="宋体" w:eastAsia="宋体" w:cs="宋体"/>
      <w:color w:val="000000"/>
      <w:sz w:val="21"/>
      <w:szCs w:val="21"/>
      <w:u w:val="none"/>
    </w:rPr>
  </w:style>
  <w:style w:type="character" w:customStyle="1" w:styleId="273">
    <w:name w:val="font121"/>
    <w:basedOn w:val="90"/>
    <w:qFormat/>
    <w:uiPriority w:val="0"/>
    <w:rPr>
      <w:rFonts w:hint="default" w:ascii="Times New Roman" w:hAnsi="Times New Roman" w:cs="Times New Roman"/>
      <w:color w:val="000000"/>
      <w:sz w:val="21"/>
      <w:szCs w:val="21"/>
      <w:u w:val="none"/>
    </w:rPr>
  </w:style>
  <w:style w:type="character" w:customStyle="1" w:styleId="274">
    <w:name w:val="font41"/>
    <w:basedOn w:val="90"/>
    <w:qFormat/>
    <w:uiPriority w:val="0"/>
    <w:rPr>
      <w:rFonts w:hint="eastAsia" w:ascii="宋体" w:hAnsi="宋体" w:eastAsia="宋体" w:cs="宋体"/>
      <w:color w:val="000000"/>
      <w:sz w:val="22"/>
      <w:szCs w:val="22"/>
      <w:u w:val="none"/>
    </w:rPr>
  </w:style>
  <w:style w:type="character" w:customStyle="1" w:styleId="275">
    <w:name w:val="font61"/>
    <w:basedOn w:val="90"/>
    <w:qFormat/>
    <w:uiPriority w:val="0"/>
    <w:rPr>
      <w:rFonts w:ascii="Adobe 繁黑體 Std B" w:hAnsi="Adobe 繁黑體 Std B" w:eastAsia="Adobe 繁黑體 Std B" w:cs="Adobe 繁黑體 Std B"/>
      <w:color w:val="000000"/>
      <w:sz w:val="20"/>
      <w:szCs w:val="20"/>
      <w:u w:val="none"/>
    </w:rPr>
  </w:style>
  <w:style w:type="character" w:customStyle="1" w:styleId="276">
    <w:name w:val="font81"/>
    <w:basedOn w:val="90"/>
    <w:qFormat/>
    <w:uiPriority w:val="0"/>
    <w:rPr>
      <w:rFonts w:ascii="Tahoma" w:hAnsi="Tahoma" w:eastAsia="Tahoma" w:cs="Tahoma"/>
      <w:color w:val="333333"/>
      <w:sz w:val="24"/>
      <w:szCs w:val="24"/>
      <w:u w:val="none"/>
    </w:rPr>
  </w:style>
  <w:style w:type="character" w:customStyle="1" w:styleId="277">
    <w:name w:val="正文文本 2 Char1"/>
    <w:qFormat/>
    <w:uiPriority w:val="0"/>
    <w:rPr>
      <w:rFonts w:ascii="隶书" w:eastAsia="隶书"/>
      <w:bCs/>
      <w:sz w:val="72"/>
      <w:szCs w:val="84"/>
      <w:lang w:val="en-US" w:eastAsia="zh-CN" w:bidi="ar-SA"/>
    </w:rPr>
  </w:style>
  <w:style w:type="character" w:customStyle="1" w:styleId="278">
    <w:name w:val="批注文字 Char1"/>
    <w:qFormat/>
    <w:uiPriority w:val="0"/>
    <w:rPr>
      <w:rFonts w:eastAsia="宋体"/>
      <w:kern w:val="2"/>
      <w:sz w:val="21"/>
      <w:szCs w:val="24"/>
      <w:lang w:val="en-US" w:eastAsia="zh-CN" w:bidi="ar-SA"/>
    </w:rPr>
  </w:style>
  <w:style w:type="character" w:customStyle="1" w:styleId="279">
    <w:name w:val="bookmark-item"/>
    <w:basedOn w:val="90"/>
    <w:qFormat/>
    <w:uiPriority w:val="0"/>
  </w:style>
  <w:style w:type="paragraph" w:customStyle="1" w:styleId="280">
    <w:name w:val="列表段落1"/>
    <w:basedOn w:val="1"/>
    <w:qFormat/>
    <w:uiPriority w:val="34"/>
    <w:pPr>
      <w:ind w:firstLine="420" w:firstLineChars="200"/>
    </w:pPr>
    <w:rPr>
      <w:rFonts w:asciiTheme="minorHAnsi" w:hAnsiTheme="minorHAnsi" w:eastAsiaTheme="minorEastAsia" w:cstheme="minorBidi"/>
      <w:szCs w:val="22"/>
    </w:rPr>
  </w:style>
  <w:style w:type="paragraph" w:customStyle="1" w:styleId="281">
    <w:name w:val="正文缩进1"/>
    <w:basedOn w:val="1"/>
    <w:qFormat/>
    <w:uiPriority w:val="0"/>
    <w:pPr>
      <w:spacing w:line="360" w:lineRule="auto"/>
      <w:ind w:firstLine="454"/>
      <w:jc w:val="left"/>
    </w:pPr>
    <w:rPr>
      <w:sz w:val="24"/>
    </w:rPr>
  </w:style>
  <w:style w:type="paragraph" w:customStyle="1" w:styleId="282">
    <w:name w:val="正文2019"/>
    <w:basedOn w:val="1"/>
    <w:qFormat/>
    <w:uiPriority w:val="0"/>
    <w:pPr>
      <w:spacing w:line="360" w:lineRule="auto"/>
      <w:ind w:firstLine="200" w:firstLineChars="200"/>
    </w:pPr>
    <w:rPr>
      <w:rFonts w:ascii="仿宋" w:hAnsi="仿宋" w:eastAsia="仿宋_GB2312"/>
      <w:sz w:val="28"/>
      <w:szCs w:val="32"/>
    </w:rPr>
  </w:style>
  <w:style w:type="paragraph" w:customStyle="1" w:styleId="283">
    <w:name w:val="1.1.1"/>
    <w:basedOn w:val="1"/>
    <w:next w:val="284"/>
    <w:qFormat/>
    <w:uiPriority w:val="0"/>
    <w:pPr>
      <w:keepNext/>
      <w:keepLines/>
      <w:numPr>
        <w:ilvl w:val="2"/>
        <w:numId w:val="2"/>
      </w:numPr>
      <w:tabs>
        <w:tab w:val="left" w:pos="567"/>
      </w:tabs>
      <w:spacing w:line="360" w:lineRule="auto"/>
      <w:outlineLvl w:val="2"/>
    </w:pPr>
    <w:rPr>
      <w:rFonts w:ascii="宋体" w:hAnsi="宋体" w:cs="宋体"/>
      <w:b/>
      <w:bCs/>
      <w:color w:val="000000"/>
      <w:kern w:val="0"/>
      <w:sz w:val="32"/>
      <w:szCs w:val="32"/>
    </w:rPr>
  </w:style>
  <w:style w:type="paragraph" w:customStyle="1" w:styleId="284">
    <w:name w:val="1.1.1.1"/>
    <w:basedOn w:val="1"/>
    <w:next w:val="1"/>
    <w:qFormat/>
    <w:uiPriority w:val="0"/>
    <w:pPr>
      <w:keepNext/>
      <w:keepLines/>
      <w:numPr>
        <w:ilvl w:val="3"/>
        <w:numId w:val="2"/>
      </w:numPr>
      <w:tabs>
        <w:tab w:val="left" w:pos="0"/>
      </w:tabs>
      <w:spacing w:line="360" w:lineRule="auto"/>
      <w:outlineLvl w:val="3"/>
    </w:pPr>
    <w:rPr>
      <w:rFonts w:ascii="宋体" w:hAnsi="宋体" w:cs="宋体"/>
      <w:b/>
      <w:bCs/>
      <w:color w:val="000000"/>
      <w:sz w:val="28"/>
      <w:szCs w:val="28"/>
    </w:rPr>
  </w:style>
  <w:style w:type="paragraph" w:customStyle="1" w:styleId="285">
    <w:name w:val="1.1"/>
    <w:basedOn w:val="1"/>
    <w:next w:val="283"/>
    <w:qFormat/>
    <w:uiPriority w:val="99"/>
    <w:pPr>
      <w:keepNext/>
      <w:keepLines/>
      <w:numPr>
        <w:ilvl w:val="1"/>
        <w:numId w:val="2"/>
      </w:numPr>
      <w:spacing w:line="360" w:lineRule="auto"/>
      <w:outlineLvl w:val="1"/>
    </w:pPr>
    <w:rPr>
      <w:rFonts w:ascii="宋体" w:hAnsi="宋体" w:cs="宋体"/>
      <w:b/>
      <w:bCs/>
      <w:color w:val="000000"/>
      <w:sz w:val="32"/>
      <w:szCs w:val="32"/>
    </w:rPr>
  </w:style>
  <w:style w:type="character" w:customStyle="1" w:styleId="286">
    <w:name w:val="页眉 Char1"/>
    <w:qFormat/>
    <w:uiPriority w:val="0"/>
    <w:rPr>
      <w:rFonts w:eastAsia="宋体"/>
      <w:kern w:val="2"/>
      <w:sz w:val="18"/>
      <w:szCs w:val="18"/>
      <w:lang w:val="en-US" w:eastAsia="zh-CN" w:bidi="ar-SA"/>
    </w:rPr>
  </w:style>
  <w:style w:type="character" w:customStyle="1" w:styleId="287">
    <w:name w:val="纯文本 Char1"/>
    <w:link w:val="288"/>
    <w:qFormat/>
    <w:uiPriority w:val="0"/>
    <w:rPr>
      <w:rFonts w:ascii="宋体" w:hAnsi="Courier New" w:cs="Courier New"/>
      <w:sz w:val="21"/>
      <w:szCs w:val="21"/>
    </w:rPr>
  </w:style>
  <w:style w:type="paragraph" w:customStyle="1" w:styleId="288">
    <w:name w:val="纯文本1"/>
    <w:basedOn w:val="1"/>
    <w:link w:val="287"/>
    <w:qFormat/>
    <w:uiPriority w:val="0"/>
    <w:rPr>
      <w:rFonts w:ascii="宋体" w:hAnsi="Courier New" w:cs="Courier New"/>
      <w:kern w:val="0"/>
      <w:szCs w:val="21"/>
    </w:rPr>
  </w:style>
  <w:style w:type="paragraph" w:customStyle="1" w:styleId="289">
    <w:name w:val="索引 11"/>
    <w:basedOn w:val="1"/>
    <w:next w:val="1"/>
    <w:qFormat/>
    <w:uiPriority w:val="99"/>
    <w:pPr>
      <w:spacing w:line="360" w:lineRule="auto"/>
    </w:pPr>
    <w:rPr>
      <w:rFonts w:ascii="仿宋_GB2312" w:eastAsia="仿宋_GB2312"/>
      <w:sz w:val="24"/>
      <w:szCs w:val="20"/>
    </w:rPr>
  </w:style>
  <w:style w:type="paragraph" w:customStyle="1" w:styleId="290">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91">
    <w:name w:val="1正文"/>
    <w:basedOn w:val="1"/>
    <w:qFormat/>
    <w:uiPriority w:val="0"/>
    <w:pPr>
      <w:spacing w:beforeLines="50" w:line="360" w:lineRule="auto"/>
      <w:ind w:firstLine="480" w:firstLineChars="200"/>
    </w:pPr>
    <w:rPr>
      <w:rFonts w:ascii="宋体" w:hAnsi="宋体" w:eastAsia="仿宋_GB2312"/>
      <w:kern w:val="0"/>
      <w:sz w:val="24"/>
      <w:szCs w:val="32"/>
    </w:rPr>
  </w:style>
  <w:style w:type="paragraph" w:customStyle="1" w:styleId="292">
    <w:name w:val="无间距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3">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2.emf"/><Relationship Id="rId27" Type="http://schemas.openxmlformats.org/officeDocument/2006/relationships/oleObject" Target="embeddings/oleObject1.bin"/><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5"/>
    <customShpInfo spid="_x0000_s2056"/>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90903F-0516-4818-A594-1CFE5FDE376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82</Pages>
  <Words>42821</Words>
  <Characters>45671</Characters>
  <Lines>359</Lines>
  <Paragraphs>101</Paragraphs>
  <TotalTime>1</TotalTime>
  <ScaleCrop>false</ScaleCrop>
  <LinksUpToDate>false</LinksUpToDate>
  <CharactersWithSpaces>48330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2022-10-24T07:19:00Z</dcterms:created>
  <dc:creator>USER</dc:creator>
  <cp:lastModifiedBy>HC</cp:lastModifiedBy>
  <cp:lastPrinted>2023-07-14T03:11:00Z</cp:lastPrinted>
  <dcterms:modified xsi:type="dcterms:W3CDTF">2023-07-14T10:48:11Z</dcterms:modified>
  <dc:title>绍兴文理学院计算机机房设备及录播系统供货项目</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D2B90B63550948879908F4A7C19A2D54</vt:lpwstr>
  </property>
</Properties>
</file>