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仿宋" w:hAnsi="仿宋" w:eastAsia="仿宋" w:cs="仿宋"/>
          <w:b/>
          <w:color w:val="auto"/>
          <w:sz w:val="24"/>
          <w:highlight w:val="none"/>
        </w:rPr>
      </w:pPr>
      <w:bookmarkStart w:id="0" w:name="_Hlt67893495"/>
      <w:bookmarkEnd w:id="0"/>
    </w:p>
    <w:p>
      <w:pPr>
        <w:jc w:val="center"/>
        <w:outlineLvl w:val="0"/>
        <w:rPr>
          <w:rFonts w:hint="eastAsia"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绍兴市人民医院</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bCs/>
          <w:color w:val="auto"/>
          <w:sz w:val="56"/>
          <w:szCs w:val="56"/>
          <w:highlight w:val="none"/>
        </w:rPr>
        <w:t>护士鞋、拖鞋采购项目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spacing w:line="360" w:lineRule="auto"/>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招标编号:HCZB-2023-027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p>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   月</w:t>
            </w:r>
          </w:p>
        </w:tc>
      </w:tr>
    </w:tbl>
    <w:p>
      <w:pPr>
        <w:pStyle w:val="637"/>
        <w:rPr>
          <w:rFonts w:hint="eastAsia"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auto"/>
          <w:sz w:val="24"/>
          <w:highlight w:val="none"/>
        </w:rPr>
      </w:pPr>
    </w:p>
    <w:p>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pacing w:line="360" w:lineRule="auto"/>
        <w:jc w:val="center"/>
        <w:rPr>
          <w:rFonts w:hint="eastAsia" w:ascii="仿宋" w:hAnsi="仿宋" w:eastAsia="仿宋" w:cs="仿宋"/>
          <w:b/>
          <w:color w:val="auto"/>
          <w:sz w:val="44"/>
          <w:szCs w:val="44"/>
          <w:highlight w:val="none"/>
        </w:rPr>
      </w:pPr>
    </w:p>
    <w:p>
      <w:pPr>
        <w:spacing w:line="360" w:lineRule="auto"/>
        <w:jc w:val="center"/>
        <w:rPr>
          <w:rFonts w:hint="eastAsia" w:ascii="仿宋" w:hAnsi="仿宋" w:eastAsia="仿宋" w:cs="仿宋"/>
          <w:color w:val="auto"/>
          <w:highlight w:val="none"/>
        </w:rPr>
      </w:pP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 xml:space="preserve">  投标须知</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2"/>
    <w:p>
      <w:pPr>
        <w:adjustRightInd/>
        <w:spacing w:line="360" w:lineRule="auto"/>
        <w:jc w:val="center"/>
        <w:outlineLvl w:val="0"/>
        <w:rPr>
          <w:rFonts w:hint="eastAsia"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第二部分"/>
      <w:bookmarkStart w:id="8" w:name="_Toc91899870"/>
      <w:bookmarkStart w:id="9" w:name="_Toc91899871"/>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u w:val="single"/>
        </w:rPr>
        <w:t>华诚工程咨询集团有限公司</w:t>
      </w:r>
      <w:r>
        <w:rPr>
          <w:rFonts w:hint="eastAsia" w:ascii="仿宋" w:hAnsi="仿宋" w:eastAsia="仿宋" w:cs="仿宋"/>
          <w:bCs/>
          <w:color w:val="auto"/>
          <w:sz w:val="24"/>
          <w:highlight w:val="none"/>
        </w:rPr>
        <w:t>受</w:t>
      </w:r>
      <w:r>
        <w:rPr>
          <w:rFonts w:hint="eastAsia" w:ascii="仿宋" w:hAnsi="仿宋" w:eastAsia="仿宋" w:cs="仿宋"/>
          <w:bCs/>
          <w:color w:val="auto"/>
          <w:sz w:val="24"/>
          <w:highlight w:val="none"/>
          <w:u w:val="single"/>
        </w:rPr>
        <w:t>绍兴市人民医院</w:t>
      </w:r>
      <w:r>
        <w:rPr>
          <w:rFonts w:hint="eastAsia" w:ascii="仿宋" w:hAnsi="仿宋" w:eastAsia="仿宋" w:cs="仿宋"/>
          <w:bCs/>
          <w:color w:val="auto"/>
          <w:sz w:val="24"/>
          <w:highlight w:val="none"/>
        </w:rPr>
        <w:t>委托，就下列项目进行公开招标，现将有关事项公告如下：</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Style w:val="397"/>
        <w:spacing w:afterLines="0" w:line="440" w:lineRule="exact"/>
        <w:ind w:firstLine="482"/>
        <w:rPr>
          <w:rFonts w:hint="eastAsia" w:ascii="仿宋" w:hAnsi="仿宋" w:eastAsia="仿宋" w:cs="仿宋"/>
          <w:color w:val="auto"/>
          <w:highlight w:val="none"/>
        </w:rPr>
      </w:pPr>
      <w:r>
        <w:rPr>
          <w:rFonts w:hint="eastAsia" w:ascii="仿宋" w:hAnsi="仿宋" w:eastAsia="仿宋" w:cs="仿宋"/>
          <w:b/>
          <w:color w:val="auto"/>
          <w:highlight w:val="none"/>
        </w:rPr>
        <w:t>项目编号：</w:t>
      </w:r>
      <w:r>
        <w:rPr>
          <w:rFonts w:hint="eastAsia" w:ascii="仿宋" w:hAnsi="仿宋" w:eastAsia="仿宋" w:cs="仿宋"/>
          <w:color w:val="auto"/>
          <w:szCs w:val="24"/>
          <w:highlight w:val="none"/>
        </w:rPr>
        <w:t>HCZB-2023-027</w:t>
      </w:r>
    </w:p>
    <w:p>
      <w:pPr>
        <w:pStyle w:val="397"/>
        <w:spacing w:afterLines="0" w:line="440" w:lineRule="exact"/>
        <w:ind w:firstLine="482"/>
        <w:rPr>
          <w:rFonts w:hint="eastAsia" w:ascii="仿宋" w:hAnsi="仿宋" w:eastAsia="仿宋" w:cs="仿宋"/>
          <w:color w:val="auto"/>
          <w:highlight w:val="none"/>
        </w:rPr>
      </w:pPr>
      <w:r>
        <w:rPr>
          <w:rFonts w:hint="eastAsia" w:ascii="仿宋" w:hAnsi="仿宋" w:eastAsia="仿宋" w:cs="仿宋"/>
          <w:b/>
          <w:color w:val="auto"/>
          <w:highlight w:val="none"/>
        </w:rPr>
        <w:t>项目名称：</w:t>
      </w:r>
      <w:r>
        <w:rPr>
          <w:rFonts w:hint="eastAsia" w:ascii="仿宋" w:hAnsi="仿宋" w:eastAsia="仿宋" w:cs="仿宋"/>
          <w:color w:val="auto"/>
          <w:szCs w:val="24"/>
          <w:highlight w:val="none"/>
        </w:rPr>
        <w:t>绍兴市人民医院护士鞋、拖鞋采购项目</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rPr>
        <w:t xml:space="preserve">330000  </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rPr>
        <w:t xml:space="preserve">330000  </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highlight w:val="none"/>
        </w:rPr>
        <w:t>绍兴市人民医院护士鞋、拖鞋采购项目</w:t>
      </w:r>
      <w:r>
        <w:rPr>
          <w:rFonts w:hint="eastAsia" w:ascii="仿宋" w:hAnsi="仿宋" w:eastAsia="仿宋" w:cs="仿宋"/>
          <w:bCs/>
          <w:color w:val="auto"/>
          <w:sz w:val="24"/>
          <w:highlight w:val="none"/>
        </w:rPr>
        <w:t xml:space="preserve">                </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预算金额：330000           </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A8"/>
      </w:r>
      <w:r>
        <w:rPr>
          <w:rFonts w:hint="eastAsia" w:ascii="仿宋" w:hAnsi="仿宋" w:eastAsia="仿宋" w:cs="仿宋"/>
          <w:b/>
          <w:color w:val="auto"/>
          <w:sz w:val="24"/>
          <w:highlight w:val="none"/>
        </w:rPr>
        <w:t>是，</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否。</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pPr>
        <w:spacing w:line="440" w:lineRule="exact"/>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785" w:firstLineChars="374"/>
        <w:rPr>
          <w:rFonts w:hint="eastAsia" w:ascii="仿宋" w:hAnsi="仿宋" w:eastAsia="仿宋" w:cs="仿宋"/>
          <w:color w:val="auto"/>
          <w:sz w:val="24"/>
          <w:highlight w:val="none"/>
          <w:u w:val="single"/>
        </w:rPr>
      </w:pPr>
      <w:sdt>
        <w:sdtPr>
          <w:rPr>
            <w:rFonts w:hint="eastAsia" w:ascii="仿宋" w:hAnsi="仿宋" w:eastAsia="仿宋" w:cs="仿宋"/>
            <w:color w:val="auto"/>
            <w:szCs w:val="21"/>
            <w:highlight w:val="none"/>
          </w:rPr>
          <w:id w:val="-1342388451"/>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numPr>
          <w:ilvl w:val="0"/>
          <w:numId w:val="1"/>
        </w:num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本项目的特定资格要求：无</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三、获取招标文件时间、地点及方式：</w:t>
      </w:r>
    </w:p>
    <w:p>
      <w:pPr>
        <w:spacing w:line="480" w:lineRule="exact"/>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1.获取时间及地点：招标公告发出之时至</w:t>
      </w:r>
      <w:r>
        <w:rPr>
          <w:rFonts w:hint="eastAsia" w:ascii="仿宋" w:hAnsi="仿宋" w:eastAsia="仿宋" w:cs="仿宋"/>
          <w:color w:val="auto"/>
          <w:sz w:val="24"/>
          <w:highlight w:val="none"/>
          <w:u w:val="single"/>
        </w:rPr>
        <w:t xml:space="preserve"> 2023</w:t>
      </w:r>
      <w:r>
        <w:rPr>
          <w:rFonts w:hint="eastAsia" w:ascii="仿宋" w:hAnsi="仿宋" w:eastAsia="仿宋" w:cs="仿宋"/>
          <w:color w:val="auto"/>
          <w:sz w:val="24"/>
          <w:highlight w:val="none"/>
        </w:rPr>
        <w:t>年  月  日上午8:30—11:30；下午 14:00～17:00 (双休日及法定节假日除外）地址：</w:t>
      </w:r>
      <w:r>
        <w:rPr>
          <w:rFonts w:hint="eastAsia" w:ascii="仿宋" w:hAnsi="仿宋" w:eastAsia="仿宋" w:cs="仿宋"/>
          <w:color w:val="auto"/>
          <w:kern w:val="0"/>
          <w:sz w:val="24"/>
          <w:highlight w:val="none"/>
        </w:rPr>
        <w:t>绍兴市越城区越西路800号金德隆商业中心8幢二楼华诚工程咨询集团有限公司。</w:t>
      </w:r>
    </w:p>
    <w:p>
      <w:pPr>
        <w:spacing w:line="480" w:lineRule="exact"/>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2.获取招标文件时需提供以下资料（复印件加盖单位公章）：投标人营业执照副本、报名人身份证、法定代表人授权委托书及联系方式（手机号码和邮箱）。</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供应商应于</w:t>
      </w:r>
      <w:r>
        <w:rPr>
          <w:rFonts w:hint="eastAsia" w:ascii="仿宋" w:hAnsi="仿宋" w:eastAsia="仿宋" w:cs="仿宋"/>
          <w:color w:val="auto"/>
          <w:sz w:val="24"/>
          <w:highlight w:val="none"/>
          <w:u w:val="single"/>
        </w:rPr>
        <w:t>2023</w:t>
      </w:r>
      <w:r>
        <w:rPr>
          <w:rFonts w:hint="eastAsia" w:ascii="仿宋" w:hAnsi="仿宋" w:eastAsia="仿宋" w:cs="仿宋"/>
          <w:color w:val="auto"/>
          <w:sz w:val="24"/>
          <w:highlight w:val="none"/>
        </w:rPr>
        <w:t>年  月  日</w:t>
      </w:r>
      <w:r>
        <w:rPr>
          <w:rFonts w:hint="eastAsia" w:ascii="仿宋" w:hAnsi="仿宋" w:eastAsia="仿宋" w:cs="仿宋"/>
          <w:color w:val="auto"/>
          <w:sz w:val="24"/>
          <w:highlight w:val="none"/>
          <w:u w:val="single"/>
        </w:rPr>
        <w:t xml:space="preserve">9:30 </w:t>
      </w:r>
      <w:r>
        <w:rPr>
          <w:rFonts w:hint="eastAsia" w:ascii="仿宋" w:hAnsi="仿宋" w:eastAsia="仿宋" w:cs="仿宋"/>
          <w:color w:val="auto"/>
          <w:sz w:val="24"/>
          <w:highlight w:val="none"/>
        </w:rPr>
        <w:t>时以前将投标文件密封送交到</w:t>
      </w:r>
      <w:r>
        <w:rPr>
          <w:rFonts w:hint="eastAsia" w:ascii="仿宋" w:hAnsi="仿宋" w:eastAsia="仿宋" w:cs="仿宋"/>
          <w:color w:val="auto"/>
          <w:kern w:val="0"/>
          <w:sz w:val="24"/>
          <w:highlight w:val="none"/>
        </w:rPr>
        <w:t>绍兴市越城区越西路800号金德隆商业中心8幢二楼华诚工程咨询集团有限公司开标室</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未获取招标文件送达</w:t>
      </w:r>
      <w:r>
        <w:rPr>
          <w:rFonts w:hint="eastAsia" w:ascii="仿宋" w:hAnsi="仿宋" w:eastAsia="仿宋" w:cs="仿宋"/>
          <w:color w:val="auto"/>
          <w:sz w:val="24"/>
          <w:highlight w:val="none"/>
        </w:rPr>
        <w:t>或逾期送达不予接收。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投标文件递交方式（以下两种方式可任选一种）：</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（1）采用邮寄方式，邮寄公司建议采用EMS或顺丰（包裹外包装上请注明投标单位名称、项目名称、联系人、联系电话等信息，以便工作人员接收登记工作），接收截止时间为2023年  月  日  时前（以签收时间为准，如在规定时间内未收到投标文件，则作自动放弃投标处理，由投标供应商自行承担责任），邮寄地址：</w:t>
      </w:r>
      <w:r>
        <w:rPr>
          <w:rFonts w:hint="eastAsia" w:ascii="仿宋" w:hAnsi="仿宋" w:eastAsia="仿宋" w:cs="仿宋"/>
          <w:color w:val="auto"/>
          <w:kern w:val="0"/>
          <w:sz w:val="24"/>
          <w:highlight w:val="none"/>
        </w:rPr>
        <w:t xml:space="preserve">绍兴市越城区越西路800号金德隆商业中心8幢二楼华诚工程咨询集团有限公司二楼开标室 </w:t>
      </w:r>
      <w:r>
        <w:rPr>
          <w:rFonts w:hint="eastAsia" w:ascii="仿宋" w:hAnsi="仿宋" w:eastAsia="仿宋" w:cs="仿宋"/>
          <w:color w:val="auto"/>
          <w:sz w:val="24"/>
          <w:highlight w:val="none"/>
        </w:rPr>
        <w:t>联系人：毕龙梅   电话：15068545458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（2）现场递交，供应商应于</w:t>
      </w:r>
      <w:r>
        <w:rPr>
          <w:rFonts w:hint="eastAsia" w:ascii="仿宋" w:hAnsi="仿宋" w:eastAsia="仿宋" w:cs="仿宋"/>
          <w:color w:val="auto"/>
          <w:sz w:val="24"/>
          <w:highlight w:val="none"/>
          <w:u w:val="single"/>
        </w:rPr>
        <w:t>2023</w:t>
      </w:r>
      <w:r>
        <w:rPr>
          <w:rFonts w:hint="eastAsia" w:ascii="仿宋" w:hAnsi="仿宋" w:eastAsia="仿宋" w:cs="仿宋"/>
          <w:color w:val="auto"/>
          <w:sz w:val="24"/>
          <w:highlight w:val="none"/>
        </w:rPr>
        <w:t>年  月  日</w:t>
      </w:r>
      <w:r>
        <w:rPr>
          <w:rFonts w:hint="eastAsia" w:ascii="仿宋" w:hAnsi="仿宋" w:eastAsia="仿宋" w:cs="仿宋"/>
          <w:color w:val="auto"/>
          <w:sz w:val="24"/>
          <w:highlight w:val="none"/>
          <w:u w:val="single"/>
        </w:rPr>
        <w:t xml:space="preserve">09:30 </w:t>
      </w:r>
      <w:r>
        <w:rPr>
          <w:rFonts w:hint="eastAsia" w:ascii="仿宋" w:hAnsi="仿宋" w:eastAsia="仿宋" w:cs="仿宋"/>
          <w:color w:val="auto"/>
          <w:sz w:val="24"/>
          <w:highlight w:val="none"/>
        </w:rPr>
        <w:t>时以前将投标文件密封送交</w:t>
      </w:r>
      <w:r>
        <w:rPr>
          <w:rFonts w:hint="eastAsia" w:ascii="仿宋" w:hAnsi="仿宋" w:eastAsia="仿宋" w:cs="仿宋"/>
          <w:color w:val="auto"/>
          <w:kern w:val="0"/>
          <w:sz w:val="24"/>
          <w:highlight w:val="none"/>
        </w:rPr>
        <w:t>，</w:t>
      </w:r>
      <w:r>
        <w:rPr>
          <w:rFonts w:hint="eastAsia" w:ascii="仿宋" w:hAnsi="仿宋" w:eastAsia="仿宋" w:cs="仿宋"/>
          <w:b/>
          <w:bCs/>
          <w:color w:val="auto"/>
          <w:sz w:val="24"/>
          <w:highlight w:val="none"/>
        </w:rPr>
        <w:t>未获取招标文件送达</w:t>
      </w:r>
      <w:r>
        <w:rPr>
          <w:rFonts w:hint="eastAsia" w:ascii="仿宋" w:hAnsi="仿宋" w:eastAsia="仿宋" w:cs="仿宋"/>
          <w:color w:val="auto"/>
          <w:sz w:val="24"/>
          <w:highlight w:val="none"/>
        </w:rPr>
        <w:t xml:space="preserve">或逾期送达不予接收，应即交即走，不参加后续开标会。现场递交地址： </w:t>
      </w:r>
      <w:r>
        <w:rPr>
          <w:rFonts w:hint="eastAsia" w:ascii="仿宋" w:hAnsi="仿宋" w:eastAsia="仿宋" w:cs="仿宋"/>
          <w:color w:val="auto"/>
          <w:kern w:val="0"/>
          <w:sz w:val="24"/>
          <w:highlight w:val="none"/>
        </w:rPr>
        <w:t>绍兴市越城区越西路800号金德隆商业中心8幢二楼华诚工程咨询集团有限公司开标室。</w:t>
      </w:r>
    </w:p>
    <w:p>
      <w:pPr>
        <w:spacing w:line="440" w:lineRule="exact"/>
        <w:ind w:firstLine="482" w:firstLineChars="200"/>
        <w:rPr>
          <w:rFonts w:hint="eastAsia" w:ascii="仿宋" w:hAnsi="仿宋" w:eastAsia="仿宋" w:cs="仿宋"/>
          <w:color w:val="auto"/>
          <w:highlight w:val="none"/>
        </w:rPr>
      </w:pPr>
      <w:r>
        <w:rPr>
          <w:rFonts w:hint="eastAsia" w:ascii="仿宋" w:hAnsi="仿宋" w:eastAsia="仿宋" w:cs="仿宋"/>
          <w:b/>
          <w:bCs/>
          <w:color w:val="auto"/>
          <w:sz w:val="24"/>
          <w:highlight w:val="none"/>
        </w:rPr>
        <w:t>开标时间及地点：</w:t>
      </w:r>
      <w:r>
        <w:rPr>
          <w:rFonts w:hint="eastAsia" w:ascii="仿宋" w:hAnsi="仿宋" w:eastAsia="仿宋" w:cs="仿宋"/>
          <w:color w:val="auto"/>
          <w:sz w:val="24"/>
          <w:highlight w:val="none"/>
        </w:rPr>
        <w:t>同投标截止时间及地点。</w:t>
      </w:r>
    </w:p>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bookmarkEnd w:id="7"/>
    <w:bookmarkEnd w:id="8"/>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39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名称：绍兴市人民医院 </w:t>
      </w:r>
    </w:p>
    <w:p>
      <w:pPr>
        <w:pStyle w:val="39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地址：绍兴市越城区中兴北路568号</w:t>
      </w:r>
    </w:p>
    <w:p>
      <w:pPr>
        <w:pStyle w:val="39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传真：0575-88558842</w:t>
      </w:r>
    </w:p>
    <w:p>
      <w:pPr>
        <w:pStyle w:val="39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项目联系人（询问）：高佳美  </w:t>
      </w:r>
    </w:p>
    <w:p>
      <w:pPr>
        <w:pStyle w:val="39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项目联系方式（询问）：0575-88558931 </w:t>
      </w:r>
    </w:p>
    <w:p>
      <w:pPr>
        <w:pStyle w:val="39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质疑联系人：王伟炳   </w:t>
      </w:r>
    </w:p>
    <w:p>
      <w:pPr>
        <w:pStyle w:val="39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质疑联系方式：0575-88558846</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2.采购代理机构信息       </w:t>
      </w:r>
    </w:p>
    <w:p>
      <w:pPr>
        <w:pStyle w:val="397"/>
        <w:widowControl w:val="0"/>
        <w:snapToGrid/>
        <w:spacing w:afterLines="0" w:line="44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highlight w:val="none"/>
        </w:rPr>
        <w:t>华诚工程咨询集团有限公司</w:t>
      </w:r>
      <w:r>
        <w:rPr>
          <w:rFonts w:hint="eastAsia" w:ascii="仿宋" w:hAnsi="仿宋" w:eastAsia="仿宋" w:cs="仿宋"/>
          <w:color w:val="auto"/>
          <w:szCs w:val="21"/>
          <w:highlight w:val="none"/>
        </w:rPr>
        <w:t xml:space="preserve">        </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地址：绍兴市越城区越西路800号金德隆商业中心8幢二楼</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397"/>
        <w:widowControl w:val="0"/>
        <w:snapToGrid/>
        <w:spacing w:afterLines="0" w:line="44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4"/>
          <w:highlight w:val="none"/>
        </w:rPr>
        <w:t>项目联系人（询问）：毕龙梅</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项目联系方式（询问）：15068545458</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詹栋炯</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质疑联系方式：18267575010</w:t>
      </w:r>
    </w:p>
    <w:p>
      <w:pPr>
        <w:pStyle w:val="39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3.同级采购监督管理部门       </w:t>
      </w:r>
    </w:p>
    <w:p>
      <w:pPr>
        <w:pStyle w:val="39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名称：绍兴市卫生健康委员会       </w:t>
      </w:r>
    </w:p>
    <w:p>
      <w:pPr>
        <w:pStyle w:val="39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绍兴市洋江西路589号</w:t>
      </w:r>
      <w:r>
        <w:rPr>
          <w:rFonts w:hint="eastAsia" w:ascii="仿宋" w:hAnsi="仿宋" w:eastAsia="仿宋" w:cs="仿宋"/>
          <w:color w:val="auto"/>
          <w:szCs w:val="24"/>
          <w:highlight w:val="none"/>
        </w:rPr>
        <w:t>      </w:t>
      </w:r>
    </w:p>
    <w:p>
      <w:pPr>
        <w:pStyle w:val="39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39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：茅艳萍     </w:t>
      </w:r>
    </w:p>
    <w:p>
      <w:pPr>
        <w:pStyle w:val="397"/>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监督投诉电话：0575-85228949  </w:t>
      </w:r>
    </w:p>
    <w:p>
      <w:pPr>
        <w:widowControl/>
        <w:jc w:val="right"/>
        <w:rPr>
          <w:rFonts w:hint="eastAsia" w:ascii="仿宋" w:hAnsi="仿宋" w:eastAsia="仿宋" w:cs="仿宋"/>
          <w:color w:val="auto"/>
          <w:kern w:val="0"/>
          <w:sz w:val="24"/>
          <w:highlight w:val="none"/>
        </w:rPr>
      </w:pPr>
    </w:p>
    <w:p>
      <w:pPr>
        <w:widowControl/>
        <w:jc w:val="right"/>
        <w:rPr>
          <w:rFonts w:hint="eastAsia" w:ascii="仿宋" w:hAnsi="仿宋" w:eastAsia="仿宋" w:cs="仿宋"/>
          <w:color w:val="auto"/>
          <w:kern w:val="0"/>
          <w:sz w:val="24"/>
          <w:highlight w:val="none"/>
        </w:rPr>
      </w:pPr>
    </w:p>
    <w:p>
      <w:pPr>
        <w:widowControl/>
        <w:jc w:val="right"/>
        <w:rPr>
          <w:rFonts w:hint="eastAsia" w:ascii="仿宋" w:hAnsi="仿宋" w:eastAsia="仿宋" w:cs="仿宋"/>
          <w:color w:val="auto"/>
          <w:kern w:val="0"/>
          <w:sz w:val="24"/>
          <w:highlight w:val="none"/>
        </w:rPr>
      </w:pPr>
    </w:p>
    <w:p>
      <w:pPr>
        <w:widowControl/>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公告时间：2023年    月  日</w:t>
      </w:r>
    </w:p>
    <w:p>
      <w:pPr>
        <w:pStyle w:val="397"/>
        <w:spacing w:after="120" w:line="440" w:lineRule="exact"/>
        <w:ind w:firstLine="480"/>
        <w:jc w:val="right"/>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480"/>
        <w:rPr>
          <w:rFonts w:hint="eastAsia" w:ascii="仿宋" w:hAnsi="仿宋" w:eastAsia="仿宋" w:cs="仿宋"/>
          <w:color w:val="auto"/>
          <w:szCs w:val="24"/>
          <w:highlight w:val="none"/>
        </w:rPr>
      </w:pPr>
    </w:p>
    <w:p>
      <w:pPr>
        <w:pStyle w:val="397"/>
        <w:spacing w:after="120" w:line="440" w:lineRule="exact"/>
        <w:ind w:firstLine="0" w:firstLineChars="0"/>
        <w:rPr>
          <w:rFonts w:hint="eastAsia" w:ascii="仿宋" w:hAnsi="仿宋" w:eastAsia="仿宋" w:cs="仿宋"/>
          <w:color w:val="auto"/>
          <w:szCs w:val="24"/>
          <w:highlight w:val="none"/>
        </w:rPr>
      </w:pPr>
    </w:p>
    <w:p>
      <w:pPr>
        <w:pStyle w:val="397"/>
        <w:spacing w:after="120" w:line="440" w:lineRule="exact"/>
        <w:ind w:firstLine="723"/>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第二部分 投标须知</w:t>
      </w:r>
    </w:p>
    <w:p>
      <w:pPr>
        <w:adjustRightInd/>
        <w:spacing w:line="360" w:lineRule="auto"/>
        <w:ind w:firstLine="4488" w:firstLineChars="13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投标文件份数：正本一份，副本四份</w:t>
            </w:r>
            <w:r>
              <w:rPr>
                <w:rFonts w:hint="eastAsia" w:ascii="仿宋" w:hAnsi="仿宋" w:eastAsia="仿宋" w:cs="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rPr>
              <w:t>需提供女士护士鞋37码1双，耐高温拖鞋37~38码1双</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pStyle w:val="397"/>
              <w:spacing w:afterLines="0" w:line="44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（5）提供样品的时间：提交投标文件截止时间前；</w:t>
            </w:r>
            <w:r>
              <w:rPr>
                <w:rFonts w:hint="eastAsia" w:ascii="仿宋" w:hAnsi="仿宋" w:eastAsia="仿宋" w:cs="仿宋"/>
                <w:color w:val="auto"/>
                <w:szCs w:val="24"/>
                <w:highlight w:val="none"/>
              </w:rPr>
              <w:t>绍兴市越城区越西路800号金德隆商业中心8幢二楼；联系人：毕龙梅，联系电话：15068545458。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2816440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 xml:space="preserve"> 护士鞋 </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零售业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更正补充公告请自行登录浙江政府采购网,绍兴市人民医院官网http://www.sxrmyy.cn/下载。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（1）参照《招标代理服务收费管理暂行办法》计价格[2002]1980号文和发改价格[2011]534号文件收费标准*60%计取，不足2000元按2000元计取，超过15000元按15000元计。</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（2）招标代理服务费的交纳方式：</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用银行支票、汇票、电汇、现金等付款方式直接交纳招标代理服务费。</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公司名称：华诚工程咨询集团有限公司</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开户行：上海浦东发展银行股份有限公司杭州和睦支行</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号：95220078801100000315</w:t>
            </w:r>
          </w:p>
          <w:p>
            <w:pPr>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注：中标人放弃中标资格或因质疑、投诉被取消中标资格或不能履行合同的，本项目重新组织采购。对放弃中标（成交）资格的供应商，需承担代理费和专家评审费等费用。</w:t>
            </w:r>
          </w:p>
        </w:tc>
      </w:tr>
    </w:tbl>
    <w:p>
      <w:pPr>
        <w:snapToGrid w:val="0"/>
        <w:spacing w:line="360" w:lineRule="auto"/>
        <w:jc w:val="center"/>
        <w:rPr>
          <w:rFonts w:hint="eastAsia" w:ascii="仿宋" w:hAnsi="仿宋" w:eastAsia="仿宋" w:cs="仿宋"/>
          <w:b/>
          <w:color w:val="auto"/>
          <w:sz w:val="32"/>
          <w:szCs w:val="20"/>
          <w:highlight w:val="none"/>
        </w:rPr>
      </w:pPr>
    </w:p>
    <w:bookmarkEnd w:id="9"/>
    <w:p>
      <w:pPr>
        <w:adjustRightInd/>
        <w:spacing w:line="360" w:lineRule="auto"/>
        <w:jc w:val="center"/>
        <w:outlineLvl w:val="0"/>
        <w:rPr>
          <w:rFonts w:hint="eastAsia" w:ascii="仿宋" w:hAnsi="仿宋" w:eastAsia="仿宋" w:cs="仿宋"/>
          <w:b/>
          <w:color w:val="auto"/>
          <w:sz w:val="32"/>
          <w:szCs w:val="32"/>
          <w:highlight w:val="none"/>
        </w:rPr>
      </w:pPr>
      <w:bookmarkStart w:id="11" w:name="_Hlt68072998"/>
      <w:bookmarkEnd w:id="11"/>
      <w:bookmarkStart w:id="12" w:name="_Hlt74729768"/>
      <w:bookmarkEnd w:id="12"/>
      <w:bookmarkStart w:id="13" w:name="_Hlt74714665"/>
      <w:bookmarkEnd w:id="13"/>
      <w:bookmarkStart w:id="14" w:name="_Hlt68073093"/>
      <w:bookmarkEnd w:id="14"/>
      <w:bookmarkStart w:id="15" w:name="_Hlt68072990"/>
      <w:bookmarkEnd w:id="15"/>
      <w:bookmarkStart w:id="16" w:name="_Hlt68057669"/>
      <w:bookmarkEnd w:id="16"/>
      <w:bookmarkStart w:id="17" w:name="_Hlt75236290"/>
      <w:bookmarkEnd w:id="17"/>
      <w:bookmarkStart w:id="18" w:name="_Hlt75236101"/>
      <w:bookmarkEnd w:id="18"/>
      <w:bookmarkStart w:id="19" w:name="_Hlt74730295"/>
      <w:bookmarkEnd w:id="19"/>
      <w:bookmarkStart w:id="20" w:name="_Hlt74707468"/>
      <w:bookmarkEnd w:id="20"/>
      <w:bookmarkStart w:id="21" w:name="_Hlt68403820"/>
      <w:bookmarkEnd w:id="21"/>
      <w:bookmarkStart w:id="22" w:name="_Hlt75236011"/>
      <w:bookmarkEnd w:id="22"/>
      <w:bookmarkStart w:id="23" w:name="第三部分"/>
      <w:bookmarkStart w:id="24" w:name="_Toc164416483"/>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color w:val="auto"/>
          <w:highlight w:val="none"/>
        </w:rPr>
      </w:pPr>
    </w:p>
    <w:p>
      <w:pPr>
        <w:pStyle w:val="132"/>
        <w:snapToGrid w:val="0"/>
        <w:spacing w:before="0" w:line="440" w:lineRule="exact"/>
        <w:ind w:firstLine="640"/>
        <w:rPr>
          <w:rFonts w:hint="eastAsia" w:ascii="仿宋" w:hAnsi="仿宋" w:eastAsia="仿宋" w:cs="仿宋"/>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6"/>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highlight w:val="none"/>
        </w:rPr>
        <w:t>中标人须向招标代理机构交纳代理服务费，具体详见投标人须知前附表。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rPr>
          <w:rFonts w:hint="eastAsia" w:ascii="仿宋" w:hAnsi="仿宋" w:eastAsia="仿宋" w:cs="仿宋"/>
          <w:color w:val="auto"/>
          <w:sz w:val="32"/>
          <w:szCs w:val="32"/>
          <w:highlight w:val="none"/>
          <w:lang w:val="en-US"/>
        </w:rPr>
      </w:pP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pStyle w:val="33"/>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r>
        <w:rPr>
          <w:rFonts w:hint="eastAsia" w:ascii="仿宋" w:hAnsi="仿宋" w:eastAsia="仿宋" w:cs="仿宋"/>
          <w:color w:val="auto"/>
          <w:sz w:val="24"/>
          <w:highlight w:val="none"/>
          <w:lang w:eastAsia="zh-CN"/>
        </w:rPr>
        <w:t>：</w:t>
      </w:r>
      <w:bookmarkStart w:id="185" w:name="_GoBack"/>
      <w:bookmarkEnd w:id="185"/>
      <w:r>
        <w:rPr>
          <w:rFonts w:hint="eastAsia" w:ascii="仿宋" w:hAnsi="仿宋" w:eastAsia="仿宋" w:cs="仿宋"/>
          <w:color w:val="auto"/>
          <w:sz w:val="24"/>
          <w:highlight w:val="none"/>
        </w:rPr>
        <w:t>中小企业申明函（适用专门面向中小企业项目）；</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2.2.3授权代表社保证明复印件；</w:t>
      </w:r>
    </w:p>
    <w:p>
      <w:pPr>
        <w:pStyle w:val="2"/>
        <w:ind w:firstLine="720" w:firstLineChars="300"/>
        <w:rPr>
          <w:rFonts w:hint="eastAsia" w:ascii="仿宋" w:hAnsi="仿宋" w:eastAsia="仿宋" w:cs="仿宋"/>
          <w:color w:val="auto"/>
          <w:sz w:val="24"/>
          <w:highlight w:val="none"/>
        </w:rPr>
      </w:pPr>
      <w:bookmarkStart w:id="25" w:name="_Hlk142294507"/>
      <w:r>
        <w:rPr>
          <w:rFonts w:hint="eastAsia" w:ascii="仿宋" w:hAnsi="仿宋" w:eastAsia="仿宋" w:cs="仿宋"/>
          <w:color w:val="auto"/>
          <w:highlight w:val="none"/>
          <w:lang w:val="en-US"/>
        </w:rPr>
        <w:t>2.2.4 法定代表人及其授权代表身份证复印件；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bookmarkEnd w:id="25"/>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pPr>
        <w:snapToGrid w:val="0"/>
        <w:spacing w:line="440" w:lineRule="exact"/>
        <w:ind w:firstLine="354" w:firstLineChars="147"/>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pPr>
        <w:snapToGrid w:val="0"/>
        <w:spacing w:line="440" w:lineRule="exact"/>
        <w:ind w:firstLine="354" w:firstLineChars="147"/>
        <w:rPr>
          <w:rFonts w:hint="eastAsia" w:ascii="仿宋" w:hAnsi="仿宋" w:eastAsia="仿宋" w:cs="仿宋"/>
          <w:b/>
          <w:bCs/>
          <w:color w:val="auto"/>
          <w:sz w:val="24"/>
          <w:szCs w:val="20"/>
          <w:highlight w:val="none"/>
        </w:rPr>
      </w:pPr>
      <w:r>
        <w:rPr>
          <w:rFonts w:hint="eastAsia" w:ascii="仿宋" w:hAnsi="仿宋" w:eastAsia="仿宋" w:cs="仿宋"/>
          <w:b/>
          <w:bCs/>
          <w:color w:val="auto"/>
          <w:sz w:val="24"/>
          <w:szCs w:val="20"/>
          <w:highlight w:val="none"/>
        </w:rPr>
        <w:t>4.投标文件的制作要求</w:t>
      </w:r>
    </w:p>
    <w:p>
      <w:pPr>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w:t>
      </w:r>
      <w:r>
        <w:rPr>
          <w:rFonts w:hint="eastAsia" w:ascii="仿宋" w:hAnsi="仿宋" w:eastAsia="仿宋" w:cs="仿宋"/>
          <w:color w:val="auto"/>
          <w:sz w:val="24"/>
          <w:highlight w:val="none"/>
        </w:rPr>
        <w:t>封包要求：</w:t>
      </w:r>
      <w:r>
        <w:rPr>
          <w:rFonts w:hint="eastAsia" w:ascii="仿宋" w:hAnsi="仿宋" w:eastAsia="仿宋" w:cs="仿宋"/>
          <w:color w:val="auto"/>
          <w:sz w:val="24"/>
          <w:highlight w:val="none"/>
          <w:lang w:val="zh-CN"/>
        </w:rPr>
        <w:t>投标文件分为“资格文件”、“商务技术文件”、“报价文件”三部分</w:t>
      </w:r>
      <w:r>
        <w:rPr>
          <w:rFonts w:hint="eastAsia" w:ascii="仿宋" w:hAnsi="仿宋" w:eastAsia="仿宋" w:cs="仿宋"/>
          <w:color w:val="auto"/>
          <w:sz w:val="24"/>
          <w:highlight w:val="none"/>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4.2签署要求：按采购文件第六章“投标文件格式附件”各表单要求签署。</w:t>
      </w:r>
    </w:p>
    <w:p>
      <w:pPr>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4.3制作要求：建议采用A4幅面，编制页码，制作目录，提倡双面打印。</w:t>
      </w:r>
    </w:p>
    <w:p>
      <w:pPr>
        <w:pStyle w:val="132"/>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w:t>
      </w:r>
    </w:p>
    <w:p>
      <w:pPr>
        <w:widowControl/>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5.1 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w:t>
      </w:r>
      <w:r>
        <w:rPr>
          <w:rFonts w:hint="eastAsia" w:ascii="仿宋" w:hAnsi="仿宋" w:eastAsia="仿宋" w:cs="仿宋"/>
          <w:b/>
          <w:bCs/>
          <w:color w:val="auto"/>
          <w:kern w:val="0"/>
          <w:sz w:val="24"/>
          <w:highlight w:val="none"/>
        </w:rPr>
        <w:t>投标截止时间前</w:t>
      </w:r>
      <w:r>
        <w:rPr>
          <w:rFonts w:hint="eastAsia" w:ascii="仿宋" w:hAnsi="仿宋" w:eastAsia="仿宋" w:cs="仿宋"/>
          <w:color w:val="auto"/>
          <w:kern w:val="0"/>
          <w:sz w:val="24"/>
          <w:highlight w:val="none"/>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highlight w:val="none"/>
        </w:rPr>
        <w:t>并明确注明</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或</w:t>
      </w:r>
      <w:r>
        <w:rPr>
          <w:rFonts w:hint="eastAsia" w:ascii="仿宋" w:hAnsi="仿宋" w:eastAsia="仿宋" w:cs="仿宋"/>
          <w:color w:val="auto"/>
          <w:sz w:val="24"/>
          <w:highlight w:val="none"/>
          <w:lang w:val="zh-CN"/>
        </w:rPr>
        <w:t>“商务技术文件”</w:t>
      </w:r>
      <w:r>
        <w:rPr>
          <w:rFonts w:hint="eastAsia" w:ascii="仿宋" w:hAnsi="仿宋" w:eastAsia="仿宋" w:cs="仿宋"/>
          <w:color w:val="auto"/>
          <w:sz w:val="24"/>
          <w:highlight w:val="none"/>
        </w:rPr>
        <w:t>或</w:t>
      </w:r>
      <w:r>
        <w:rPr>
          <w:rFonts w:hint="eastAsia" w:ascii="仿宋" w:hAnsi="仿宋" w:eastAsia="仿宋" w:cs="仿宋"/>
          <w:color w:val="auto"/>
          <w:sz w:val="24"/>
          <w:highlight w:val="none"/>
          <w:lang w:val="zh-CN"/>
        </w:rPr>
        <w:t>“报价文件”</w:t>
      </w:r>
      <w:r>
        <w:rPr>
          <w:rFonts w:hint="eastAsia" w:ascii="仿宋" w:hAnsi="仿宋" w:eastAsia="仿宋" w:cs="仿宋"/>
          <w:color w:val="auto"/>
          <w:kern w:val="0"/>
          <w:sz w:val="24"/>
          <w:highlight w:val="none"/>
        </w:rPr>
        <w:t>修改（或补充）材料、项目名称或项目编号、供应商名称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。未按上述规则制作的补充和修改材料将被拒收。</w:t>
      </w:r>
    </w:p>
    <w:p>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pPr>
        <w:pStyle w:val="132"/>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auto"/>
          <w:sz w:val="32"/>
          <w:szCs w:val="32"/>
          <w:highlight w:val="none"/>
        </w:rPr>
      </w:pPr>
      <w:bookmarkStart w:id="26"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1．开标出席</w:t>
      </w:r>
    </w:p>
    <w:p>
      <w:pPr>
        <w:snapToGrid w:val="0"/>
        <w:spacing w:line="48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bookmarkEnd w:id="26"/>
    <w:p>
      <w:pPr>
        <w:snapToGrid w:val="0"/>
        <w:spacing w:line="440" w:lineRule="exact"/>
        <w:jc w:val="left"/>
        <w:rPr>
          <w:rFonts w:hint="eastAsia" w:ascii="仿宋" w:hAnsi="仿宋" w:eastAsia="仿宋" w:cs="仿宋"/>
          <w:b/>
          <w:color w:val="auto"/>
          <w:sz w:val="24"/>
          <w:highlight w:val="none"/>
        </w:rPr>
      </w:pPr>
      <w:bookmarkStart w:id="27" w:name="_Toc84325929"/>
      <w:bookmarkStart w:id="28" w:name="_Toc81372776"/>
      <w:bookmarkStart w:id="29" w:name="_Toc81372953"/>
      <w:r>
        <w:rPr>
          <w:rFonts w:hint="eastAsia" w:ascii="仿宋" w:hAnsi="仿宋" w:eastAsia="仿宋" w:cs="仿宋"/>
          <w:b/>
          <w:color w:val="auto"/>
          <w:sz w:val="24"/>
          <w:highlight w:val="none"/>
        </w:rPr>
        <w:t>3．开标大会程序</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开标大会由采购代理机构主持。</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3.3启封投标文件</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3.4评标委员会对</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3.5主持人宣布无效（废）投标情形（如有），宣读经</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评审符合招标文件要求的投标人名单，启封投标文件</w:t>
      </w:r>
      <w:r>
        <w:rPr>
          <w:rFonts w:hint="eastAsia" w:ascii="仿宋" w:hAnsi="仿宋" w:eastAsia="仿宋" w:cs="仿宋"/>
          <w:color w:val="auto"/>
          <w:sz w:val="24"/>
          <w:highlight w:val="none"/>
          <w:lang w:val="zh-CN"/>
        </w:rPr>
        <w:t>商务技术文件</w:t>
      </w:r>
      <w:r>
        <w:rPr>
          <w:rFonts w:hint="eastAsia" w:ascii="仿宋" w:hAnsi="仿宋" w:eastAsia="仿宋" w:cs="仿宋"/>
          <w:color w:val="auto"/>
          <w:sz w:val="24"/>
          <w:highlight w:val="none"/>
        </w:rPr>
        <w:t>。</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w:t>
      </w:r>
      <w:r>
        <w:rPr>
          <w:rFonts w:hint="eastAsia" w:ascii="仿宋" w:hAnsi="仿宋" w:eastAsia="仿宋" w:cs="仿宋"/>
          <w:color w:val="auto"/>
          <w:sz w:val="24"/>
          <w:highlight w:val="none"/>
          <w:lang w:val="zh-CN"/>
        </w:rPr>
        <w:t>商务技术文件</w:t>
      </w:r>
      <w:r>
        <w:rPr>
          <w:rFonts w:hint="eastAsia" w:ascii="仿宋" w:hAnsi="仿宋" w:eastAsia="仿宋" w:cs="仿宋"/>
          <w:color w:val="auto"/>
          <w:sz w:val="24"/>
          <w:highlight w:val="none"/>
        </w:rPr>
        <w:t>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3.7主持人宣布商务技术得分及无效（废）投标情形（如有），宣读经商务技术评审符合招标文件要求的投标人名单及其商务技术得分。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3.10主持人向投标单位公布评审结果。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4．评标</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4.3评标委员会负责对投标人资格的最终审定。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供应商通过提供书面说明必须加盖公章。</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5．投标文件的初审鉴定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6.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7.投标文件的评审、比较和否决</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7.2在评审过程中，评标委员会可以书面形式要求投标人就投标文件含义不明确的内容可对其通过书面形式要求投标人说明并提供相关材料，但不得超过投标文件的范围或者改变投标文件的实质性内容。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7.4在评审过程中，如属于实质性偏离或符合无效响应条件的，应当询问相关投标人，并可对其通过提供书面形式进行确认，但不允许对偏离条款进行补充、修正或撤回。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8.投标文件的澄清</w:t>
      </w:r>
    </w:p>
    <w:p>
      <w:pPr>
        <w:pStyle w:val="16"/>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9.1未按照招标文件规定要求密封封装、签署、盖章的；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9.8投标文件中的投标函无投标人的公章或填写不全的；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9.12《技术偏离说明表》不真实填写或弄虚作假的；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9.13投标文件含有采购人不能接受的附加条件；</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9.19投标人对根据修正原则修正后的报价不确认的；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9.20.5其他弄虚作假的行为。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9.24投标文件出现不是唯一的、有选择性投标报价的；</w:t>
      </w:r>
    </w:p>
    <w:p>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9.25其他违反法律、法规的情形。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33"/>
        <w:spacing w:line="360" w:lineRule="auto"/>
        <w:ind w:firstLine="726"/>
        <w:jc w:val="center"/>
        <w:rPr>
          <w:rFonts w:hint="eastAsia" w:ascii="仿宋" w:hAnsi="仿宋" w:eastAsia="仿宋" w:cs="仿宋"/>
          <w:b/>
          <w:color w:val="auto"/>
          <w:sz w:val="32"/>
          <w:szCs w:val="32"/>
          <w:highlight w:val="none"/>
        </w:rPr>
      </w:pPr>
    </w:p>
    <w:p>
      <w:pPr>
        <w:pStyle w:val="33"/>
        <w:spacing w:line="360" w:lineRule="auto"/>
        <w:ind w:firstLine="726"/>
        <w:jc w:val="center"/>
        <w:rPr>
          <w:rFonts w:hint="eastAsia" w:ascii="仿宋" w:hAnsi="仿宋" w:eastAsia="仿宋" w:cs="仿宋"/>
          <w:b/>
          <w:color w:val="auto"/>
          <w:sz w:val="32"/>
          <w:szCs w:val="32"/>
          <w:highlight w:val="none"/>
        </w:rPr>
      </w:pPr>
    </w:p>
    <w:p>
      <w:pPr>
        <w:pStyle w:val="33"/>
        <w:spacing w:line="360" w:lineRule="auto"/>
        <w:ind w:firstLine="726"/>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27"/>
    <w:bookmarkEnd w:id="28"/>
    <w:bookmarkEnd w:id="29"/>
    <w:p>
      <w:pPr>
        <w:pStyle w:val="16"/>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及绍兴市人民医院官网http://www.sxrmyy.cn/）发布中标公告，中标公告期限为1个工作日。</w:t>
      </w:r>
    </w:p>
    <w:p>
      <w:pPr>
        <w:tabs>
          <w:tab w:val="left" w:pos="0"/>
        </w:tabs>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进行备案。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1. 供应商询问</w:t>
      </w:r>
    </w:p>
    <w:p>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2"/>
        </w:numPr>
        <w:spacing w:line="336"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供应商质疑</w:t>
      </w:r>
    </w:p>
    <w:p>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sz w:val="24"/>
          <w:szCs w:val="20"/>
          <w:highlight w:val="none"/>
        </w:rPr>
        <w:t>.1质疑提出时效</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2.1.1提出质疑的供应商应当是参与所质疑项目采购活动的供应商。潜在供应商已依法获取其可质疑的采购文件的，可以对该文件提出质疑。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2.1.2.1对采购文件提出质疑的，质疑期限为供应商获得采购文件之日或者采购文件公告期限届满之日起计算，采购文件在获取截止之日后获得的，应当自采购文件公告期限届满之日起计算。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2.1.2.2对采购过程提出质疑的，质疑期限为各采购程序环节结束之日起计算。</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2.1.2.3对采购结果提出质疑的，质疑期限自采购结果公告期限届满之日起计算。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2.1.2.4对同一采购程序环节的质疑，供应商须一次性提出。</w:t>
      </w:r>
    </w:p>
    <w:p>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2.2.1供应商提出质疑应当提交质疑函和必要的证明材料。质疑函应当包括下列内容：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3.供应商投诉</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3.3供应商投诉应当有明确的请求和必要的证明材料。</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23"/>
    <w:bookmarkEnd w:id="24"/>
    <w:p>
      <w:pPr>
        <w:spacing w:line="360" w:lineRule="auto"/>
        <w:jc w:val="center"/>
        <w:outlineLvl w:val="0"/>
        <w:rPr>
          <w:rFonts w:hint="eastAsia" w:ascii="仿宋" w:hAnsi="仿宋" w:eastAsia="仿宋" w:cs="仿宋"/>
          <w:b/>
          <w:color w:val="auto"/>
          <w:sz w:val="36"/>
          <w:szCs w:val="36"/>
          <w:highlight w:val="none"/>
        </w:rPr>
      </w:pPr>
      <w:bookmarkStart w:id="30" w:name="第五部分"/>
      <w:bookmarkStart w:id="31" w:name="_Toc86217003"/>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39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39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39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39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6"/>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6"/>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highlight w:val="none"/>
        </w:rPr>
      </w:pPr>
      <w:bookmarkStart w:id="32" w:name="_Toc151354173"/>
      <w:r>
        <w:rPr>
          <w:rFonts w:hint="eastAsia" w:ascii="仿宋" w:hAnsi="仿宋" w:eastAsia="仿宋" w:cs="仿宋"/>
          <w:b/>
          <w:color w:val="auto"/>
          <w:sz w:val="24"/>
          <w:highlight w:val="none"/>
        </w:rPr>
        <w:t>8.招标项目名称及数量：</w:t>
      </w:r>
    </w:p>
    <w:bookmarkEnd w:id="32"/>
    <w:p>
      <w:pPr>
        <w:spacing w:before="120" w:beforeLines="50" w:after="120" w:afterLines="50"/>
        <w:rPr>
          <w:rFonts w:hint="eastAsia" w:ascii="仿宋" w:hAnsi="仿宋" w:eastAsia="仿宋" w:cs="仿宋"/>
          <w:color w:val="auto"/>
          <w:sz w:val="24"/>
          <w:highlight w:val="none"/>
        </w:rPr>
      </w:pPr>
      <w:r>
        <w:rPr>
          <w:rFonts w:hint="eastAsia" w:ascii="仿宋" w:hAnsi="仿宋" w:eastAsia="仿宋" w:cs="仿宋"/>
          <w:b/>
          <w:color w:val="auto"/>
          <w:sz w:val="24"/>
          <w:highlight w:val="none"/>
          <w:bdr w:val="single" w:color="auto" w:sz="4" w:space="0"/>
        </w:rPr>
        <w:t>01标</w:t>
      </w:r>
      <w:r>
        <w:rPr>
          <w:rFonts w:hint="eastAsia" w:ascii="仿宋" w:hAnsi="仿宋" w:eastAsia="仿宋" w:cs="仿宋"/>
          <w:b/>
          <w:color w:val="auto"/>
          <w:sz w:val="24"/>
          <w:highlight w:val="none"/>
        </w:rPr>
        <w:t xml:space="preserve">  绍兴市人民医院护士鞋、拖鞋采购项目 （预算：33万元）</w:t>
      </w:r>
    </w:p>
    <w:tbl>
      <w:tblPr>
        <w:tblStyle w:val="63"/>
        <w:tblW w:w="9067" w:type="dxa"/>
        <w:tblInd w:w="0" w:type="dxa"/>
        <w:tblLayout w:type="autofit"/>
        <w:tblCellMar>
          <w:top w:w="0" w:type="dxa"/>
          <w:left w:w="108" w:type="dxa"/>
          <w:bottom w:w="0" w:type="dxa"/>
          <w:right w:w="108" w:type="dxa"/>
        </w:tblCellMar>
      </w:tblPr>
      <w:tblGrid>
        <w:gridCol w:w="740"/>
        <w:gridCol w:w="1382"/>
        <w:gridCol w:w="2268"/>
        <w:gridCol w:w="708"/>
        <w:gridCol w:w="1276"/>
        <w:gridCol w:w="1276"/>
        <w:gridCol w:w="1417"/>
      </w:tblGrid>
      <w:tr>
        <w:tblPrEx>
          <w:tblCellMar>
            <w:top w:w="0" w:type="dxa"/>
            <w:left w:w="108" w:type="dxa"/>
            <w:bottom w:w="0" w:type="dxa"/>
            <w:right w:w="108" w:type="dxa"/>
          </w:tblCellMar>
        </w:tblPrEx>
        <w:trPr>
          <w:trHeight w:val="921" w:hRule="atLeast"/>
        </w:trPr>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标段</w:t>
            </w:r>
          </w:p>
        </w:tc>
        <w:tc>
          <w:tcPr>
            <w:tcW w:w="138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产品名称</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规格型号</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单位</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上限单价（元）</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预估2年用量</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预估2年金额（元）</w:t>
            </w:r>
          </w:p>
        </w:tc>
      </w:tr>
      <w:tr>
        <w:tblPrEx>
          <w:tblCellMar>
            <w:top w:w="0" w:type="dxa"/>
            <w:left w:w="108" w:type="dxa"/>
            <w:bottom w:w="0" w:type="dxa"/>
            <w:right w:w="108" w:type="dxa"/>
          </w:tblCellMar>
        </w:tblPrEx>
        <w:trPr>
          <w:trHeight w:val="717" w:hRule="atLeast"/>
        </w:trPr>
        <w:tc>
          <w:tcPr>
            <w:tcW w:w="740" w:type="dxa"/>
            <w:vMerge w:val="restart"/>
            <w:tcBorders>
              <w:top w:val="nil"/>
              <w:left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01</w:t>
            </w:r>
          </w:p>
        </w:tc>
        <w:tc>
          <w:tcPr>
            <w:tcW w:w="138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护士鞋</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男/女各码（核心产品）</w:t>
            </w:r>
          </w:p>
        </w:tc>
        <w:tc>
          <w:tcPr>
            <w:tcW w:w="70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双</w:t>
            </w:r>
          </w:p>
        </w:tc>
        <w:tc>
          <w:tcPr>
            <w:tcW w:w="1276" w:type="dxa"/>
            <w:tcBorders>
              <w:top w:val="nil"/>
              <w:left w:val="nil"/>
              <w:bottom w:val="single" w:color="auto" w:sz="4" w:space="0"/>
              <w:right w:val="single" w:color="auto" w:sz="4" w:space="0"/>
            </w:tcBorders>
            <w:shd w:val="clear" w:color="auto" w:fill="auto"/>
            <w:noWrap/>
            <w:vAlign w:val="center"/>
          </w:tcPr>
          <w:p>
            <w:pPr>
              <w:widowControl/>
              <w:wordWrap w:val="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2700</w:t>
            </w:r>
          </w:p>
        </w:tc>
        <w:tc>
          <w:tcPr>
            <w:tcW w:w="141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270000</w:t>
            </w:r>
          </w:p>
        </w:tc>
      </w:tr>
      <w:tr>
        <w:tblPrEx>
          <w:tblCellMar>
            <w:top w:w="0" w:type="dxa"/>
            <w:left w:w="108" w:type="dxa"/>
            <w:bottom w:w="0" w:type="dxa"/>
            <w:right w:w="108" w:type="dxa"/>
          </w:tblCellMar>
        </w:tblPrEx>
        <w:trPr>
          <w:trHeight w:val="312" w:hRule="atLeast"/>
        </w:trPr>
        <w:tc>
          <w:tcPr>
            <w:tcW w:w="740" w:type="dxa"/>
            <w:vMerge w:val="continue"/>
            <w:tcBorders>
              <w:left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auto"/>
                <w:kern w:val="0"/>
                <w:sz w:val="24"/>
                <w:highlight w:val="none"/>
              </w:rPr>
            </w:pPr>
          </w:p>
        </w:tc>
        <w:tc>
          <w:tcPr>
            <w:tcW w:w="138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拖鞋</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耐高温/男女各码  （耐高温要求≥120℃）</w:t>
            </w:r>
          </w:p>
        </w:tc>
        <w:tc>
          <w:tcPr>
            <w:tcW w:w="70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双</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75</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w:t>
            </w:r>
          </w:p>
        </w:tc>
        <w:tc>
          <w:tcPr>
            <w:tcW w:w="141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60000</w:t>
            </w:r>
          </w:p>
        </w:tc>
      </w:tr>
      <w:tr>
        <w:tblPrEx>
          <w:tblCellMar>
            <w:top w:w="0" w:type="dxa"/>
            <w:left w:w="108" w:type="dxa"/>
            <w:bottom w:w="0" w:type="dxa"/>
            <w:right w:w="108" w:type="dxa"/>
          </w:tblCellMar>
        </w:tblPrEx>
        <w:trPr>
          <w:trHeight w:val="624" w:hRule="atLeast"/>
        </w:trPr>
        <w:tc>
          <w:tcPr>
            <w:tcW w:w="740"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kern w:val="0"/>
                <w:sz w:val="24"/>
                <w:highlight w:val="none"/>
              </w:rPr>
            </w:pPr>
          </w:p>
        </w:tc>
        <w:tc>
          <w:tcPr>
            <w:tcW w:w="138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70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1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330000</w:t>
            </w:r>
          </w:p>
        </w:tc>
      </w:tr>
    </w:tbl>
    <w:p>
      <w:pPr>
        <w:snapToGrid w:val="0"/>
        <w:spacing w:line="420" w:lineRule="exact"/>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一、招标要求</w:t>
      </w:r>
    </w:p>
    <w:p>
      <w:pPr>
        <w:pStyle w:val="965"/>
        <w:widowControl/>
        <w:numPr>
          <w:ilvl w:val="0"/>
          <w:numId w:val="3"/>
        </w:numPr>
        <w:spacing w:line="440" w:lineRule="exact"/>
        <w:ind w:right="-105" w:rightChars="-50" w:firstLine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护士鞋需求：</w:t>
      </w:r>
    </w:p>
    <w:p>
      <w:pPr>
        <w:widowControl/>
        <w:spacing w:line="440" w:lineRule="exact"/>
        <w:ind w:left="420" w:leftChars="200" w:right="-105" w:rightChars="-5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★⑴材质：</w:t>
      </w:r>
      <w:r>
        <w:rPr>
          <w:rFonts w:hint="eastAsia" w:ascii="仿宋" w:hAnsi="仿宋" w:eastAsia="仿宋" w:cs="仿宋"/>
          <w:color w:val="auto"/>
          <w:sz w:val="24"/>
          <w:highlight w:val="none"/>
        </w:rPr>
        <w:t>鞋面为白色头层牛皮；鞋内里为头层透气猪皮；鞋底为气垫底，采用天然橡胶;</w:t>
      </w:r>
      <w:r>
        <w:rPr>
          <w:rFonts w:hint="eastAsia" w:ascii="仿宋" w:hAnsi="仿宋" w:eastAsia="仿宋" w:cs="仿宋"/>
          <w:color w:val="auto"/>
          <w:kern w:val="0"/>
          <w:sz w:val="24"/>
          <w:highlight w:val="none"/>
        </w:rPr>
        <w:t>（应当提供检测报告等证明材料）</w:t>
      </w:r>
    </w:p>
    <w:p>
      <w:pPr>
        <w:widowControl/>
        <w:spacing w:line="440" w:lineRule="exact"/>
        <w:ind w:right="-105" w:rightChars="-5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▲（2）性能：需具备防滑、耐磨、质轻等特点。</w:t>
      </w:r>
    </w:p>
    <w:p>
      <w:pPr>
        <w:widowControl/>
        <w:spacing w:line="440" w:lineRule="exact"/>
        <w:ind w:right="-105" w:rightChars="-50"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(3)穿着：舒适，美观大方。</w:t>
      </w:r>
    </w:p>
    <w:p>
      <w:pPr>
        <w:widowControl/>
        <w:spacing w:line="440" w:lineRule="exact"/>
        <w:ind w:right="-105" w:rightChars="-5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b/>
          <w:color w:val="auto"/>
          <w:sz w:val="24"/>
          <w:highlight w:val="none"/>
        </w:rPr>
        <w:t>参数：</w:t>
      </w:r>
      <w:r>
        <w:rPr>
          <w:rFonts w:hint="eastAsia" w:ascii="仿宋" w:hAnsi="仿宋" w:eastAsia="仿宋" w:cs="仿宋"/>
          <w:color w:val="auto"/>
          <w:sz w:val="24"/>
          <w:highlight w:val="none"/>
        </w:rPr>
        <w:t>鞋子尺码必须齐全；男款、女款必须齐全。</w:t>
      </w:r>
    </w:p>
    <w:p>
      <w:pPr>
        <w:widowControl/>
        <w:spacing w:line="440" w:lineRule="exact"/>
        <w:ind w:right="-105" w:rightChars="-5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(5)</w:t>
      </w:r>
      <w:r>
        <w:rPr>
          <w:rFonts w:hint="eastAsia" w:ascii="仿宋" w:hAnsi="仿宋" w:eastAsia="仿宋" w:cs="仿宋"/>
          <w:color w:val="auto"/>
          <w:sz w:val="24"/>
          <w:highlight w:val="none"/>
        </w:rPr>
        <w:t>质保：3个月。质保期内发生脱胶、开线、断底等质量问题，应免费更换。</w:t>
      </w:r>
    </w:p>
    <w:p>
      <w:pPr>
        <w:widowControl/>
        <w:spacing w:line="440" w:lineRule="exact"/>
        <w:ind w:right="-105" w:rightChars="-50"/>
        <w:rPr>
          <w:rFonts w:hint="eastAsia" w:ascii="仿宋" w:hAnsi="仿宋" w:eastAsia="仿宋" w:cs="仿宋"/>
          <w:color w:val="auto"/>
          <w:sz w:val="24"/>
          <w:highlight w:val="none"/>
        </w:rPr>
      </w:pPr>
      <w:r>
        <w:rPr>
          <w:rFonts w:hint="eastAsia" w:ascii="仿宋" w:hAnsi="仿宋" w:eastAsia="仿宋" w:cs="仿宋"/>
          <w:b/>
          <w:color w:val="auto"/>
          <w:sz w:val="24"/>
          <w:highlight w:val="none"/>
        </w:rPr>
        <w:t>2、拖鞋需求：</w:t>
      </w:r>
    </w:p>
    <w:p>
      <w:pPr>
        <w:pStyle w:val="965"/>
        <w:widowControl/>
        <w:spacing w:line="440" w:lineRule="exact"/>
        <w:ind w:left="279" w:right="-105" w:rightChars="-5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（1）材质：</w:t>
      </w:r>
      <w:r>
        <w:rPr>
          <w:rFonts w:hint="eastAsia" w:ascii="仿宋" w:hAnsi="仿宋" w:eastAsia="仿宋" w:cs="仿宋"/>
          <w:color w:val="auto"/>
          <w:sz w:val="24"/>
          <w:highlight w:val="none"/>
        </w:rPr>
        <w:t>采用纯天然橡胶或环保材料，无毒、无味。</w:t>
      </w:r>
    </w:p>
    <w:p>
      <w:pPr>
        <w:pStyle w:val="965"/>
        <w:widowControl/>
        <w:spacing w:line="440" w:lineRule="exact"/>
        <w:ind w:left="279" w:right="-105" w:rightChars="-5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▲（2）性能：具有耐腐蚀，环保，防滑，阻燃，防静电，不褪色，易浸泡消毒等特点。</w:t>
      </w:r>
    </w:p>
    <w:p>
      <w:pPr>
        <w:widowControl/>
        <w:spacing w:line="440" w:lineRule="exact"/>
        <w:ind w:right="-105" w:rightChars="-50" w:firstLine="783" w:firstLineChars="325"/>
        <w:rPr>
          <w:rFonts w:hint="eastAsia" w:ascii="仿宋" w:hAnsi="仿宋" w:eastAsia="仿宋" w:cs="仿宋"/>
          <w:color w:val="auto"/>
          <w:sz w:val="24"/>
          <w:highlight w:val="none"/>
        </w:rPr>
      </w:pPr>
      <w:r>
        <w:rPr>
          <w:rFonts w:hint="eastAsia" w:ascii="仿宋" w:hAnsi="仿宋" w:eastAsia="仿宋" w:cs="仿宋"/>
          <w:b/>
          <w:color w:val="auto"/>
          <w:sz w:val="24"/>
          <w:highlight w:val="none"/>
        </w:rPr>
        <w:t>（3）参数：</w:t>
      </w:r>
      <w:r>
        <w:rPr>
          <w:rFonts w:hint="eastAsia" w:ascii="仿宋" w:hAnsi="仿宋" w:eastAsia="仿宋" w:cs="仿宋"/>
          <w:color w:val="auto"/>
          <w:sz w:val="24"/>
          <w:highlight w:val="none"/>
        </w:rPr>
        <w:t>鞋子尺码标准齐全；男款、女款必须齐全。</w:t>
      </w:r>
    </w:p>
    <w:p>
      <w:pPr>
        <w:pStyle w:val="965"/>
        <w:widowControl/>
        <w:spacing w:line="440" w:lineRule="exact"/>
        <w:ind w:left="279" w:right="-105" w:rightChars="-50"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（4）款式：要求有2种及以上颜色。</w:t>
      </w:r>
    </w:p>
    <w:p>
      <w:pPr>
        <w:pStyle w:val="965"/>
        <w:widowControl/>
        <w:spacing w:line="440" w:lineRule="exact"/>
        <w:ind w:left="279" w:right="-105" w:rightChars="-50" w:firstLine="240" w:firstLineChars="1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★（5）质量：耐高温要求</w:t>
      </w:r>
      <w:r>
        <w:rPr>
          <w:rFonts w:hint="eastAsia" w:ascii="仿宋" w:hAnsi="仿宋" w:eastAsia="仿宋" w:cs="仿宋"/>
          <w:color w:val="auto"/>
          <w:kern w:val="0"/>
          <w:highlight w:val="none"/>
        </w:rPr>
        <w:t>≥120℃</w:t>
      </w:r>
      <w:r>
        <w:rPr>
          <w:rFonts w:hint="eastAsia" w:ascii="仿宋" w:hAnsi="仿宋" w:eastAsia="仿宋" w:cs="仿宋"/>
          <w:color w:val="auto"/>
          <w:kern w:val="0"/>
          <w:sz w:val="24"/>
          <w:highlight w:val="none"/>
        </w:rPr>
        <w:t>（应当有耐高温检测报告等证明材料）</w:t>
      </w:r>
      <w:r>
        <w:rPr>
          <w:rFonts w:hint="eastAsia" w:ascii="仿宋" w:hAnsi="仿宋" w:eastAsia="仿宋" w:cs="仿宋"/>
          <w:color w:val="auto"/>
          <w:sz w:val="24"/>
          <w:highlight w:val="none"/>
        </w:rPr>
        <w:t>。</w:t>
      </w:r>
    </w:p>
    <w:p>
      <w:pPr>
        <w:pStyle w:val="965"/>
        <w:widowControl/>
        <w:spacing w:line="440" w:lineRule="exact"/>
        <w:ind w:left="279" w:right="-105" w:rightChars="-5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▲（6）质保：3个月。质保期内发生断底、开裂等质量问题，应免费更换。</w:t>
      </w:r>
    </w:p>
    <w:p>
      <w:pPr>
        <w:widowControl/>
        <w:spacing w:line="440" w:lineRule="exact"/>
        <w:ind w:left="-105" w:right="-105" w:rightChars="-50"/>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二、</w:t>
      </w:r>
      <w:r>
        <w:rPr>
          <w:rFonts w:hint="eastAsia" w:ascii="仿宋" w:hAnsi="仿宋" w:eastAsia="仿宋" w:cs="仿宋"/>
          <w:b/>
          <w:bCs/>
          <w:color w:val="auto"/>
          <w:sz w:val="32"/>
          <w:szCs w:val="32"/>
          <w:highlight w:val="none"/>
        </w:rPr>
        <w:t>样品提供</w:t>
      </w:r>
    </w:p>
    <w:p>
      <w:pPr>
        <w:snapToGrid w:val="0"/>
        <w:spacing w:line="440" w:lineRule="exact"/>
        <w:ind w:left="240" w:hanging="240" w:hanging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1.时间要求：投标截止前提交</w:t>
      </w:r>
    </w:p>
    <w:p>
      <w:pPr>
        <w:pStyle w:val="27"/>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2.样品数量：需提供女士护士鞋37码1双，耐高温拖鞋37~38码1双。</w:t>
      </w:r>
    </w:p>
    <w:p>
      <w:pPr>
        <w:pStyle w:val="6"/>
        <w:spacing w:line="360" w:lineRule="auto"/>
        <w:ind w:firstLine="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3.样品送达地点：绍兴市越城区越西路800号金德隆商业中心8幢二楼</w:t>
      </w:r>
      <w:r>
        <w:rPr>
          <w:rFonts w:hint="eastAsia" w:ascii="仿宋" w:hAnsi="仿宋" w:eastAsia="仿宋" w:cs="仿宋"/>
          <w:color w:val="auto"/>
          <w:kern w:val="0"/>
          <w:sz w:val="24"/>
          <w:highlight w:val="none"/>
          <w:lang w:val="zh-CN"/>
        </w:rPr>
        <w:br w:type="textWrapping"/>
      </w:r>
      <w:r>
        <w:rPr>
          <w:rFonts w:hint="eastAsia" w:ascii="仿宋" w:hAnsi="仿宋" w:eastAsia="仿宋" w:cs="仿宋"/>
          <w:color w:val="auto"/>
          <w:kern w:val="0"/>
          <w:sz w:val="24"/>
          <w:highlight w:val="none"/>
          <w:lang w:val="zh-CN"/>
        </w:rPr>
        <w:t>4.送样联系方式：</w:t>
      </w:r>
      <w:r>
        <w:rPr>
          <w:rFonts w:hint="eastAsia" w:ascii="仿宋" w:hAnsi="仿宋" w:eastAsia="仿宋" w:cs="仿宋"/>
          <w:color w:val="auto"/>
          <w:kern w:val="0"/>
          <w:sz w:val="24"/>
          <w:highlight w:val="none"/>
        </w:rPr>
        <w:t>15068545458</w:t>
      </w:r>
    </w:p>
    <w:p>
      <w:pPr>
        <w:pStyle w:val="800"/>
        <w:tabs>
          <w:tab w:val="left" w:pos="822"/>
          <w:tab w:val="left" w:pos="2940"/>
        </w:tabs>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5.其他：</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1）样品需贴有标注供应商名称且加盖公章的标签。</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2）中标人样品不予退还，由采购人带回并妥善保管作为验收的参考；未中标人样品开标结束后请自行带回，采购代理机构不予保管。</w:t>
      </w:r>
    </w:p>
    <w:p>
      <w:pPr>
        <w:snapToGrid w:val="0"/>
        <w:spacing w:line="42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z w:val="32"/>
          <w:szCs w:val="32"/>
          <w:highlight w:val="none"/>
        </w:rPr>
        <w:t>三、其他要求</w:t>
      </w:r>
    </w:p>
    <w:p>
      <w:pPr>
        <w:spacing w:line="42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zh-CN"/>
        </w:rPr>
        <w:t>.产品投标单价高于医院上限单价的作为无效投标处理。</w:t>
      </w:r>
    </w:p>
    <w:p>
      <w:pPr>
        <w:snapToGrid w:val="0"/>
        <w:spacing w:line="44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2.付款方式：</w:t>
      </w:r>
      <w:r>
        <w:rPr>
          <w:rFonts w:hint="eastAsia" w:ascii="仿宋" w:hAnsi="仿宋" w:eastAsia="仿宋" w:cs="仿宋"/>
          <w:color w:val="auto"/>
          <w:kern w:val="0"/>
          <w:sz w:val="24"/>
          <w:highlight w:val="none"/>
          <w:lang w:val="zh-CN"/>
        </w:rPr>
        <w:t>按《浙江省财政厅关于进一步发挥政府采购政策 功能全力推动经济稳进提质的通知》（浙财采监〔2022〕3号）</w:t>
      </w:r>
      <w:r>
        <w:rPr>
          <w:rFonts w:hint="eastAsia" w:ascii="仿宋" w:hAnsi="仿宋" w:eastAsia="仿宋" w:cs="仿宋"/>
          <w:color w:val="auto"/>
          <w:kern w:val="0"/>
          <w:sz w:val="24"/>
          <w:highlight w:val="none"/>
        </w:rPr>
        <w:t>等</w:t>
      </w:r>
      <w:r>
        <w:rPr>
          <w:rFonts w:hint="eastAsia" w:ascii="仿宋" w:hAnsi="仿宋" w:eastAsia="仿宋" w:cs="仿宋"/>
          <w:color w:val="auto"/>
          <w:kern w:val="0"/>
          <w:sz w:val="24"/>
          <w:highlight w:val="none"/>
          <w:lang w:val="zh-CN"/>
        </w:rPr>
        <w:t>文件要求执行，具体付款方式由双方协商后在合同中明确。</w:t>
      </w:r>
    </w:p>
    <w:p>
      <w:pPr>
        <w:spacing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bCs/>
          <w:color w:val="auto"/>
          <w:sz w:val="24"/>
          <w:highlight w:val="none"/>
        </w:rPr>
        <w:t xml:space="preserve"> 到货期：中标供应商需与医院物资供应链系统连接，在医院发出采购需求后一般情况下3个工作日内送至指定地点，特殊情况按医院需求配送到位。</w:t>
      </w:r>
    </w:p>
    <w:p>
      <w:pPr>
        <w:snapToGrid w:val="0"/>
        <w:spacing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r>
        <w:rPr>
          <w:rFonts w:hint="eastAsia" w:ascii="仿宋" w:hAnsi="仿宋" w:eastAsia="仿宋" w:cs="仿宋"/>
          <w:color w:val="auto"/>
          <w:sz w:val="24"/>
          <w:highlight w:val="none"/>
          <w:lang w:val="zh-CN"/>
        </w:rPr>
        <w:t xml:space="preserve"> 验收方式：采购单位对所供货物进行最终验收，如果发现与合同不符，供应商须承担由此发生的一切损失和费用，并接受相应的处罚。</w:t>
      </w:r>
    </w:p>
    <w:p>
      <w:pPr>
        <w:snapToGrid w:val="0"/>
        <w:spacing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5.合同期:2年。若在合同期内供应商不能正常履约的，医院重新组织招标，并没收供应商履约保证金。</w:t>
      </w:r>
    </w:p>
    <w:p>
      <w:pPr>
        <w:snapToGrid w:val="0"/>
        <w:spacing w:line="440" w:lineRule="exact"/>
        <w:jc w:val="left"/>
        <w:rPr>
          <w:rFonts w:hint="eastAsia" w:ascii="仿宋" w:hAnsi="仿宋" w:eastAsia="仿宋" w:cs="仿宋"/>
          <w:bCs/>
          <w:color w:val="auto"/>
          <w:sz w:val="24"/>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lang w:val="zh-CN"/>
        </w:rPr>
        <w:t>履约保证金：按中标金额的1%收取，若合同期内三次不及时响应送货的，</w:t>
      </w:r>
      <w:r>
        <w:rPr>
          <w:rFonts w:hint="eastAsia" w:ascii="仿宋" w:hAnsi="仿宋" w:eastAsia="仿宋" w:cs="仿宋"/>
          <w:bCs/>
          <w:color w:val="auto"/>
          <w:sz w:val="24"/>
          <w:highlight w:val="none"/>
        </w:rPr>
        <w:t>扣除履约保证金。</w:t>
      </w:r>
    </w:p>
    <w:p>
      <w:pPr>
        <w:autoSpaceDE w:val="0"/>
        <w:autoSpaceDN w:val="0"/>
        <w:spacing w:line="460" w:lineRule="atLeas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合同期内如遇上级部门集中采购、组织开展联合采购或其他有关政策，与合同条款或合同供应模式发生冲突的，则医院有权单方解除合同，不视为医院违约，且双方互不承担责任。如医院采取集中配送或由第三方集中配送等物流供应新模式的（如SPD配送服务管理），中标供应商须同意按医院的新模式要求执行，且不得因此提出任何合同外的要求或费用等，否则医院也有权单方解除合同且不承担任何责任。</w:t>
      </w:r>
    </w:p>
    <w:p>
      <w:pPr>
        <w:snapToGrid w:val="0"/>
        <w:spacing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8.</w:t>
      </w:r>
      <w:r>
        <w:rPr>
          <w:rFonts w:hint="eastAsia" w:ascii="仿宋" w:hAnsi="仿宋" w:eastAsia="仿宋" w:cs="仿宋"/>
          <w:color w:val="auto"/>
          <w:kern w:val="0"/>
          <w:sz w:val="24"/>
          <w:highlight w:val="none"/>
        </w:rPr>
        <w:t>合同期内若遇中标产品价格统一下调，中标单位需主动向医院申报并下调交易价格，医院不定期进行抽查，发现未主动申报下调价格，将在履约保证金中加倍扣除相应的金额。</w:t>
      </w:r>
    </w:p>
    <w:p>
      <w:pPr>
        <w:snapToGrid w:val="0"/>
        <w:spacing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9.护士鞋和拖鞋的材质必须符合招标要求、国标标准鞋号且与样品一致，合同期内如有不符，将扣除全部履约保证金。</w:t>
      </w: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pStyle w:val="3"/>
        <w:rPr>
          <w:rFonts w:hint="eastAsia" w:ascii="仿宋" w:hAnsi="仿宋" w:eastAsia="仿宋" w:cs="仿宋"/>
          <w:color w:val="auto"/>
          <w:highlight w:val="none"/>
        </w:rPr>
      </w:pPr>
    </w:p>
    <w:p>
      <w:pPr>
        <w:spacing w:line="360" w:lineRule="auto"/>
        <w:outlineLvl w:val="0"/>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2"/>
        <w:ind w:left="0" w:leftChars="0" w:firstLine="0" w:firstLineChars="0"/>
        <w:rPr>
          <w:rFonts w:hint="eastAsia" w:ascii="仿宋" w:hAnsi="仿宋" w:eastAsia="仿宋" w:cs="仿宋"/>
          <w:color w:val="auto"/>
          <w:szCs w:val="24"/>
          <w:highlight w:val="none"/>
        </w:rPr>
      </w:pPr>
    </w:p>
    <w:p>
      <w:pPr>
        <w:pStyle w:val="702"/>
        <w:jc w:val="center"/>
        <w:rPr>
          <w:rFonts w:hint="eastAsia" w:ascii="仿宋" w:hAnsi="仿宋" w:eastAsia="仿宋" w:cs="仿宋"/>
          <w:color w:val="auto"/>
          <w:szCs w:val="24"/>
          <w:highlight w:val="none"/>
        </w:rPr>
      </w:pPr>
    </w:p>
    <w:p>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2"/>
        <w:rPr>
          <w:rFonts w:hint="eastAsia" w:ascii="仿宋" w:hAnsi="仿宋" w:eastAsia="仿宋" w:cs="仿宋"/>
          <w:color w:val="auto"/>
          <w:szCs w:val="24"/>
          <w:highlight w:val="none"/>
        </w:rPr>
      </w:pPr>
    </w:p>
    <w:p>
      <w:pPr>
        <w:pStyle w:val="702"/>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599"/>
        <w:spacing w:before="120" w:line="22" w:lineRule="atLeast"/>
        <w:rPr>
          <w:rFonts w:hint="eastAsia" w:ascii="仿宋" w:hAnsi="仿宋" w:eastAsia="仿宋" w:cs="仿宋"/>
          <w:color w:val="auto"/>
          <w:szCs w:val="24"/>
          <w:highlight w:val="none"/>
        </w:rPr>
      </w:pPr>
    </w:p>
    <w:p>
      <w:pPr>
        <w:pStyle w:val="599"/>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pgNumType w:fmt="decimal"/>
          <w:cols w:space="720" w:num="1"/>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33" w:name="_Toc24059"/>
      <w:bookmarkStart w:id="34" w:name="_Toc2232"/>
      <w:bookmarkStart w:id="35" w:name="_Toc3029"/>
      <w:r>
        <w:rPr>
          <w:rFonts w:hint="eastAsia" w:ascii="仿宋" w:hAnsi="仿宋" w:eastAsia="仿宋" w:cs="仿宋"/>
          <w:b/>
          <w:color w:val="auto"/>
          <w:sz w:val="24"/>
          <w:highlight w:val="none"/>
        </w:rPr>
        <w:t>1.1 合同组成部分</w:t>
      </w:r>
      <w:bookmarkEnd w:id="33"/>
      <w:bookmarkEnd w:id="34"/>
      <w:bookmarkEnd w:id="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36" w:name="_Toc24300"/>
      <w:bookmarkStart w:id="37" w:name="_Toc27126"/>
      <w:bookmarkStart w:id="38" w:name="_Toc21295"/>
      <w:r>
        <w:rPr>
          <w:rFonts w:hint="eastAsia" w:ascii="仿宋" w:hAnsi="仿宋" w:eastAsia="仿宋" w:cs="仿宋"/>
          <w:b/>
          <w:color w:val="auto"/>
          <w:sz w:val="24"/>
          <w:highlight w:val="none"/>
        </w:rPr>
        <w:t>1.2 货物</w:t>
      </w:r>
      <w:bookmarkEnd w:id="36"/>
      <w:bookmarkEnd w:id="37"/>
      <w:bookmarkEnd w:id="38"/>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hint="eastAsia" w:ascii="仿宋" w:hAnsi="仿宋" w:eastAsia="仿宋" w:cs="仿宋"/>
          <w:b/>
          <w:color w:val="auto"/>
          <w:sz w:val="24"/>
          <w:highlight w:val="none"/>
        </w:rPr>
      </w:pPr>
      <w:bookmarkStart w:id="39" w:name="_Toc23292"/>
      <w:bookmarkStart w:id="40" w:name="_Toc21631"/>
      <w:bookmarkStart w:id="41" w:name="_Toc21551"/>
      <w:r>
        <w:rPr>
          <w:rFonts w:hint="eastAsia" w:ascii="仿宋" w:hAnsi="仿宋" w:eastAsia="仿宋" w:cs="仿宋"/>
          <w:b/>
          <w:color w:val="auto"/>
          <w:sz w:val="24"/>
          <w:highlight w:val="none"/>
        </w:rPr>
        <w:t>1.3 价款</w:t>
      </w:r>
      <w:bookmarkEnd w:id="39"/>
      <w:bookmarkEnd w:id="40"/>
      <w:bookmarkEnd w:id="4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本合同总价（含税）为：￥元（大写：元人民币）。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bl>
    <w:p>
      <w:pPr>
        <w:pStyle w:val="960"/>
        <w:spacing w:before="0" w:beforeAutospacing="0" w:after="0" w:afterAutospacing="0" w:line="360" w:lineRule="auto"/>
        <w:ind w:firstLine="480"/>
        <w:rPr>
          <w:rFonts w:hint="eastAsia" w:ascii="仿宋" w:hAnsi="仿宋" w:eastAsia="仿宋" w:cs="仿宋"/>
          <w:b/>
          <w:color w:val="auto"/>
          <w:highlight w:val="none"/>
        </w:rPr>
      </w:pPr>
      <w:bookmarkStart w:id="42" w:name="_Toc10340"/>
      <w:bookmarkStart w:id="43" w:name="_Toc22618"/>
      <w:bookmarkStart w:id="44" w:name="_Toc1814"/>
      <w:r>
        <w:rPr>
          <w:rFonts w:hint="eastAsia" w:ascii="仿宋" w:hAnsi="仿宋" w:eastAsia="仿宋" w:cs="仿宋"/>
          <w:b/>
          <w:color w:val="auto"/>
          <w:highlight w:val="none"/>
        </w:rPr>
        <w:t>1.4履约保证金</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2"/>
      <w:bookmarkEnd w:id="43"/>
      <w:bookmarkEnd w:id="44"/>
      <w:r>
        <w:rPr>
          <w:rFonts w:hint="eastAsia" w:ascii="仿宋" w:hAnsi="仿宋" w:eastAsia="仿宋" w:cs="仿宋"/>
          <w:b/>
          <w:color w:val="auto"/>
          <w:sz w:val="24"/>
          <w:highlight w:val="none"/>
        </w:rPr>
        <w:t>预付款</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5" w:name="_Toc32071"/>
      <w:bookmarkStart w:id="46" w:name="_Toc2846"/>
      <w:bookmarkStart w:id="47" w:name="_Toc19304"/>
      <w:r>
        <w:rPr>
          <w:rFonts w:hint="eastAsia" w:ascii="仿宋" w:hAnsi="仿宋" w:eastAsia="仿宋" w:cs="仿宋"/>
          <w:b/>
          <w:color w:val="auto"/>
          <w:sz w:val="24"/>
          <w:highlight w:val="none"/>
        </w:rPr>
        <w:t>1.7货物交付期限、地点和方式</w:t>
      </w:r>
      <w:bookmarkEnd w:id="45"/>
      <w:bookmarkEnd w:id="46"/>
      <w:bookmarkEnd w:id="47"/>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8" w:name="_Toc27250"/>
      <w:bookmarkStart w:id="49" w:name="_Toc21423"/>
      <w:bookmarkStart w:id="50" w:name="_Toc19554"/>
      <w:r>
        <w:rPr>
          <w:rFonts w:hint="eastAsia" w:ascii="仿宋" w:hAnsi="仿宋" w:eastAsia="仿宋" w:cs="仿宋"/>
          <w:b/>
          <w:color w:val="auto"/>
          <w:sz w:val="24"/>
          <w:highlight w:val="none"/>
        </w:rPr>
        <w:t>1.8违约责任</w:t>
      </w:r>
      <w:bookmarkEnd w:id="48"/>
      <w:bookmarkEnd w:id="49"/>
      <w:bookmarkEnd w:id="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51" w:name="_Toc28375"/>
      <w:bookmarkStart w:id="52" w:name="_Toc15583"/>
      <w:bookmarkStart w:id="53" w:name="_Toc16021"/>
      <w:r>
        <w:rPr>
          <w:rFonts w:hint="eastAsia" w:ascii="仿宋" w:hAnsi="仿宋" w:eastAsia="仿宋" w:cs="仿宋"/>
          <w:b/>
          <w:color w:val="auto"/>
          <w:sz w:val="24"/>
          <w:highlight w:val="none"/>
        </w:rPr>
        <w:t>1.9合同争议的解决</w:t>
      </w:r>
      <w:bookmarkEnd w:id="51"/>
      <w:bookmarkEnd w:id="52"/>
      <w:bookmarkEnd w:id="53"/>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54" w:name="_Toc7245"/>
      <w:bookmarkStart w:id="55" w:name="_Toc11173"/>
      <w:bookmarkStart w:id="56" w:name="_Toc15322"/>
      <w:r>
        <w:rPr>
          <w:rFonts w:hint="eastAsia" w:ascii="仿宋" w:hAnsi="仿宋" w:eastAsia="仿宋" w:cs="仿宋"/>
          <w:b/>
          <w:color w:val="auto"/>
          <w:sz w:val="24"/>
          <w:highlight w:val="none"/>
        </w:rPr>
        <w:t>2.0 合同生效</w:t>
      </w:r>
      <w:bookmarkEnd w:id="54"/>
      <w:bookmarkEnd w:id="55"/>
      <w:bookmarkEnd w:id="56"/>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57" w:name="_Ref467379214"/>
      <w:bookmarkStart w:id="58" w:name="_Ref467378499"/>
      <w:bookmarkStart w:id="59" w:name="_Ref467379101"/>
      <w:bookmarkStart w:id="60" w:name="_Toc28763"/>
      <w:bookmarkStart w:id="61" w:name="_Ref467379109"/>
      <w:bookmarkStart w:id="62" w:name="_Ref467379195"/>
      <w:bookmarkStart w:id="63" w:name="_Toc259093669"/>
      <w:bookmarkStart w:id="64" w:name="_Ref467379094"/>
      <w:bookmarkStart w:id="65" w:name="_Ref467378463"/>
      <w:bookmarkStart w:id="66" w:name="_Ref467379205"/>
      <w:bookmarkStart w:id="67" w:name="_Ref467378404"/>
      <w:bookmarkStart w:id="68" w:name="_Toc487900349"/>
      <w:bookmarkStart w:id="69" w:name="_Toc19614"/>
      <w:bookmarkStart w:id="70" w:name="_Ref467379225"/>
      <w:bookmarkStart w:id="71" w:name="_Toc279701240"/>
      <w:bookmarkStart w:id="72" w:name="_Toc16917"/>
      <w:r>
        <w:rPr>
          <w:rFonts w:hint="eastAsia" w:ascii="仿宋" w:hAnsi="仿宋" w:eastAsia="仿宋" w:cs="仿宋"/>
          <w:b/>
          <w:color w:val="auto"/>
          <w:sz w:val="24"/>
          <w:highlight w:val="none"/>
        </w:rPr>
        <w:t>2.1 定义</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73" w:name="_Ref467378840"/>
      <w:r>
        <w:rPr>
          <w:rFonts w:hint="eastAsia" w:ascii="仿宋" w:hAnsi="仿宋" w:eastAsia="仿宋" w:cs="仿宋"/>
          <w:color w:val="auto"/>
          <w:sz w:val="24"/>
          <w:highlight w:val="none"/>
        </w:rPr>
        <w:t>2.1.4 “甲方”系指与中标或成交供应商签署合同的采购人</w:t>
      </w:r>
      <w:bookmarkEnd w:id="73"/>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74" w:name="_Ref467379400"/>
      <w:r>
        <w:rPr>
          <w:rFonts w:hint="eastAsia" w:ascii="仿宋" w:hAnsi="仿宋" w:eastAsia="仿宋" w:cs="仿宋"/>
          <w:color w:val="auto"/>
          <w:sz w:val="24"/>
          <w:highlight w:val="none"/>
        </w:rPr>
        <w:t>2.1.5 “乙方”系指根据合同约定交付货物的中标或成交供应商</w:t>
      </w:r>
      <w:bookmarkEnd w:id="7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75" w:name="_Ref467379436"/>
      <w:r>
        <w:rPr>
          <w:rFonts w:hint="eastAsia" w:ascii="仿宋" w:hAnsi="仿宋" w:eastAsia="仿宋" w:cs="仿宋"/>
          <w:color w:val="auto"/>
          <w:sz w:val="24"/>
          <w:highlight w:val="none"/>
        </w:rPr>
        <w:t>2.1.6 “现场”系指合同约定货物将要运至或者安装的地点。</w:t>
      </w:r>
      <w:bookmarkEnd w:id="75"/>
    </w:p>
    <w:p>
      <w:pPr>
        <w:spacing w:line="560" w:lineRule="exact"/>
        <w:ind w:firstLine="482" w:firstLineChars="200"/>
        <w:outlineLvl w:val="0"/>
        <w:rPr>
          <w:rFonts w:hint="eastAsia" w:ascii="仿宋" w:hAnsi="仿宋" w:eastAsia="仿宋" w:cs="仿宋"/>
          <w:b/>
          <w:color w:val="auto"/>
          <w:sz w:val="24"/>
          <w:highlight w:val="none"/>
        </w:rPr>
      </w:pPr>
      <w:bookmarkStart w:id="76" w:name="_Toc279701241"/>
      <w:bookmarkStart w:id="77" w:name="_Toc13336"/>
      <w:bookmarkStart w:id="78" w:name="_Toc259093670"/>
      <w:bookmarkStart w:id="79" w:name="_Toc27635"/>
      <w:bookmarkStart w:id="80" w:name="_Toc32504"/>
      <w:bookmarkStart w:id="81" w:name="_Toc487900350"/>
      <w:r>
        <w:rPr>
          <w:rFonts w:hint="eastAsia" w:ascii="仿宋" w:hAnsi="仿宋" w:eastAsia="仿宋" w:cs="仿宋"/>
          <w:b/>
          <w:color w:val="auto"/>
          <w:sz w:val="24"/>
          <w:highlight w:val="none"/>
        </w:rPr>
        <w:t>2.2 技术规范</w:t>
      </w:r>
      <w:bookmarkEnd w:id="76"/>
      <w:bookmarkEnd w:id="77"/>
      <w:bookmarkEnd w:id="78"/>
      <w:bookmarkEnd w:id="79"/>
      <w:bookmarkEnd w:id="80"/>
      <w:bookmarkEnd w:id="8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82" w:name="_Toc279701242"/>
      <w:bookmarkStart w:id="83" w:name="_Toc259093671"/>
      <w:bookmarkStart w:id="84" w:name="_Toc487900351"/>
      <w:bookmarkStart w:id="85" w:name="_Toc9829"/>
      <w:bookmarkStart w:id="86" w:name="_Toc31634"/>
      <w:bookmarkStart w:id="87" w:name="_Toc27853"/>
      <w:r>
        <w:rPr>
          <w:rFonts w:hint="eastAsia" w:ascii="仿宋" w:hAnsi="仿宋" w:eastAsia="仿宋" w:cs="仿宋"/>
          <w:b/>
          <w:color w:val="auto"/>
          <w:sz w:val="24"/>
          <w:highlight w:val="none"/>
        </w:rPr>
        <w:t>2.3 知识产权</w:t>
      </w:r>
      <w:bookmarkEnd w:id="82"/>
      <w:bookmarkEnd w:id="83"/>
      <w:bookmarkEnd w:id="84"/>
      <w:bookmarkEnd w:id="85"/>
      <w:bookmarkEnd w:id="86"/>
      <w:bookmarkEnd w:id="8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88" w:name="_Toc29149"/>
      <w:bookmarkStart w:id="89" w:name="_Toc11932"/>
      <w:bookmarkStart w:id="90" w:name="_Toc4194"/>
      <w:r>
        <w:rPr>
          <w:rFonts w:hint="eastAsia" w:ascii="仿宋" w:hAnsi="仿宋" w:eastAsia="仿宋" w:cs="仿宋"/>
          <w:b/>
          <w:color w:val="auto"/>
          <w:sz w:val="24"/>
          <w:highlight w:val="none"/>
        </w:rPr>
        <w:t>2.4 包装和装运</w:t>
      </w:r>
      <w:bookmarkEnd w:id="88"/>
      <w:bookmarkEnd w:id="89"/>
      <w:bookmarkEnd w:id="9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1" w:name="_Toc259093674"/>
      <w:bookmarkStart w:id="92" w:name="_Ref467379527"/>
      <w:bookmarkStart w:id="93" w:name="_Ref467379536"/>
      <w:bookmarkStart w:id="94" w:name="_Ref467379542"/>
      <w:bookmarkStart w:id="95" w:name="_Ref467378541"/>
      <w:bookmarkStart w:id="96" w:name="_Toc279701245"/>
      <w:bookmarkStart w:id="97" w:name="_Toc487900354"/>
      <w:bookmarkStart w:id="98" w:name="_Ref467378591"/>
      <w:bookmarkStart w:id="99" w:name="_Toc19074"/>
      <w:bookmarkStart w:id="100" w:name="_Toc30272"/>
      <w:bookmarkStart w:id="101" w:name="_Toc26182"/>
      <w:r>
        <w:rPr>
          <w:rFonts w:hint="eastAsia" w:ascii="仿宋" w:hAnsi="仿宋" w:eastAsia="仿宋" w:cs="仿宋"/>
          <w:b/>
          <w:color w:val="auto"/>
          <w:sz w:val="24"/>
          <w:highlight w:val="none"/>
        </w:rPr>
        <w:t>2.</w:t>
      </w:r>
      <w:bookmarkEnd w:id="91"/>
      <w:bookmarkEnd w:id="92"/>
      <w:bookmarkEnd w:id="93"/>
      <w:bookmarkEnd w:id="94"/>
      <w:bookmarkEnd w:id="95"/>
      <w:bookmarkEnd w:id="96"/>
      <w:bookmarkEnd w:id="97"/>
      <w:bookmarkEnd w:id="98"/>
      <w:r>
        <w:rPr>
          <w:rFonts w:hint="eastAsia" w:ascii="仿宋" w:hAnsi="仿宋" w:eastAsia="仿宋" w:cs="仿宋"/>
          <w:b/>
          <w:color w:val="auto"/>
          <w:sz w:val="24"/>
          <w:highlight w:val="none"/>
        </w:rPr>
        <w:t>5 履约检查和问题反馈</w:t>
      </w:r>
      <w:bookmarkEnd w:id="99"/>
      <w:bookmarkEnd w:id="100"/>
      <w:bookmarkEnd w:id="101"/>
    </w:p>
    <w:p>
      <w:pPr>
        <w:spacing w:line="560" w:lineRule="exact"/>
        <w:ind w:firstLine="480" w:firstLineChars="200"/>
        <w:rPr>
          <w:rFonts w:hint="eastAsia" w:ascii="仿宋" w:hAnsi="仿宋" w:eastAsia="仿宋" w:cs="仿宋"/>
          <w:color w:val="auto"/>
          <w:sz w:val="24"/>
          <w:highlight w:val="none"/>
        </w:rPr>
      </w:pPr>
      <w:bookmarkStart w:id="102" w:name="_Ref467379657"/>
      <w:r>
        <w:rPr>
          <w:rFonts w:hint="eastAsia" w:ascii="仿宋" w:hAnsi="仿宋" w:eastAsia="仿宋" w:cs="仿宋"/>
          <w:color w:val="auto"/>
          <w:sz w:val="24"/>
          <w:highlight w:val="none"/>
        </w:rPr>
        <w:t>2.5.1</w:t>
      </w:r>
      <w:bookmarkEnd w:id="102"/>
      <w:bookmarkStart w:id="103" w:name="_Toc186431854"/>
      <w:bookmarkStart w:id="104" w:name="_Ref467379793"/>
      <w:bookmarkStart w:id="105" w:name="_Toc279701247"/>
      <w:bookmarkStart w:id="106" w:name="_Toc259093676"/>
      <w:bookmarkStart w:id="107" w:name="_Toc487900357"/>
      <w:bookmarkStart w:id="108"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3"/>
      <w:bookmarkStart w:id="109" w:name="_Toc186431855"/>
      <w:r>
        <w:rPr>
          <w:rFonts w:hint="eastAsia" w:ascii="仿宋" w:hAnsi="仿宋" w:eastAsia="仿宋" w:cs="仿宋"/>
          <w:color w:val="auto"/>
          <w:sz w:val="24"/>
          <w:highlight w:val="none"/>
        </w:rPr>
        <w:t>。</w:t>
      </w:r>
    </w:p>
    <w:bookmarkEnd w:id="104"/>
    <w:bookmarkEnd w:id="105"/>
    <w:bookmarkEnd w:id="106"/>
    <w:bookmarkEnd w:id="107"/>
    <w:bookmarkEnd w:id="108"/>
    <w:bookmarkEnd w:id="109"/>
    <w:p>
      <w:pPr>
        <w:spacing w:line="560" w:lineRule="exact"/>
        <w:ind w:firstLine="482" w:firstLineChars="200"/>
        <w:outlineLvl w:val="0"/>
        <w:rPr>
          <w:rFonts w:hint="eastAsia" w:ascii="仿宋" w:hAnsi="仿宋" w:eastAsia="仿宋" w:cs="仿宋"/>
          <w:b/>
          <w:color w:val="auto"/>
          <w:sz w:val="24"/>
          <w:highlight w:val="none"/>
        </w:rPr>
      </w:pPr>
      <w:bookmarkStart w:id="110" w:name="_Toc259093677"/>
      <w:bookmarkStart w:id="111" w:name="_Ref467379863"/>
      <w:bookmarkStart w:id="112" w:name="_Toc487900358"/>
      <w:bookmarkStart w:id="113" w:name="_Ref467379852"/>
      <w:bookmarkStart w:id="114" w:name="_Toc279701248"/>
      <w:bookmarkStart w:id="115" w:name="_Ref467379923"/>
      <w:bookmarkStart w:id="116" w:name="_Toc774"/>
      <w:bookmarkStart w:id="117" w:name="_Toc16110"/>
      <w:bookmarkStart w:id="118" w:name="_Toc3225"/>
      <w:r>
        <w:rPr>
          <w:rFonts w:hint="eastAsia" w:ascii="仿宋" w:hAnsi="仿宋" w:eastAsia="仿宋" w:cs="仿宋"/>
          <w:b/>
          <w:color w:val="auto"/>
          <w:sz w:val="24"/>
          <w:highlight w:val="none"/>
        </w:rPr>
        <w:t>2.6 技术资料</w:t>
      </w:r>
      <w:bookmarkEnd w:id="110"/>
      <w:bookmarkEnd w:id="111"/>
      <w:bookmarkEnd w:id="112"/>
      <w:bookmarkEnd w:id="113"/>
      <w:bookmarkEnd w:id="114"/>
      <w:bookmarkEnd w:id="115"/>
      <w:r>
        <w:rPr>
          <w:rFonts w:hint="eastAsia" w:ascii="仿宋" w:hAnsi="仿宋" w:eastAsia="仿宋" w:cs="仿宋"/>
          <w:b/>
          <w:color w:val="auto"/>
          <w:sz w:val="24"/>
          <w:highlight w:val="none"/>
        </w:rPr>
        <w:t>和保密义务</w:t>
      </w:r>
      <w:bookmarkEnd w:id="116"/>
      <w:bookmarkEnd w:id="117"/>
      <w:bookmarkEnd w:id="1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19" w:name="_Toc7860"/>
      <w:r>
        <w:rPr>
          <w:rFonts w:hint="eastAsia" w:ascii="仿宋" w:hAnsi="仿宋" w:eastAsia="仿宋" w:cs="仿宋"/>
          <w:b/>
          <w:color w:val="auto"/>
          <w:sz w:val="24"/>
          <w:highlight w:val="none"/>
        </w:rPr>
        <w:t>2.7 质量保证</w:t>
      </w:r>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20" w:name="_Toc17244"/>
      <w:bookmarkStart w:id="121" w:name="_Toc259093681"/>
      <w:bookmarkStart w:id="122" w:name="_Toc279701252"/>
      <w:bookmarkStart w:id="123" w:name="_Toc487900362"/>
      <w:r>
        <w:rPr>
          <w:rFonts w:hint="eastAsia" w:ascii="仿宋" w:hAnsi="仿宋" w:eastAsia="仿宋" w:cs="仿宋"/>
          <w:b/>
          <w:color w:val="auto"/>
          <w:sz w:val="24"/>
          <w:highlight w:val="none"/>
        </w:rPr>
        <w:t>2.8 货物的风险负担</w:t>
      </w:r>
      <w:bookmarkEnd w:id="12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24" w:name="_Toc14055"/>
      <w:r>
        <w:rPr>
          <w:rFonts w:hint="eastAsia" w:ascii="仿宋" w:hAnsi="仿宋" w:eastAsia="仿宋" w:cs="仿宋"/>
          <w:b/>
          <w:color w:val="auto"/>
          <w:sz w:val="24"/>
          <w:highlight w:val="none"/>
        </w:rPr>
        <w:t>2.9 延迟交货</w:t>
      </w:r>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25" w:name="_Toc7502"/>
      <w:bookmarkStart w:id="126" w:name="_Ref467378121"/>
      <w:bookmarkStart w:id="127" w:name="_Toc487900364"/>
      <w:bookmarkStart w:id="128" w:name="_Toc279701254"/>
      <w:bookmarkStart w:id="129" w:name="_Toc259093683"/>
      <w:r>
        <w:rPr>
          <w:rFonts w:hint="eastAsia" w:ascii="仿宋" w:hAnsi="仿宋" w:eastAsia="仿宋" w:cs="仿宋"/>
          <w:b/>
          <w:color w:val="auto"/>
          <w:sz w:val="24"/>
          <w:highlight w:val="none"/>
        </w:rPr>
        <w:t>2.10 合同变更</w:t>
      </w:r>
      <w:bookmarkEnd w:id="12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0" w:name="_Toc259093688"/>
      <w:bookmarkStart w:id="131" w:name="_Toc279701259"/>
      <w:bookmarkStart w:id="132" w:name="_Toc487900369"/>
    </w:p>
    <w:p>
      <w:pPr>
        <w:spacing w:line="560" w:lineRule="exact"/>
        <w:ind w:firstLine="482" w:firstLineChars="200"/>
        <w:outlineLvl w:val="0"/>
        <w:rPr>
          <w:rFonts w:hint="eastAsia" w:ascii="仿宋" w:hAnsi="仿宋" w:eastAsia="仿宋" w:cs="仿宋"/>
          <w:b/>
          <w:color w:val="auto"/>
          <w:sz w:val="24"/>
          <w:highlight w:val="none"/>
        </w:rPr>
      </w:pPr>
      <w:bookmarkStart w:id="133" w:name="_Toc22955"/>
      <w:bookmarkStart w:id="134" w:name="_Toc10366"/>
      <w:bookmarkStart w:id="135" w:name="_Toc15237"/>
      <w:r>
        <w:rPr>
          <w:rFonts w:hint="eastAsia" w:ascii="仿宋" w:hAnsi="仿宋" w:eastAsia="仿宋" w:cs="仿宋"/>
          <w:b/>
          <w:color w:val="auto"/>
          <w:sz w:val="24"/>
          <w:highlight w:val="none"/>
        </w:rPr>
        <w:t>2.11 合同转让</w:t>
      </w:r>
      <w:bookmarkEnd w:id="130"/>
      <w:bookmarkEnd w:id="131"/>
      <w:bookmarkEnd w:id="132"/>
      <w:r>
        <w:rPr>
          <w:rFonts w:hint="eastAsia" w:ascii="仿宋" w:hAnsi="仿宋" w:eastAsia="仿宋" w:cs="仿宋"/>
          <w:b/>
          <w:color w:val="auto"/>
          <w:sz w:val="24"/>
          <w:highlight w:val="none"/>
        </w:rPr>
        <w:t>和分包</w:t>
      </w:r>
      <w:bookmarkEnd w:id="133"/>
      <w:bookmarkEnd w:id="134"/>
      <w:bookmarkEnd w:id="1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36" w:name="_Toc13566"/>
      <w:bookmarkStart w:id="137" w:name="_Toc14066"/>
      <w:bookmarkStart w:id="138" w:name="_Toc16508"/>
      <w:r>
        <w:rPr>
          <w:rFonts w:hint="eastAsia" w:ascii="仿宋" w:hAnsi="仿宋" w:eastAsia="仿宋" w:cs="仿宋"/>
          <w:b/>
          <w:color w:val="auto"/>
          <w:sz w:val="24"/>
          <w:highlight w:val="none"/>
        </w:rPr>
        <w:t>2.12 不可抗力</w:t>
      </w:r>
      <w:bookmarkEnd w:id="136"/>
      <w:bookmarkEnd w:id="137"/>
      <w:bookmarkEnd w:id="13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39" w:name="_Toc279701255"/>
      <w:bookmarkStart w:id="140" w:name="_Toc30676"/>
      <w:bookmarkStart w:id="141" w:name="_Toc487900365"/>
      <w:bookmarkStart w:id="142" w:name="_Toc259093684"/>
      <w:bookmarkStart w:id="143" w:name="_Toc689"/>
      <w:bookmarkStart w:id="144" w:name="_Toc6969"/>
      <w:r>
        <w:rPr>
          <w:rFonts w:hint="eastAsia" w:ascii="仿宋" w:hAnsi="仿宋" w:eastAsia="仿宋" w:cs="仿宋"/>
          <w:b/>
          <w:color w:val="auto"/>
          <w:sz w:val="24"/>
          <w:highlight w:val="none"/>
        </w:rPr>
        <w:t>2.13 税费</w:t>
      </w:r>
      <w:bookmarkEnd w:id="139"/>
      <w:bookmarkEnd w:id="140"/>
      <w:bookmarkEnd w:id="141"/>
      <w:bookmarkEnd w:id="142"/>
      <w:bookmarkEnd w:id="143"/>
      <w:bookmarkEnd w:id="14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45" w:name="_Toc279701258"/>
      <w:bookmarkStart w:id="146" w:name="_Toc16959"/>
      <w:bookmarkStart w:id="147" w:name="_Toc8298"/>
      <w:bookmarkStart w:id="148" w:name="_Toc487900368"/>
      <w:bookmarkStart w:id="149" w:name="_Toc259093687"/>
      <w:bookmarkStart w:id="150" w:name="_Toc7102"/>
      <w:r>
        <w:rPr>
          <w:rFonts w:hint="eastAsia" w:ascii="仿宋" w:hAnsi="仿宋" w:eastAsia="仿宋" w:cs="仿宋"/>
          <w:b/>
          <w:color w:val="auto"/>
          <w:sz w:val="24"/>
          <w:highlight w:val="none"/>
        </w:rPr>
        <w:t>2.14乙方破产</w:t>
      </w:r>
      <w:bookmarkEnd w:id="145"/>
      <w:bookmarkEnd w:id="146"/>
      <w:bookmarkEnd w:id="147"/>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51" w:name="_Toc6134"/>
      <w:bookmarkStart w:id="152" w:name="_Toc15387"/>
      <w:bookmarkStart w:id="153" w:name="_Toc29333"/>
      <w:r>
        <w:rPr>
          <w:rFonts w:hint="eastAsia" w:ascii="仿宋" w:hAnsi="仿宋" w:eastAsia="仿宋" w:cs="仿宋"/>
          <w:b/>
          <w:color w:val="auto"/>
          <w:sz w:val="24"/>
          <w:highlight w:val="none"/>
        </w:rPr>
        <w:t>2.15 合同中止、终止</w:t>
      </w:r>
      <w:bookmarkEnd w:id="151"/>
      <w:bookmarkEnd w:id="152"/>
      <w:bookmarkEnd w:id="15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54" w:name="_Toc1125"/>
      <w:bookmarkStart w:id="155" w:name="_Toc14563"/>
      <w:bookmarkStart w:id="156" w:name="_Toc6596"/>
      <w:r>
        <w:rPr>
          <w:rFonts w:hint="eastAsia" w:ascii="仿宋" w:hAnsi="仿宋" w:eastAsia="仿宋" w:cs="仿宋"/>
          <w:b/>
          <w:color w:val="auto"/>
          <w:sz w:val="24"/>
          <w:highlight w:val="none"/>
        </w:rPr>
        <w:t>2.16检验和验收</w:t>
      </w:r>
      <w:bookmarkEnd w:id="154"/>
      <w:bookmarkEnd w:id="155"/>
      <w:bookmarkEnd w:id="156"/>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6"/>
    <w:bookmarkEnd w:id="127"/>
    <w:bookmarkEnd w:id="128"/>
    <w:bookmarkEnd w:id="129"/>
    <w:p>
      <w:pPr>
        <w:spacing w:line="560" w:lineRule="exact"/>
        <w:ind w:firstLine="482" w:firstLineChars="200"/>
        <w:outlineLvl w:val="0"/>
        <w:rPr>
          <w:rFonts w:hint="eastAsia" w:ascii="仿宋" w:hAnsi="仿宋" w:eastAsia="仿宋" w:cs="仿宋"/>
          <w:b/>
          <w:color w:val="auto"/>
          <w:sz w:val="24"/>
          <w:highlight w:val="none"/>
        </w:rPr>
      </w:pPr>
      <w:bookmarkStart w:id="157" w:name="_Toc279701261"/>
      <w:bookmarkStart w:id="158" w:name="_Toc259093690"/>
      <w:bookmarkStart w:id="159" w:name="_Toc487900371"/>
      <w:bookmarkStart w:id="160" w:name="_Toc11284"/>
      <w:bookmarkStart w:id="161" w:name="_Toc25182"/>
      <w:bookmarkStart w:id="162" w:name="_Toc19604"/>
      <w:r>
        <w:rPr>
          <w:rFonts w:hint="eastAsia" w:ascii="仿宋" w:hAnsi="仿宋" w:eastAsia="仿宋" w:cs="仿宋"/>
          <w:b/>
          <w:color w:val="auto"/>
          <w:sz w:val="24"/>
          <w:highlight w:val="none"/>
        </w:rPr>
        <w:t>2.17 通知</w:t>
      </w:r>
      <w:bookmarkEnd w:id="157"/>
      <w:bookmarkEnd w:id="158"/>
      <w:bookmarkEnd w:id="159"/>
      <w:r>
        <w:rPr>
          <w:rFonts w:hint="eastAsia" w:ascii="仿宋" w:hAnsi="仿宋" w:eastAsia="仿宋" w:cs="仿宋"/>
          <w:b/>
          <w:color w:val="auto"/>
          <w:sz w:val="24"/>
          <w:highlight w:val="none"/>
        </w:rPr>
        <w:t>和送达</w:t>
      </w:r>
      <w:bookmarkEnd w:id="160"/>
      <w:bookmarkEnd w:id="161"/>
      <w:bookmarkEnd w:id="162"/>
    </w:p>
    <w:p>
      <w:pPr>
        <w:spacing w:line="560" w:lineRule="exact"/>
        <w:ind w:firstLine="480" w:firstLineChars="200"/>
        <w:rPr>
          <w:rFonts w:hint="eastAsia" w:ascii="仿宋" w:hAnsi="仿宋" w:eastAsia="仿宋" w:cs="仿宋"/>
          <w:color w:val="auto"/>
          <w:sz w:val="24"/>
          <w:highlight w:val="none"/>
        </w:rPr>
      </w:pPr>
      <w:bookmarkStart w:id="163" w:name="_Toc6698"/>
      <w:bookmarkStart w:id="164" w:name="_Toc3135"/>
      <w:bookmarkStart w:id="165" w:name="_Toc259093691"/>
      <w:bookmarkStart w:id="166" w:name="_Toc487900372"/>
      <w:bookmarkStart w:id="167" w:name="_Toc279701262"/>
      <w:r>
        <w:rPr>
          <w:rFonts w:hint="eastAsia" w:ascii="仿宋" w:hAnsi="仿宋" w:eastAsia="仿宋" w:cs="仿宋"/>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3"/>
      <w:bookmarkEnd w:id="164"/>
    </w:p>
    <w:p>
      <w:pPr>
        <w:spacing w:line="560" w:lineRule="exact"/>
        <w:ind w:firstLine="480" w:firstLineChars="200"/>
        <w:rPr>
          <w:rFonts w:hint="eastAsia" w:ascii="仿宋" w:hAnsi="仿宋" w:eastAsia="仿宋" w:cs="仿宋"/>
          <w:color w:val="auto"/>
          <w:sz w:val="24"/>
          <w:highlight w:val="none"/>
        </w:rPr>
      </w:pPr>
      <w:bookmarkStart w:id="168" w:name="_Toc23294"/>
      <w:bookmarkStart w:id="169"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8"/>
      <w:bookmarkEnd w:id="169"/>
    </w:p>
    <w:p>
      <w:pPr>
        <w:spacing w:line="560" w:lineRule="exact"/>
        <w:ind w:firstLine="482" w:firstLineChars="200"/>
        <w:outlineLvl w:val="0"/>
        <w:rPr>
          <w:rFonts w:hint="eastAsia" w:ascii="仿宋" w:hAnsi="仿宋" w:eastAsia="仿宋" w:cs="仿宋"/>
          <w:b/>
          <w:color w:val="auto"/>
          <w:sz w:val="24"/>
          <w:highlight w:val="none"/>
        </w:rPr>
      </w:pPr>
      <w:bookmarkStart w:id="170" w:name="_Toc4355"/>
      <w:bookmarkStart w:id="171" w:name="_Toc30599"/>
      <w:bookmarkStart w:id="172" w:name="_Toc18540"/>
      <w:r>
        <w:rPr>
          <w:rFonts w:hint="eastAsia" w:ascii="仿宋" w:hAnsi="仿宋" w:eastAsia="仿宋" w:cs="仿宋"/>
          <w:b/>
          <w:color w:val="auto"/>
          <w:sz w:val="24"/>
          <w:highlight w:val="none"/>
        </w:rPr>
        <w:t>2.18 计量单位</w:t>
      </w:r>
      <w:bookmarkEnd w:id="165"/>
      <w:bookmarkEnd w:id="166"/>
      <w:bookmarkEnd w:id="167"/>
      <w:bookmarkEnd w:id="170"/>
      <w:bookmarkEnd w:id="171"/>
      <w:bookmarkEnd w:id="17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73" w:name="_Toc487900373"/>
      <w:bookmarkStart w:id="174" w:name="_Toc10330"/>
      <w:bookmarkStart w:id="175" w:name="_Toc18567"/>
      <w:bookmarkStart w:id="176" w:name="_Toc259093692"/>
      <w:bookmarkStart w:id="177" w:name="_Toc12773"/>
      <w:bookmarkStart w:id="178" w:name="_Toc279701263"/>
      <w:r>
        <w:rPr>
          <w:rFonts w:hint="eastAsia" w:ascii="仿宋" w:hAnsi="仿宋" w:eastAsia="仿宋" w:cs="仿宋"/>
          <w:b/>
          <w:color w:val="auto"/>
          <w:sz w:val="24"/>
          <w:highlight w:val="none"/>
        </w:rPr>
        <w:t>2.19 合同使用的文字和适用的法律</w:t>
      </w:r>
      <w:bookmarkEnd w:id="173"/>
      <w:bookmarkEnd w:id="174"/>
      <w:bookmarkEnd w:id="175"/>
      <w:bookmarkEnd w:id="176"/>
      <w:bookmarkEnd w:id="177"/>
      <w:bookmarkEnd w:id="17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79" w:name="_Toc19890"/>
      <w:bookmarkStart w:id="180" w:name="_Toc14001"/>
      <w:bookmarkStart w:id="181" w:name="_Toc6885"/>
      <w:r>
        <w:rPr>
          <w:rFonts w:hint="eastAsia" w:ascii="仿宋" w:hAnsi="仿宋" w:eastAsia="仿宋" w:cs="仿宋"/>
          <w:b/>
          <w:color w:val="auto"/>
          <w:sz w:val="24"/>
          <w:highlight w:val="none"/>
        </w:rPr>
        <w:t>2.20 合同份数</w:t>
      </w:r>
      <w:bookmarkEnd w:id="179"/>
      <w:bookmarkEnd w:id="180"/>
      <w:bookmarkEnd w:id="18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hint="eastAsia" w:ascii="仿宋" w:hAnsi="仿宋" w:eastAsia="仿宋" w:cs="仿宋"/>
                <w:color w:val="auto"/>
                <w:sz w:val="24"/>
                <w:highlight w:val="none"/>
              </w:rPr>
            </w:pPr>
          </w:p>
        </w:tc>
      </w:tr>
    </w:tbl>
    <w:p>
      <w:pPr>
        <w:rPr>
          <w:rFonts w:hint="eastAsia" w:ascii="仿宋" w:hAnsi="仿宋" w:eastAsia="仿宋" w:cs="仿宋"/>
          <w:color w:val="auto"/>
          <w:highlight w:val="none"/>
        </w:rPr>
      </w:pPr>
    </w:p>
    <w:p>
      <w:pPr>
        <w:spacing w:line="360" w:lineRule="auto"/>
        <w:jc w:val="center"/>
        <w:rPr>
          <w:rFonts w:hint="eastAsia" w:ascii="仿宋" w:hAnsi="仿宋" w:eastAsia="仿宋" w:cs="仿宋"/>
          <w:b/>
          <w:color w:val="auto"/>
          <w:sz w:val="36"/>
          <w:szCs w:val="36"/>
          <w:highlight w:val="none"/>
        </w:rPr>
      </w:pPr>
    </w:p>
    <w:p>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总分100分，其中标商务技术分7</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分，价格分3</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分。下述所列为评分依据，分值如下（计算分值时，按其算术平均值保留小数2位）。</w:t>
      </w:r>
    </w:p>
    <w:p>
      <w:pPr>
        <w:widowControl/>
        <w:snapToGrid w:val="0"/>
        <w:spacing w:line="480" w:lineRule="exact"/>
        <w:rPr>
          <w:rFonts w:hint="eastAsia" w:ascii="仿宋" w:hAnsi="仿宋" w:eastAsia="仿宋" w:cs="仿宋"/>
          <w:b/>
          <w:bCs/>
          <w:color w:val="auto"/>
          <w:kern w:val="0"/>
          <w:sz w:val="24"/>
          <w:highlight w:val="none"/>
        </w:rPr>
      </w:pPr>
      <w:r>
        <w:rPr>
          <w:rFonts w:hint="eastAsia" w:ascii="仿宋" w:hAnsi="仿宋" w:eastAsia="仿宋" w:cs="仿宋"/>
          <w:b/>
          <w:bCs/>
          <w:iCs/>
          <w:color w:val="auto"/>
          <w:sz w:val="24"/>
          <w:highlight w:val="none"/>
        </w:rPr>
        <w:t xml:space="preserve">2.1 </w:t>
      </w:r>
      <w:r>
        <w:rPr>
          <w:rFonts w:hint="eastAsia" w:ascii="仿宋" w:hAnsi="仿宋" w:eastAsia="仿宋" w:cs="仿宋"/>
          <w:b/>
          <w:bCs/>
          <w:color w:val="auto"/>
          <w:kern w:val="0"/>
          <w:sz w:val="24"/>
          <w:highlight w:val="none"/>
        </w:rPr>
        <w:t>商务技术分：70分</w:t>
      </w:r>
    </w:p>
    <w:p>
      <w:pPr>
        <w:widowControl/>
        <w:snapToGrid w:val="0"/>
        <w:spacing w:line="480" w:lineRule="exact"/>
        <w:rPr>
          <w:rFonts w:hint="eastAsia" w:ascii="仿宋" w:hAnsi="仿宋" w:eastAsia="仿宋" w:cs="仿宋"/>
          <w:color w:val="auto"/>
          <w:highlight w:val="none"/>
        </w:rPr>
      </w:pPr>
      <w:r>
        <w:rPr>
          <w:rFonts w:hint="eastAsia" w:ascii="仿宋" w:hAnsi="仿宋" w:eastAsia="仿宋" w:cs="仿宋"/>
          <w:b/>
          <w:bCs/>
          <w:color w:val="auto"/>
          <w:kern w:val="0"/>
          <w:sz w:val="24"/>
          <w:highlight w:val="none"/>
        </w:rPr>
        <w:t>2.1.1护士鞋、拖鞋（70分）</w:t>
      </w:r>
    </w:p>
    <w:tbl>
      <w:tblPr>
        <w:tblStyle w:val="6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961"/>
        <w:gridCol w:w="6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77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9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评审内容</w:t>
            </w:r>
          </w:p>
        </w:tc>
        <w:tc>
          <w:tcPr>
            <w:tcW w:w="630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trPr>
        <w:tc>
          <w:tcPr>
            <w:tcW w:w="773" w:type="dxa"/>
            <w:tcBorders>
              <w:top w:val="single" w:color="auto" w:sz="4" w:space="0"/>
              <w:left w:val="single" w:color="auto" w:sz="4" w:space="0"/>
              <w:right w:val="single" w:color="auto" w:sz="4" w:space="0"/>
            </w:tcBorders>
            <w:vAlign w:val="center"/>
          </w:tcPr>
          <w:p>
            <w:pPr>
              <w:widowControl/>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961" w:type="dxa"/>
            <w:tcBorders>
              <w:top w:val="single" w:color="auto" w:sz="4" w:space="0"/>
              <w:left w:val="single" w:color="auto" w:sz="4" w:space="0"/>
              <w:right w:val="single" w:color="auto" w:sz="4" w:space="0"/>
            </w:tcBorders>
            <w:vAlign w:val="center"/>
          </w:tcPr>
          <w:p>
            <w:pPr>
              <w:widowControl/>
              <w:spacing w:line="300" w:lineRule="exact"/>
              <w:jc w:val="left"/>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生产质量（11分）评价（</w:t>
            </w:r>
            <w:r>
              <w:rPr>
                <w:rFonts w:hint="eastAsia" w:ascii="仿宋" w:hAnsi="仿宋" w:eastAsia="仿宋" w:cs="仿宋"/>
                <w:b/>
                <w:color w:val="auto"/>
                <w:szCs w:val="21"/>
                <w:highlight w:val="none"/>
              </w:rPr>
              <w:t>注：中标后提供的货物与开标时提供的样品须一致。</w:t>
            </w:r>
            <w:r>
              <w:rPr>
                <w:rFonts w:hint="eastAsia" w:ascii="仿宋" w:hAnsi="仿宋" w:eastAsia="仿宋" w:cs="仿宋"/>
                <w:color w:val="auto"/>
                <w:szCs w:val="21"/>
                <w:highlight w:val="none"/>
              </w:rPr>
              <w:t>）</w:t>
            </w:r>
          </w:p>
        </w:tc>
        <w:tc>
          <w:tcPr>
            <w:tcW w:w="630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对投标人生产质量控制进行综合打分：</w:t>
            </w:r>
          </w:p>
          <w:p>
            <w:pPr>
              <w:pStyle w:val="965"/>
              <w:numPr>
                <w:ilvl w:val="0"/>
                <w:numId w:val="4"/>
              </w:numPr>
              <w:spacing w:line="300" w:lineRule="exact"/>
              <w:ind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根据投标人提供的质量管理制度、人员内部管理制度、物流配送制度、服务承诺制度等内部管理制度情况进行打分，0-3分； </w:t>
            </w:r>
          </w:p>
          <w:p>
            <w:pPr>
              <w:pStyle w:val="965"/>
              <w:numPr>
                <w:ilvl w:val="0"/>
                <w:numId w:val="4"/>
              </w:numPr>
              <w:spacing w:line="300" w:lineRule="exact"/>
              <w:ind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根据投标产品的生产流程、加工工艺、先进性材料等情况进行评价，0-4分；</w:t>
            </w:r>
          </w:p>
          <w:p>
            <w:pPr>
              <w:pStyle w:val="965"/>
              <w:numPr>
                <w:ilvl w:val="0"/>
                <w:numId w:val="4"/>
              </w:numPr>
              <w:spacing w:line="300" w:lineRule="exact"/>
              <w:ind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所投产品生产厂家的生产技术力量情况进行评价，投标人应提供生产厂家的设备设施、技术人员情况材料，需提供相关设备的发票、人员资格证书或技能证书复印件等，加盖投标人公章，0-4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773" w:type="dxa"/>
            <w:tcBorders>
              <w:left w:val="single" w:color="auto" w:sz="4" w:space="0"/>
              <w:right w:val="single" w:color="auto" w:sz="4" w:space="0"/>
            </w:tcBorders>
            <w:vAlign w:val="center"/>
          </w:tcPr>
          <w:p>
            <w:pPr>
              <w:widowControl/>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961" w:type="dxa"/>
            <w:tcBorders>
              <w:top w:val="single" w:color="auto" w:sz="4" w:space="0"/>
              <w:left w:val="single" w:color="auto" w:sz="4" w:space="0"/>
              <w:right w:val="single" w:color="auto" w:sz="4" w:space="0"/>
            </w:tcBorders>
            <w:vAlign w:val="center"/>
          </w:tcPr>
          <w:p>
            <w:pPr>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技术要求(20分)</w:t>
            </w:r>
          </w:p>
        </w:tc>
        <w:tc>
          <w:tcPr>
            <w:tcW w:w="630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对应招标文件第三部分招标项目范围及要求——8.招标项目名称及数量—— 一、招标要求：完全满足指标参数要求得20分，打“★”为实质性指标，出现负偏离则作无效投标处理；打“▲”为主要性能指标，每有一项偏离扣4分，扣完为止；一般指标每有一项偏离的扣2分，扣完为止。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773" w:type="dxa"/>
            <w:tcBorders>
              <w:left w:val="single" w:color="auto" w:sz="4" w:space="0"/>
              <w:right w:val="single" w:color="auto" w:sz="4" w:space="0"/>
            </w:tcBorders>
            <w:vAlign w:val="center"/>
          </w:tcPr>
          <w:p>
            <w:pPr>
              <w:widowControl/>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961" w:type="dxa"/>
            <w:tcBorders>
              <w:top w:val="single" w:color="auto" w:sz="4" w:space="0"/>
              <w:left w:val="single" w:color="auto" w:sz="4" w:space="0"/>
              <w:right w:val="single" w:color="auto" w:sz="4" w:space="0"/>
            </w:tcBorders>
            <w:vAlign w:val="center"/>
          </w:tcPr>
          <w:p>
            <w:pPr>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业绩（3分）</w:t>
            </w:r>
          </w:p>
        </w:tc>
        <w:tc>
          <w:tcPr>
            <w:tcW w:w="630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自2021年1月1日起，投标人具有同类项目业绩的，每提供一个得1分，最多得3分。（注：需提供完整合同复印件加盖公章，不提供不得分）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773" w:type="dxa"/>
            <w:tcBorders>
              <w:left w:val="single" w:color="auto" w:sz="4" w:space="0"/>
              <w:right w:val="single" w:color="auto" w:sz="4" w:space="0"/>
            </w:tcBorders>
            <w:vAlign w:val="center"/>
          </w:tcPr>
          <w:p>
            <w:pPr>
              <w:widowControl/>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96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样品（24分）</w:t>
            </w:r>
          </w:p>
        </w:tc>
        <w:tc>
          <w:tcPr>
            <w:tcW w:w="630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响应样品质量：评委根据提供的响应样品质量情况，从样品做工、制造工艺水平、产品设计的合理性和适用性等几方面评议。未提供响应样品的，则该项不得分。</w:t>
            </w:r>
          </w:p>
          <w:p>
            <w:pPr>
              <w:snapToGrid w:val="0"/>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护士鞋：</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样品的款式新颖程度（0-3分）；</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样品的制造工艺、做工水平情况（0-3分）；</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样品设计的合理性（0-3分）；</w:t>
            </w:r>
          </w:p>
          <w:p>
            <w:pPr>
              <w:snapToGrid w:val="0"/>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样品试穿情况（是否合脚、舒适度等情况）（0-3分）。</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拖鞋：</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样品的款式新颖程度（0-3分）；</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样品的制造工艺、做工水平情况（0-3分）；</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样品设计的合理性（0-3分）；</w:t>
            </w:r>
          </w:p>
          <w:p>
            <w:pPr>
              <w:snapToGrid w:val="0"/>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样品试穿情况（是否合脚、舒适度等情况）（0-3分）。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773" w:type="dxa"/>
            <w:tcBorders>
              <w:left w:val="single" w:color="auto" w:sz="4" w:space="0"/>
              <w:right w:val="single" w:color="auto" w:sz="4" w:space="0"/>
            </w:tcBorders>
            <w:vAlign w:val="center"/>
          </w:tcPr>
          <w:p>
            <w:pPr>
              <w:widowControl/>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961" w:type="dxa"/>
            <w:tcBorders>
              <w:top w:val="single" w:color="auto" w:sz="4" w:space="0"/>
              <w:left w:val="single" w:color="auto" w:sz="4" w:space="0"/>
              <w:right w:val="single" w:color="auto" w:sz="4" w:space="0"/>
            </w:tcBorders>
            <w:vAlign w:val="center"/>
          </w:tcPr>
          <w:p>
            <w:pPr>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质保期（6分）</w:t>
            </w:r>
          </w:p>
        </w:tc>
        <w:tc>
          <w:tcPr>
            <w:tcW w:w="630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在3个月质保期的基础上，投标人承诺更长质保期，每延长一个月得1分，最高6分。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773" w:type="dxa"/>
            <w:vMerge w:val="restart"/>
            <w:tcBorders>
              <w:left w:val="single" w:color="auto" w:sz="4" w:space="0"/>
              <w:right w:val="single" w:color="auto" w:sz="4" w:space="0"/>
            </w:tcBorders>
            <w:vAlign w:val="center"/>
          </w:tcPr>
          <w:p>
            <w:pPr>
              <w:widowControl/>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961" w:type="dxa"/>
            <w:vMerge w:val="restart"/>
            <w:tcBorders>
              <w:top w:val="single" w:color="auto" w:sz="4" w:space="0"/>
              <w:left w:val="single" w:color="auto" w:sz="4" w:space="0"/>
              <w:right w:val="single" w:color="auto" w:sz="4" w:space="0"/>
            </w:tcBorders>
            <w:vAlign w:val="center"/>
          </w:tcPr>
          <w:p>
            <w:pPr>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售后服务（6分）</w:t>
            </w:r>
          </w:p>
        </w:tc>
        <w:tc>
          <w:tcPr>
            <w:tcW w:w="630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投标人应制定售后服务方案，根据方案的科学性、合理性、便利性等进行评价，0-3分。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773" w:type="dxa"/>
            <w:vMerge w:val="continue"/>
            <w:tcBorders>
              <w:left w:val="single" w:color="auto" w:sz="4" w:space="0"/>
              <w:right w:val="single" w:color="auto" w:sz="4" w:space="0"/>
            </w:tcBorders>
            <w:vAlign w:val="center"/>
          </w:tcPr>
          <w:p>
            <w:pPr>
              <w:widowControl/>
              <w:spacing w:line="300" w:lineRule="exact"/>
              <w:jc w:val="center"/>
              <w:rPr>
                <w:rFonts w:hint="eastAsia" w:ascii="仿宋" w:hAnsi="仿宋" w:eastAsia="仿宋" w:cs="仿宋"/>
                <w:color w:val="auto"/>
                <w:szCs w:val="21"/>
                <w:highlight w:val="none"/>
              </w:rPr>
            </w:pPr>
          </w:p>
        </w:tc>
        <w:tc>
          <w:tcPr>
            <w:tcW w:w="1961" w:type="dxa"/>
            <w:vMerge w:val="continue"/>
            <w:tcBorders>
              <w:left w:val="single" w:color="auto" w:sz="4" w:space="0"/>
              <w:right w:val="single" w:color="auto" w:sz="4" w:space="0"/>
            </w:tcBorders>
            <w:vAlign w:val="center"/>
          </w:tcPr>
          <w:p>
            <w:pPr>
              <w:spacing w:line="300" w:lineRule="exact"/>
              <w:rPr>
                <w:rFonts w:hint="eastAsia" w:ascii="仿宋" w:hAnsi="仿宋" w:eastAsia="仿宋" w:cs="仿宋"/>
                <w:color w:val="auto"/>
                <w:szCs w:val="21"/>
                <w:highlight w:val="none"/>
              </w:rPr>
            </w:pPr>
          </w:p>
        </w:tc>
        <w:tc>
          <w:tcPr>
            <w:tcW w:w="630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根据投标人承诺的其他实质性优惠服务措施进行评价，0-3分。</w:t>
            </w:r>
          </w:p>
        </w:tc>
      </w:tr>
    </w:tbl>
    <w:p>
      <w:pPr>
        <w:spacing w:line="40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2.2.1评标基准价：即满足招标文件要求且投标价格最低的投标报价为评标基准价，其价格分为满分。</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2.2.2其他投标人的价格分统一按照下列公式计算：</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投标报价得分=(评标基准价／投标报价)×价格权值×100</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即：投标报价得分=(评标基准价／投标报价)×30</w:t>
      </w: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bookmarkEnd w:id="30"/>
    <w:bookmarkEnd w:id="31"/>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绍兴市人民医院、华诚工程咨询集团有限公司：</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（项目名称）【招标编号：（采购编号）】</w:t>
      </w:r>
      <w:r>
        <w:rPr>
          <w:rFonts w:hint="eastAsia" w:ascii="仿宋" w:hAnsi="仿宋" w:eastAsia="仿宋" w:cs="仿宋"/>
          <w:color w:val="auto"/>
          <w:sz w:val="24"/>
          <w:highlight w:val="none"/>
        </w:rPr>
        <w:t>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jc w:val="right"/>
        <w:rPr>
          <w:rFonts w:hint="eastAsia" w:ascii="仿宋" w:hAnsi="仿宋" w:eastAsia="仿宋" w:cs="仿宋"/>
          <w:color w:val="auto"/>
          <w:kern w:val="0"/>
          <w:sz w:val="24"/>
          <w:highlight w:val="none"/>
          <w:lang w:val="zh-CN"/>
        </w:rPr>
      </w:pPr>
    </w:p>
    <w:p>
      <w:pPr>
        <w:snapToGrid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6360" w:firstLineChars="26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1"/>
        <w:rPr>
          <w:rFonts w:hint="eastAsia" w:ascii="仿宋" w:hAnsi="仿宋" w:eastAsia="仿宋" w:cs="仿宋"/>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 （页码）</w:t>
      </w:r>
    </w:p>
    <w:p>
      <w:pPr>
        <w:pStyle w:val="90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（3）授权代表社保证明复印件……………………………………………………（页码）</w:t>
      </w:r>
    </w:p>
    <w:p>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7"/>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highlight w:val="none"/>
        </w:rPr>
        <w:t>绍兴市人民医院、华诚工程咨询集团有限公司</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hint="eastAsia" w:ascii="仿宋" w:hAnsi="仿宋" w:eastAsia="仿宋" w:cs="仿宋"/>
          <w:color w:val="auto"/>
          <w:sz w:val="24"/>
          <w:highlight w:val="none"/>
        </w:rPr>
      </w:pPr>
    </w:p>
    <w:p>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投标人(公章)：　　　　　　　　　日期：  </w:t>
      </w:r>
    </w:p>
    <w:p>
      <w:pPr>
        <w:snapToGrid w:val="0"/>
        <w:spacing w:line="360" w:lineRule="auto"/>
        <w:jc w:val="center"/>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widowControl/>
        <w:adjustRightInd/>
        <w:jc w:val="center"/>
        <w:rPr>
          <w:rFonts w:hint="eastAsia" w:ascii="仿宋" w:hAnsi="仿宋" w:eastAsia="仿宋" w:cs="仿宋"/>
          <w:b/>
          <w:color w:val="auto"/>
          <w:sz w:val="30"/>
          <w:szCs w:val="30"/>
          <w:highlight w:val="none"/>
        </w:rPr>
      </w:pPr>
    </w:p>
    <w:p>
      <w:pPr>
        <w:widowControl/>
        <w:adjustRightInd/>
        <w:jc w:val="center"/>
        <w:rPr>
          <w:rFonts w:hint="eastAsia" w:ascii="仿宋" w:hAnsi="仿宋" w:eastAsia="仿宋" w:cs="仿宋"/>
          <w:b/>
          <w:color w:val="auto"/>
          <w:sz w:val="30"/>
          <w:szCs w:val="30"/>
          <w:highlight w:val="none"/>
        </w:rPr>
      </w:pPr>
    </w:p>
    <w:p>
      <w:pPr>
        <w:widowControl/>
        <w:adjustRightInd/>
        <w:jc w:val="center"/>
        <w:rPr>
          <w:rFonts w:hint="eastAsia" w:ascii="仿宋" w:hAnsi="仿宋" w:eastAsia="仿宋" w:cs="仿宋"/>
          <w:b/>
          <w:color w:val="auto"/>
          <w:sz w:val="30"/>
          <w:szCs w:val="30"/>
          <w:highlight w:val="none"/>
        </w:rPr>
      </w:pPr>
    </w:p>
    <w:p>
      <w:pPr>
        <w:widowControl/>
        <w:adjustRightInd/>
        <w:jc w:val="center"/>
        <w:rPr>
          <w:rFonts w:hint="eastAsia" w:ascii="仿宋" w:hAnsi="仿宋" w:eastAsia="仿宋" w:cs="仿宋"/>
          <w:b/>
          <w:color w:val="auto"/>
          <w:sz w:val="30"/>
          <w:szCs w:val="30"/>
          <w:highlight w:val="none"/>
        </w:rPr>
      </w:pPr>
    </w:p>
    <w:p>
      <w:pPr>
        <w:widowControl/>
        <w:adjustRightInd/>
        <w:jc w:val="center"/>
        <w:rPr>
          <w:rFonts w:hint="eastAsia" w:ascii="仿宋" w:hAnsi="仿宋" w:eastAsia="仿宋" w:cs="仿宋"/>
          <w:b/>
          <w:color w:val="auto"/>
          <w:sz w:val="30"/>
          <w:szCs w:val="30"/>
          <w:highlight w:val="none"/>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pageBreakBefore/>
        <w:spacing w:line="800" w:lineRule="exact"/>
        <w:ind w:firstLine="1807" w:firstLineChars="6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pPr>
        <w:spacing w:line="800" w:lineRule="exact"/>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pStyle w:val="80"/>
        <w:rPr>
          <w:rFonts w:hint="eastAsia" w:ascii="仿宋" w:hAnsi="仿宋" w:eastAsia="仿宋" w:cs="仿宋"/>
          <w:b/>
          <w:color w:val="auto"/>
          <w:highlight w:val="none"/>
        </w:rPr>
      </w:pPr>
    </w:p>
    <w:p>
      <w:pPr>
        <w:pStyle w:val="80"/>
        <w:rPr>
          <w:rFonts w:hint="eastAsia" w:ascii="仿宋" w:hAnsi="仿宋" w:eastAsia="仿宋" w:cs="仿宋"/>
          <w:b/>
          <w:color w:val="auto"/>
          <w:highlight w:val="none"/>
        </w:rPr>
      </w:pPr>
    </w:p>
    <w:p>
      <w:pPr>
        <w:pStyle w:val="80"/>
        <w:rPr>
          <w:rFonts w:hint="eastAsia" w:ascii="仿宋" w:hAnsi="仿宋" w:eastAsia="仿宋" w:cs="仿宋"/>
          <w:b/>
          <w:color w:val="auto"/>
          <w:highlight w:val="none"/>
        </w:rPr>
      </w:pPr>
    </w:p>
    <w:p>
      <w:pPr>
        <w:spacing w:line="800" w:lineRule="exact"/>
        <w:ind w:firstLine="904" w:firstLineChars="3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（公章）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napToGrid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right"/>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napToGrid w:val="0"/>
        <w:spacing w:line="360" w:lineRule="auto"/>
        <w:ind w:firstLine="6480" w:firstLineChars="27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649"/>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napToGrid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1"/>
        <w:rPr>
          <w:rFonts w:hint="eastAsia" w:ascii="仿宋" w:hAnsi="仿宋" w:eastAsia="仿宋" w:cs="仿宋"/>
          <w:color w:val="auto"/>
          <w:highlight w:val="none"/>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ind w:firstLine="5760" w:firstLineChars="2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1"/>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1"/>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81"/>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81"/>
        <w:rPr>
          <w:rFonts w:hint="eastAsia" w:ascii="仿宋" w:hAnsi="仿宋" w:eastAsia="仿宋" w:cs="仿宋"/>
          <w:color w:val="auto"/>
          <w:highlight w:val="none"/>
        </w:rPr>
      </w:pP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ind w:firstLine="5760" w:firstLineChars="2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pStyle w:val="81"/>
        <w:rPr>
          <w:rFonts w:hint="eastAsia" w:ascii="仿宋" w:hAnsi="仿宋" w:eastAsia="仿宋" w:cs="仿宋"/>
          <w:color w:val="auto"/>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36" w:lineRule="auto"/>
        <w:jc w:val="center"/>
        <w:rPr>
          <w:rFonts w:hint="eastAsia" w:ascii="仿宋" w:hAnsi="仿宋" w:eastAsia="仿宋" w:cs="仿宋"/>
          <w:color w:val="auto"/>
          <w:sz w:val="24"/>
          <w:highlight w:val="none"/>
        </w:rPr>
      </w:pPr>
    </w:p>
    <w:p>
      <w:pPr>
        <w:pStyle w:val="82"/>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rPr>
          <w:rFonts w:hint="eastAsia" w:ascii="仿宋" w:hAnsi="仿宋" w:eastAsia="仿宋" w:cs="仿宋"/>
          <w:b/>
          <w:color w:val="auto"/>
          <w:kern w:val="0"/>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绍兴市人民医院、华诚工程咨询集团有限公司</w:t>
      </w:r>
      <w:r>
        <w:rPr>
          <w:rFonts w:hint="eastAsia" w:ascii="仿宋" w:hAnsi="仿宋" w:eastAsia="仿宋" w:cs="仿宋"/>
          <w:color w:val="auto"/>
          <w:kern w:val="0"/>
          <w:sz w:val="24"/>
          <w:highlight w:val="none"/>
          <w:lang w:val="zh-CN"/>
        </w:rPr>
        <w:t>：</w:t>
      </w:r>
    </w:p>
    <w:p>
      <w:pPr>
        <w:pStyle w:val="397"/>
        <w:spacing w:afterLines="0" w:line="440" w:lineRule="exact"/>
        <w:ind w:firstLine="48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Cs w:val="24"/>
          <w:highlight w:val="none"/>
        </w:rPr>
        <w:t>绍兴市人民医院护士鞋、拖鞋采购项目</w:t>
      </w:r>
      <w:r>
        <w:rPr>
          <w:rFonts w:hint="eastAsia" w:ascii="仿宋" w:hAnsi="仿宋" w:eastAsia="仿宋" w:cs="仿宋"/>
          <w:color w:val="auto"/>
          <w:highlight w:val="none"/>
          <w:lang w:val="zh-CN"/>
        </w:rPr>
        <w:t>【招标编号：</w:t>
      </w:r>
      <w:r>
        <w:rPr>
          <w:rFonts w:hint="eastAsia" w:ascii="仿宋" w:hAnsi="仿宋" w:eastAsia="仿宋" w:cs="仿宋"/>
          <w:color w:val="auto"/>
          <w:szCs w:val="24"/>
          <w:highlight w:val="none"/>
        </w:rPr>
        <w:t>HCZB-2023-027</w:t>
      </w:r>
      <w:r>
        <w:rPr>
          <w:rFonts w:hint="eastAsia" w:ascii="仿宋" w:hAnsi="仿宋" w:eastAsia="仿宋" w:cs="仿宋"/>
          <w:color w:val="auto"/>
          <w:highlight w:val="none"/>
        </w:rPr>
        <w:t>】的实施</w:t>
      </w:r>
      <w:r>
        <w:rPr>
          <w:rFonts w:hint="eastAsia" w:ascii="仿宋" w:hAnsi="仿宋" w:eastAsia="仿宋" w:cs="仿宋"/>
          <w:color w:val="auto"/>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hint="eastAsia" w:ascii="仿宋" w:hAnsi="仿宋" w:eastAsia="仿宋" w:cs="仿宋"/>
          <w:b/>
          <w:color w:val="auto"/>
          <w:kern w:val="0"/>
          <w:sz w:val="24"/>
          <w:highlight w:val="none"/>
          <w:lang w:val="en-US" w:eastAsia="zh-CN"/>
        </w:rPr>
        <w:t>价格</w:t>
      </w:r>
      <w:r>
        <w:rPr>
          <w:rFonts w:hint="eastAsia" w:ascii="仿宋" w:hAnsi="仿宋" w:eastAsia="仿宋" w:cs="仿宋"/>
          <w:b/>
          <w:color w:val="auto"/>
          <w:kern w:val="0"/>
          <w:sz w:val="24"/>
          <w:highlight w:val="none"/>
          <w:lang w:val="zh-CN"/>
        </w:rPr>
        <w:t>单位均为人民币元)</w:t>
      </w:r>
    </w:p>
    <w:tbl>
      <w:tblPr>
        <w:tblStyle w:val="63"/>
        <w:tblW w:w="12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018"/>
        <w:gridCol w:w="1167"/>
        <w:gridCol w:w="1637"/>
        <w:gridCol w:w="1680"/>
        <w:gridCol w:w="1603"/>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121" w:type="dxa"/>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018" w:type="dxa"/>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产品名称</w:t>
            </w:r>
          </w:p>
        </w:tc>
        <w:tc>
          <w:tcPr>
            <w:tcW w:w="1167" w:type="dxa"/>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单位</w:t>
            </w:r>
          </w:p>
        </w:tc>
        <w:tc>
          <w:tcPr>
            <w:tcW w:w="1637" w:type="dxa"/>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上限单价（元）</w:t>
            </w:r>
          </w:p>
        </w:tc>
        <w:tc>
          <w:tcPr>
            <w:tcW w:w="1680" w:type="dxa"/>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预估2年用量</w:t>
            </w:r>
          </w:p>
        </w:tc>
        <w:tc>
          <w:tcPr>
            <w:tcW w:w="1603" w:type="dxa"/>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投标单价（元）</w:t>
            </w:r>
          </w:p>
        </w:tc>
        <w:tc>
          <w:tcPr>
            <w:tcW w:w="3117" w:type="dxa"/>
            <w:shd w:val="clear" w:color="auto" w:fill="auto"/>
            <w:vAlign w:val="center"/>
          </w:tcPr>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总价（元）</w:t>
            </w:r>
          </w:p>
          <w:p>
            <w:pPr>
              <w:widowControl/>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（投标单价*预估2年用量）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121"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018"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护士鞋</w:t>
            </w:r>
          </w:p>
        </w:tc>
        <w:tc>
          <w:tcPr>
            <w:tcW w:w="1167"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双</w:t>
            </w:r>
          </w:p>
        </w:tc>
        <w:tc>
          <w:tcPr>
            <w:tcW w:w="1637"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w:t>
            </w:r>
          </w:p>
        </w:tc>
        <w:tc>
          <w:tcPr>
            <w:tcW w:w="1680"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2700</w:t>
            </w:r>
          </w:p>
        </w:tc>
        <w:tc>
          <w:tcPr>
            <w:tcW w:w="1603" w:type="dxa"/>
            <w:shd w:val="clear" w:color="auto" w:fill="auto"/>
            <w:noWrap/>
            <w:vAlign w:val="center"/>
          </w:tcPr>
          <w:p>
            <w:pPr>
              <w:widowControl/>
              <w:jc w:val="center"/>
              <w:rPr>
                <w:rFonts w:hint="eastAsia" w:ascii="仿宋" w:hAnsi="仿宋" w:eastAsia="仿宋" w:cs="仿宋"/>
                <w:color w:val="auto"/>
                <w:kern w:val="0"/>
                <w:sz w:val="24"/>
                <w:highlight w:val="none"/>
              </w:rPr>
            </w:pPr>
          </w:p>
        </w:tc>
        <w:tc>
          <w:tcPr>
            <w:tcW w:w="3117" w:type="dxa"/>
            <w:shd w:val="clear" w:color="auto" w:fill="auto"/>
            <w:noWrap/>
            <w:vAlign w:val="center"/>
          </w:tcPr>
          <w:p>
            <w:pPr>
              <w:widowControl/>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121"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018"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拖鞋</w:t>
            </w:r>
          </w:p>
        </w:tc>
        <w:tc>
          <w:tcPr>
            <w:tcW w:w="1167"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双</w:t>
            </w:r>
          </w:p>
        </w:tc>
        <w:tc>
          <w:tcPr>
            <w:tcW w:w="1637"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75</w:t>
            </w:r>
          </w:p>
        </w:tc>
        <w:tc>
          <w:tcPr>
            <w:tcW w:w="1680" w:type="dxa"/>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w:t>
            </w:r>
          </w:p>
        </w:tc>
        <w:tc>
          <w:tcPr>
            <w:tcW w:w="1603" w:type="dxa"/>
            <w:shd w:val="clear" w:color="auto" w:fill="auto"/>
            <w:noWrap/>
            <w:vAlign w:val="center"/>
          </w:tcPr>
          <w:p>
            <w:pPr>
              <w:widowControl/>
              <w:jc w:val="center"/>
              <w:rPr>
                <w:rFonts w:hint="eastAsia" w:ascii="仿宋" w:hAnsi="仿宋" w:eastAsia="仿宋" w:cs="仿宋"/>
                <w:color w:val="auto"/>
                <w:kern w:val="0"/>
                <w:sz w:val="24"/>
                <w:highlight w:val="none"/>
              </w:rPr>
            </w:pPr>
          </w:p>
        </w:tc>
        <w:tc>
          <w:tcPr>
            <w:tcW w:w="3117" w:type="dxa"/>
            <w:shd w:val="clear" w:color="auto" w:fill="auto"/>
            <w:noWrap/>
            <w:vAlign w:val="center"/>
          </w:tcPr>
          <w:p>
            <w:pPr>
              <w:widowControl/>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1" w:type="dxa"/>
            <w:vMerge w:val="restart"/>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018" w:type="dxa"/>
            <w:vMerge w:val="restart"/>
            <w:shd w:val="clear" w:color="auto" w:fill="auto"/>
            <w:noWrap/>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投标报价（总价1+总价2）</w:t>
            </w:r>
          </w:p>
        </w:tc>
        <w:tc>
          <w:tcPr>
            <w:tcW w:w="9204" w:type="dxa"/>
            <w:gridSpan w:val="5"/>
            <w:shd w:val="clear" w:color="auto" w:fill="auto"/>
            <w:noWrap/>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1" w:type="dxa"/>
            <w:vMerge w:val="continue"/>
            <w:shd w:val="clear" w:color="auto" w:fill="auto"/>
            <w:noWrap/>
            <w:vAlign w:val="center"/>
          </w:tcPr>
          <w:p>
            <w:pPr>
              <w:widowControl/>
              <w:jc w:val="center"/>
              <w:rPr>
                <w:rFonts w:hint="eastAsia" w:ascii="仿宋" w:hAnsi="仿宋" w:eastAsia="仿宋" w:cs="仿宋"/>
                <w:color w:val="auto"/>
                <w:kern w:val="0"/>
                <w:sz w:val="24"/>
                <w:highlight w:val="none"/>
              </w:rPr>
            </w:pPr>
          </w:p>
        </w:tc>
        <w:tc>
          <w:tcPr>
            <w:tcW w:w="2018" w:type="dxa"/>
            <w:vMerge w:val="continue"/>
            <w:shd w:val="clear" w:color="auto" w:fill="auto"/>
            <w:noWrap/>
            <w:vAlign w:val="center"/>
          </w:tcPr>
          <w:p>
            <w:pPr>
              <w:widowControl/>
              <w:jc w:val="center"/>
              <w:rPr>
                <w:rFonts w:hint="eastAsia" w:ascii="仿宋" w:hAnsi="仿宋" w:eastAsia="仿宋" w:cs="仿宋"/>
                <w:color w:val="auto"/>
                <w:kern w:val="0"/>
                <w:sz w:val="24"/>
                <w:highlight w:val="none"/>
              </w:rPr>
            </w:pPr>
          </w:p>
        </w:tc>
        <w:tc>
          <w:tcPr>
            <w:tcW w:w="9204" w:type="dxa"/>
            <w:gridSpan w:val="5"/>
            <w:shd w:val="clear" w:color="auto" w:fill="auto"/>
            <w:noWrap/>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大写：</w:t>
            </w: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9240" w:firstLineChars="38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82" w:name="_Hlk101259491"/>
      <w:r>
        <w:rPr>
          <w:rFonts w:hint="eastAsia" w:ascii="仿宋" w:hAnsi="仿宋" w:eastAsia="仿宋" w:cs="仿宋"/>
          <w:color w:val="auto"/>
          <w:sz w:val="32"/>
          <w:szCs w:val="32"/>
          <w:highlight w:val="none"/>
        </w:rPr>
        <w:t>（如果有）</w:t>
      </w:r>
      <w:bookmarkEnd w:id="182"/>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highlight w:val="none"/>
        </w:rPr>
      </w:pPr>
    </w:p>
    <w:p>
      <w:pPr>
        <w:pStyle w:val="82"/>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1"/>
        <w:rPr>
          <w:rFonts w:hint="eastAsia" w:ascii="仿宋" w:hAnsi="仿宋" w:eastAsia="仿宋" w:cs="仿宋"/>
          <w:b/>
          <w:color w:val="auto"/>
          <w:highlight w:val="none"/>
        </w:rPr>
      </w:pPr>
    </w:p>
    <w:p>
      <w:pPr>
        <w:pStyle w:val="82"/>
        <w:rPr>
          <w:rFonts w:hint="eastAsia" w:ascii="仿宋" w:hAnsi="仿宋" w:eastAsia="仿宋" w:cs="仿宋"/>
          <w:color w:val="auto"/>
          <w:highlight w:val="none"/>
        </w:rPr>
      </w:pPr>
    </w:p>
    <w:p>
      <w:pPr>
        <w:pStyle w:val="82"/>
        <w:rPr>
          <w:rFonts w:hint="eastAsia" w:ascii="仿宋" w:hAnsi="仿宋" w:eastAsia="仿宋" w:cs="仿宋"/>
          <w:color w:val="auto"/>
          <w:highlight w:val="none"/>
        </w:rPr>
      </w:pPr>
    </w:p>
    <w:p>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pPr>
        <w:pStyle w:val="81"/>
        <w:widowControl/>
        <w:spacing w:line="360" w:lineRule="auto"/>
        <w:ind w:firstLine="120" w:firstLineChars="50"/>
        <w:rPr>
          <w:rFonts w:hint="eastAsia" w:ascii="仿宋" w:hAnsi="仿宋" w:eastAsia="仿宋" w:cs="仿宋"/>
          <w:b/>
          <w:color w:val="auto"/>
          <w:highlight w:val="none"/>
        </w:rPr>
      </w:pPr>
    </w:p>
    <w:p>
      <w:pPr>
        <w:pStyle w:val="82"/>
        <w:spacing w:line="360" w:lineRule="auto"/>
        <w:ind w:left="0" w:firstLine="120" w:firstLineChars="50"/>
        <w:jc w:val="left"/>
        <w:rPr>
          <w:rFonts w:hint="eastAsia" w:ascii="仿宋" w:hAnsi="仿宋" w:eastAsia="仿宋" w:cs="仿宋"/>
          <w:b/>
          <w:color w:val="auto"/>
          <w:sz w:val="24"/>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83" w:name="_Toc465665161"/>
      <w:r>
        <w:rPr>
          <w:rFonts w:hint="eastAsia" w:ascii="仿宋" w:hAnsi="仿宋" w:eastAsia="仿宋" w:cs="仿宋"/>
          <w:color w:val="auto"/>
          <w:highlight w:val="none"/>
        </w:rPr>
        <w:t>附件</w:t>
      </w:r>
      <w:bookmarkEnd w:id="183"/>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地址：邮编：</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邮编：</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pPr>
        <w:snapToGrid w:val="0"/>
        <w:spacing w:line="360" w:lineRule="auto"/>
        <w:rPr>
          <w:rFonts w:hint="eastAsia" w:ascii="仿宋" w:hAnsi="仿宋" w:eastAsia="仿宋" w:cs="仿宋"/>
          <w:color w:val="auto"/>
          <w:sz w:val="24"/>
          <w:highlight w:val="none"/>
          <w:u w:val="dotted"/>
        </w:rPr>
      </w:pP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pPr>
        <w:spacing w:line="360" w:lineRule="auto"/>
        <w:rPr>
          <w:rFonts w:hint="eastAsia" w:ascii="仿宋" w:hAnsi="仿宋" w:eastAsia="仿宋" w:cs="仿宋"/>
          <w:color w:val="auto"/>
          <w:sz w:val="24"/>
          <w:highlight w:val="none"/>
          <w:u w:val="dotted"/>
        </w:rPr>
      </w:pP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p>
    <w:p>
      <w:pPr>
        <w:spacing w:line="360" w:lineRule="auto"/>
        <w:rPr>
          <w:rFonts w:hint="eastAsia" w:ascii="仿宋" w:hAnsi="仿宋" w:eastAsia="仿宋" w:cs="仿宋"/>
          <w:color w:val="auto"/>
          <w:sz w:val="24"/>
          <w:highlight w:val="none"/>
          <w:u w:val="dotted"/>
        </w:rPr>
      </w:pP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pPr>
        <w:spacing w:line="360" w:lineRule="auto"/>
        <w:rPr>
          <w:rFonts w:hint="eastAsia" w:ascii="仿宋" w:hAnsi="仿宋" w:eastAsia="仿宋" w:cs="仿宋"/>
          <w:color w:val="auto"/>
          <w:sz w:val="24"/>
          <w:highlight w:val="none"/>
          <w:u w:val="dotted"/>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ascii="仿宋" w:hAnsi="仿宋" w:eastAsia="仿宋" w:cs="仿宋"/>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61"/>
        <w:ind w:firstLine="0"/>
        <w:rPr>
          <w:rFonts w:hint="eastAsia" w:ascii="仿宋" w:hAnsi="仿宋" w:eastAsia="仿宋" w:cs="仿宋"/>
          <w:color w:val="auto"/>
          <w:highlight w:val="none"/>
        </w:rPr>
      </w:pPr>
    </w:p>
    <w:p>
      <w:pPr>
        <w:rPr>
          <w:rFonts w:hint="eastAsia" w:ascii="仿宋" w:hAnsi="仿宋" w:eastAsia="仿宋" w:cs="仿宋"/>
          <w:color w:val="auto"/>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18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84"/>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投标人名称(公章)：</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pStyle w:val="82"/>
        <w:rPr>
          <w:rFonts w:hint="eastAsia" w:ascii="仿宋" w:hAnsi="仿宋" w:eastAsia="仿宋" w:cs="仿宋"/>
          <w:color w:val="auto"/>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投标人名称（公章）</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投标人名称(公章)：</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
        <w:rPr>
          <w:rFonts w:hint="eastAsia" w:ascii="仿宋" w:hAnsi="仿宋" w:eastAsia="仿宋" w:cs="仿宋"/>
          <w:color w:val="auto"/>
          <w:highlight w:val="none"/>
          <w:lang w:val="en-US"/>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p>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RomanS"/>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D6D8A"/>
    <w:multiLevelType w:val="singleLevel"/>
    <w:tmpl w:val="880D6D8A"/>
    <w:lvl w:ilvl="0" w:tentative="0">
      <w:start w:val="4"/>
      <w:numFmt w:val="decimal"/>
      <w:lvlText w:val="%1."/>
      <w:lvlJc w:val="left"/>
      <w:pPr>
        <w:tabs>
          <w:tab w:val="left" w:pos="312"/>
        </w:tabs>
      </w:pPr>
    </w:lvl>
  </w:abstractNum>
  <w:abstractNum w:abstractNumId="1">
    <w:nsid w:val="ABC299A2"/>
    <w:multiLevelType w:val="singleLevel"/>
    <w:tmpl w:val="ABC299A2"/>
    <w:lvl w:ilvl="0" w:tentative="0">
      <w:start w:val="2"/>
      <w:numFmt w:val="decimal"/>
      <w:suff w:val="space"/>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2553FB4"/>
    <w:multiLevelType w:val="multilevel"/>
    <w:tmpl w:val="52553FB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EDC406A"/>
    <w:multiLevelType w:val="multilevel"/>
    <w:tmpl w:val="6EDC406A"/>
    <w:lvl w:ilvl="0" w:tentative="0">
      <w:start w:val="1"/>
      <w:numFmt w:val="decimal"/>
      <w:lvlText w:val="%1、"/>
      <w:lvlJc w:val="left"/>
      <w:pPr>
        <w:ind w:left="279" w:hanging="384"/>
      </w:pPr>
      <w:rPr>
        <w:rFonts w:hint="default"/>
        <w:b/>
      </w:rPr>
    </w:lvl>
    <w:lvl w:ilvl="1" w:tentative="0">
      <w:start w:val="1"/>
      <w:numFmt w:val="lowerLetter"/>
      <w:lvlText w:val="%2)"/>
      <w:lvlJc w:val="left"/>
      <w:pPr>
        <w:ind w:left="735" w:hanging="420"/>
      </w:pPr>
    </w:lvl>
    <w:lvl w:ilvl="2" w:tentative="0">
      <w:start w:val="1"/>
      <w:numFmt w:val="lowerRoman"/>
      <w:lvlText w:val="%3."/>
      <w:lvlJc w:val="right"/>
      <w:pPr>
        <w:ind w:left="1155" w:hanging="420"/>
      </w:pPr>
    </w:lvl>
    <w:lvl w:ilvl="3" w:tentative="0">
      <w:start w:val="1"/>
      <w:numFmt w:val="decimal"/>
      <w:lvlText w:val="%4."/>
      <w:lvlJc w:val="left"/>
      <w:pPr>
        <w:ind w:left="1575" w:hanging="420"/>
      </w:pPr>
    </w:lvl>
    <w:lvl w:ilvl="4" w:tentative="0">
      <w:start w:val="1"/>
      <w:numFmt w:val="lowerLetter"/>
      <w:lvlText w:val="%5)"/>
      <w:lvlJc w:val="left"/>
      <w:pPr>
        <w:ind w:left="1995" w:hanging="420"/>
      </w:pPr>
    </w:lvl>
    <w:lvl w:ilvl="5" w:tentative="0">
      <w:start w:val="1"/>
      <w:numFmt w:val="lowerRoman"/>
      <w:lvlText w:val="%6."/>
      <w:lvlJc w:val="right"/>
      <w:pPr>
        <w:ind w:left="2415" w:hanging="420"/>
      </w:pPr>
    </w:lvl>
    <w:lvl w:ilvl="6" w:tentative="0">
      <w:start w:val="1"/>
      <w:numFmt w:val="decimal"/>
      <w:lvlText w:val="%7."/>
      <w:lvlJc w:val="left"/>
      <w:pPr>
        <w:ind w:left="2835" w:hanging="420"/>
      </w:pPr>
    </w:lvl>
    <w:lvl w:ilvl="7" w:tentative="0">
      <w:start w:val="1"/>
      <w:numFmt w:val="lowerLetter"/>
      <w:lvlText w:val="%8)"/>
      <w:lvlJc w:val="left"/>
      <w:pPr>
        <w:ind w:left="3255" w:hanging="420"/>
      </w:pPr>
    </w:lvl>
    <w:lvl w:ilvl="8" w:tentative="0">
      <w:start w:val="1"/>
      <w:numFmt w:val="lowerRoman"/>
      <w:lvlText w:val="%9."/>
      <w:lvlJc w:val="right"/>
      <w:pPr>
        <w:ind w:left="3675" w:hanging="42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35103"/>
    <w:rsid w:val="00162876"/>
    <w:rsid w:val="00265606"/>
    <w:rsid w:val="0029229B"/>
    <w:rsid w:val="002A6A79"/>
    <w:rsid w:val="002A7BA5"/>
    <w:rsid w:val="003726DD"/>
    <w:rsid w:val="00427673"/>
    <w:rsid w:val="004D3833"/>
    <w:rsid w:val="00544615"/>
    <w:rsid w:val="006065F2"/>
    <w:rsid w:val="00762AFD"/>
    <w:rsid w:val="007A04FE"/>
    <w:rsid w:val="00973001"/>
    <w:rsid w:val="009A6BD4"/>
    <w:rsid w:val="00A12C64"/>
    <w:rsid w:val="00A2424F"/>
    <w:rsid w:val="00AE1647"/>
    <w:rsid w:val="00B0187B"/>
    <w:rsid w:val="00B5574D"/>
    <w:rsid w:val="00B74CF3"/>
    <w:rsid w:val="00BE3742"/>
    <w:rsid w:val="00C05635"/>
    <w:rsid w:val="00C21384"/>
    <w:rsid w:val="00CA4324"/>
    <w:rsid w:val="00CB7613"/>
    <w:rsid w:val="00E73CAB"/>
    <w:rsid w:val="00FD0A27"/>
    <w:rsid w:val="00FE19E4"/>
    <w:rsid w:val="00FF3A25"/>
    <w:rsid w:val="01537FD5"/>
    <w:rsid w:val="01F929B7"/>
    <w:rsid w:val="033E089E"/>
    <w:rsid w:val="053032E4"/>
    <w:rsid w:val="06D74677"/>
    <w:rsid w:val="0983157E"/>
    <w:rsid w:val="0BEB4F2B"/>
    <w:rsid w:val="0FA0239A"/>
    <w:rsid w:val="133236CD"/>
    <w:rsid w:val="14127BE9"/>
    <w:rsid w:val="14EC7D9D"/>
    <w:rsid w:val="158D1A3D"/>
    <w:rsid w:val="169E17AF"/>
    <w:rsid w:val="195210FF"/>
    <w:rsid w:val="1F4629DA"/>
    <w:rsid w:val="1FDE6C98"/>
    <w:rsid w:val="2CDA6E57"/>
    <w:rsid w:val="2D087520"/>
    <w:rsid w:val="32BC7E5B"/>
    <w:rsid w:val="33AF4B9A"/>
    <w:rsid w:val="356B2D42"/>
    <w:rsid w:val="3AA677BB"/>
    <w:rsid w:val="3B434284"/>
    <w:rsid w:val="3CFA6AA9"/>
    <w:rsid w:val="3E385286"/>
    <w:rsid w:val="3F326AC0"/>
    <w:rsid w:val="3F4A70F7"/>
    <w:rsid w:val="3F862F37"/>
    <w:rsid w:val="44D530D8"/>
    <w:rsid w:val="4DB82445"/>
    <w:rsid w:val="4DE4148C"/>
    <w:rsid w:val="4DFA2A5E"/>
    <w:rsid w:val="4FAE554B"/>
    <w:rsid w:val="505D2275"/>
    <w:rsid w:val="50C301CB"/>
    <w:rsid w:val="51031C29"/>
    <w:rsid w:val="57DAE6E1"/>
    <w:rsid w:val="58BF6D7E"/>
    <w:rsid w:val="5955323E"/>
    <w:rsid w:val="5C2E3077"/>
    <w:rsid w:val="5C3F52A6"/>
    <w:rsid w:val="5F665FB3"/>
    <w:rsid w:val="5FED10F1"/>
    <w:rsid w:val="642152E2"/>
    <w:rsid w:val="65077AE2"/>
    <w:rsid w:val="66D134CA"/>
    <w:rsid w:val="6A971908"/>
    <w:rsid w:val="6AEF1016"/>
    <w:rsid w:val="6BEF1545"/>
    <w:rsid w:val="6C2430E3"/>
    <w:rsid w:val="6FCF721E"/>
    <w:rsid w:val="70052E70"/>
    <w:rsid w:val="718974DC"/>
    <w:rsid w:val="729E74BD"/>
    <w:rsid w:val="75426B57"/>
    <w:rsid w:val="79A7721D"/>
    <w:rsid w:val="7A165815"/>
    <w:rsid w:val="7CAD7D9D"/>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next w:val="25"/>
    <w:link w:val="265"/>
    <w:qFormat/>
    <w:uiPriority w:val="0"/>
    <w:pPr>
      <w:spacing w:line="480" w:lineRule="exact"/>
      <w:ind w:firstLine="480" w:firstLineChars="200"/>
    </w:pPr>
    <w:rPr>
      <w:rFonts w:ascii="宋体" w:hAnsi="宋体"/>
      <w:sz w:val="24"/>
    </w:rPr>
  </w:style>
  <w:style w:type="paragraph" w:styleId="25">
    <w:name w:val="envelope return"/>
    <w:basedOn w:val="1"/>
    <w:qFormat/>
    <w:uiPriority w:val="0"/>
    <w:pPr>
      <w:snapToGrid w:val="0"/>
    </w:pPr>
    <w:rPr>
      <w:rFonts w:ascii="Arial" w:hAnsi="Arial"/>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w:basedOn w:val="2"/>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10"/>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0"/>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792DAF-C584-4F4A-BF57-3BE128F14D0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42166</Words>
  <Characters>44851</Characters>
  <Lines>414</Lines>
  <Paragraphs>116</Paragraphs>
  <TotalTime>29</TotalTime>
  <ScaleCrop>false</ScaleCrop>
  <LinksUpToDate>false</LinksUpToDate>
  <CharactersWithSpaces>47245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2023-08-07T02:15:00Z</dcterms:created>
  <dc:creator>玥</dc:creator>
  <cp:lastModifiedBy>HC</cp:lastModifiedBy>
  <cp:lastPrinted>2021-12-28T11:06:00Z</cp:lastPrinted>
  <dcterms:modified xsi:type="dcterms:W3CDTF">2023-08-07T09:21:51Z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B7CC97CC60564EE5AFF3E2225696F1DE_13</vt:lpwstr>
  </property>
</Properties>
</file>