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bCs/>
          <w:sz w:val="56"/>
          <w:szCs w:val="56"/>
        </w:rPr>
      </w:pPr>
      <w:bookmarkStart w:id="0" w:name="_Hlt67893495"/>
      <w:bookmarkEnd w:id="0"/>
      <w:r>
        <w:rPr>
          <w:rFonts w:hint="eastAsia" w:ascii="仿宋" w:hAnsi="仿宋" w:eastAsia="仿宋" w:cs="仿宋"/>
          <w:b/>
          <w:bCs/>
          <w:sz w:val="56"/>
          <w:szCs w:val="56"/>
        </w:rPr>
        <w:t>绍兴市人民医院</w:t>
      </w:r>
    </w:p>
    <w:p>
      <w:pPr>
        <w:jc w:val="center"/>
        <w:outlineLvl w:val="0"/>
        <w:rPr>
          <w:rFonts w:ascii="仿宋" w:hAnsi="仿宋" w:eastAsia="仿宋" w:cs="仿宋"/>
          <w:b/>
          <w:sz w:val="72"/>
          <w:szCs w:val="72"/>
        </w:rPr>
      </w:pPr>
      <w:r>
        <w:rPr>
          <w:rFonts w:hint="eastAsia" w:ascii="仿宋" w:hAnsi="仿宋" w:eastAsia="仿宋" w:cs="仿宋"/>
          <w:b/>
          <w:bCs/>
          <w:sz w:val="56"/>
          <w:szCs w:val="56"/>
        </w:rPr>
        <w:t>污水处理系统更换升级项目</w:t>
      </w:r>
    </w:p>
    <w:p>
      <w:pPr>
        <w:jc w:val="center"/>
        <w:outlineLvl w:val="0"/>
        <w:rPr>
          <w:rFonts w:ascii="仿宋" w:hAnsi="仿宋" w:eastAsia="仿宋" w:cs="仿宋"/>
          <w:b/>
          <w:sz w:val="72"/>
          <w:szCs w:val="72"/>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spacing w:line="360" w:lineRule="auto"/>
        <w:rPr>
          <w:rFonts w:ascii="仿宋" w:hAnsi="仿宋" w:eastAsia="仿宋" w:cs="仿宋"/>
          <w:b/>
          <w:sz w:val="44"/>
          <w:szCs w:val="44"/>
        </w:rPr>
      </w:pPr>
    </w:p>
    <w:p>
      <w:pPr>
        <w:jc w:val="center"/>
        <w:rPr>
          <w:rFonts w:ascii="仿宋" w:hAnsi="仿宋" w:eastAsia="仿宋" w:cs="仿宋"/>
          <w:b/>
          <w:sz w:val="28"/>
          <w:szCs w:val="28"/>
        </w:rPr>
      </w:pPr>
    </w:p>
    <w:p>
      <w:pPr>
        <w:jc w:val="center"/>
        <w:rPr>
          <w:rFonts w:ascii="仿宋" w:hAnsi="仿宋" w:eastAsia="仿宋" w:cs="仿宋"/>
          <w:b/>
          <w:sz w:val="28"/>
          <w:szCs w:val="28"/>
        </w:rPr>
      </w:pPr>
      <w:r>
        <w:rPr>
          <w:rFonts w:hint="eastAsia" w:ascii="仿宋" w:hAnsi="仿宋" w:eastAsia="仿宋" w:cs="仿宋"/>
          <w:b/>
          <w:sz w:val="28"/>
          <w:szCs w:val="28"/>
        </w:rPr>
        <w:t>招标编号:HCZB-2023-028</w:t>
      </w:r>
    </w:p>
    <w:tbl>
      <w:tblPr>
        <w:tblStyle w:val="65"/>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34096117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绍兴市卫生健康委员会</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p>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二○二三年    月</w:t>
            </w:r>
          </w:p>
        </w:tc>
      </w:tr>
    </w:tbl>
    <w:p>
      <w:pPr>
        <w:pStyle w:val="637"/>
        <w:rPr>
          <w:rFonts w:ascii="仿宋" w:hAnsi="仿宋" w:eastAsia="仿宋" w:cs="仿宋"/>
        </w:rPr>
        <w:sectPr>
          <w:headerReference r:id="rId5" w:type="first"/>
          <w:footerReference r:id="rId8" w:type="first"/>
          <w:headerReference r:id="rId3" w:type="default"/>
          <w:footerReference r:id="rId6" w:type="default"/>
          <w:headerReference r:id="rId4" w:type="even"/>
          <w:footerReference r:id="rId7"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12" w:type="first"/>
          <w:headerReference r:id="rId9" w:type="default"/>
          <w:footerReference r:id="rId10" w:type="default"/>
          <w:footerReference r:id="rId11" w:type="even"/>
          <w:pgSz w:w="11906" w:h="16838"/>
          <w:pgMar w:top="1814" w:right="1474" w:bottom="1814" w:left="1474" w:header="851" w:footer="992" w:gutter="0"/>
          <w:pgNumType w:start="2"/>
          <w:cols w:space="720" w:num="1"/>
          <w:titlePg/>
          <w:docGrid w:linePitch="312" w:charSpace="0"/>
        </w:sectPr>
      </w:pPr>
      <w:bookmarkStart w:id="3" w:name="_Hlt74728647"/>
      <w:bookmarkEnd w:id="3"/>
      <w:bookmarkStart w:id="4" w:name="_Hlt74707423"/>
      <w:bookmarkEnd w:id="4"/>
      <w:bookmarkStart w:id="5" w:name="_Hlt74649545"/>
      <w:bookmarkEnd w:id="5"/>
      <w:bookmarkStart w:id="6" w:name="_Hlt74729822"/>
      <w:bookmarkEnd w:id="6"/>
      <w:bookmarkStart w:id="7" w:name="_Toc91899870"/>
      <w:bookmarkStart w:id="8" w:name="第二部分"/>
      <w:bookmarkStart w:id="9" w:name="_Toc91899871"/>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spacing w:line="360" w:lineRule="auto"/>
        <w:ind w:firstLine="480" w:firstLineChars="200"/>
        <w:rPr>
          <w:rFonts w:ascii="仿宋" w:hAnsi="仿宋" w:eastAsia="仿宋" w:cs="仿宋"/>
          <w:b/>
          <w:sz w:val="24"/>
        </w:rPr>
      </w:pPr>
      <w:r>
        <w:rPr>
          <w:rFonts w:hint="eastAsia" w:ascii="仿宋" w:hAnsi="仿宋" w:eastAsia="仿宋" w:cs="仿宋"/>
          <w:bCs/>
          <w:sz w:val="24"/>
          <w:u w:val="single"/>
        </w:rPr>
        <w:t>华诚工程咨询集团有限公司</w:t>
      </w:r>
      <w:r>
        <w:rPr>
          <w:rFonts w:hint="eastAsia" w:ascii="仿宋" w:hAnsi="仿宋" w:eastAsia="仿宋" w:cs="仿宋"/>
          <w:bCs/>
          <w:sz w:val="24"/>
        </w:rPr>
        <w:t>受</w:t>
      </w:r>
      <w:r>
        <w:rPr>
          <w:rFonts w:hint="eastAsia" w:ascii="仿宋" w:hAnsi="仿宋" w:eastAsia="仿宋" w:cs="仿宋"/>
          <w:bCs/>
          <w:sz w:val="24"/>
          <w:u w:val="single"/>
        </w:rPr>
        <w:t>绍兴市人民医院</w:t>
      </w:r>
      <w:r>
        <w:rPr>
          <w:rFonts w:hint="eastAsia" w:ascii="仿宋" w:hAnsi="仿宋" w:eastAsia="仿宋" w:cs="仿宋"/>
          <w:bCs/>
          <w:sz w:val="24"/>
        </w:rPr>
        <w:t>委托，就下列项目进行公开招标，现将有关事项公告如下：</w:t>
      </w:r>
    </w:p>
    <w:p>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pPr>
        <w:pStyle w:val="397"/>
        <w:spacing w:afterLines="0" w:line="440" w:lineRule="exact"/>
        <w:ind w:firstLine="482"/>
        <w:rPr>
          <w:rFonts w:ascii="仿宋" w:hAnsi="仿宋" w:eastAsia="仿宋" w:cs="仿宋"/>
        </w:rPr>
      </w:pPr>
      <w:r>
        <w:rPr>
          <w:rFonts w:hint="eastAsia" w:ascii="仿宋" w:hAnsi="仿宋" w:eastAsia="仿宋" w:cs="仿宋"/>
          <w:b/>
        </w:rPr>
        <w:t>项目编号：</w:t>
      </w:r>
      <w:r>
        <w:rPr>
          <w:rFonts w:hint="eastAsia" w:ascii="仿宋" w:hAnsi="仿宋" w:eastAsia="仿宋" w:cs="仿宋"/>
          <w:szCs w:val="24"/>
        </w:rPr>
        <w:t>HCZB-2023-028</w:t>
      </w:r>
    </w:p>
    <w:p>
      <w:pPr>
        <w:pStyle w:val="397"/>
        <w:spacing w:afterLines="0" w:line="440" w:lineRule="exact"/>
        <w:ind w:firstLine="482"/>
        <w:rPr>
          <w:rFonts w:ascii="仿宋" w:hAnsi="仿宋" w:eastAsia="仿宋" w:cs="仿宋"/>
        </w:rPr>
      </w:pPr>
      <w:r>
        <w:rPr>
          <w:rFonts w:hint="eastAsia" w:ascii="仿宋" w:hAnsi="仿宋" w:eastAsia="仿宋" w:cs="仿宋"/>
          <w:b/>
        </w:rPr>
        <w:t>项目名称：</w:t>
      </w:r>
      <w:r>
        <w:rPr>
          <w:rFonts w:hint="eastAsia" w:ascii="仿宋" w:hAnsi="仿宋" w:eastAsia="仿宋" w:cs="仿宋"/>
          <w:szCs w:val="24"/>
        </w:rPr>
        <w:t>绍兴市人民医院污水处理系统更换升级项目</w:t>
      </w:r>
    </w:p>
    <w:p>
      <w:pPr>
        <w:spacing w:line="440" w:lineRule="exact"/>
        <w:ind w:firstLine="482" w:firstLineChars="200"/>
        <w:rPr>
          <w:rFonts w:ascii="仿宋" w:hAnsi="仿宋" w:eastAsia="仿宋" w:cs="仿宋"/>
          <w:bCs/>
          <w:sz w:val="24"/>
        </w:rPr>
      </w:pPr>
      <w:r>
        <w:rPr>
          <w:rFonts w:hint="eastAsia" w:ascii="仿宋" w:hAnsi="仿宋" w:eastAsia="仿宋" w:cs="仿宋"/>
          <w:b/>
          <w:sz w:val="24"/>
        </w:rPr>
        <w:t>预算金额（元）：</w:t>
      </w:r>
      <w:r>
        <w:rPr>
          <w:rFonts w:hint="eastAsia" w:ascii="仿宋" w:hAnsi="仿宋" w:eastAsia="仿宋" w:cs="仿宋"/>
          <w:bCs/>
          <w:sz w:val="24"/>
        </w:rPr>
        <w:t>200000</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Cs/>
          <w:sz w:val="24"/>
        </w:rPr>
        <w:t>200000</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pPr>
        <w:pStyle w:val="397"/>
        <w:spacing w:afterLines="0" w:line="440" w:lineRule="exact"/>
        <w:ind w:firstLine="480"/>
        <w:rPr>
          <w:rFonts w:ascii="仿宋" w:hAnsi="仿宋" w:eastAsia="仿宋" w:cs="仿宋"/>
          <w:szCs w:val="24"/>
        </w:rPr>
      </w:pPr>
      <w:r>
        <w:rPr>
          <w:rFonts w:hint="eastAsia" w:ascii="仿宋" w:hAnsi="仿宋" w:eastAsia="仿宋" w:cs="仿宋"/>
          <w:szCs w:val="24"/>
        </w:rPr>
        <w:t xml:space="preserve">标项名称：绍兴市人民医院污水处理系统更换升级项目                </w:t>
      </w:r>
    </w:p>
    <w:p>
      <w:pPr>
        <w:pStyle w:val="397"/>
        <w:spacing w:afterLines="0" w:line="440" w:lineRule="exact"/>
        <w:ind w:firstLine="480"/>
        <w:rPr>
          <w:rFonts w:ascii="仿宋" w:hAnsi="仿宋" w:eastAsia="仿宋" w:cs="仿宋"/>
          <w:szCs w:val="24"/>
        </w:rPr>
      </w:pPr>
      <w:r>
        <w:rPr>
          <w:rFonts w:hint="eastAsia" w:ascii="仿宋" w:hAnsi="仿宋" w:eastAsia="仿宋" w:cs="仿宋"/>
          <w:szCs w:val="24"/>
        </w:rPr>
        <w:t>数量：1</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 xml:space="preserve">预算金额：200000         </w:t>
      </w:r>
    </w:p>
    <w:p>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本项目接受联合体投标：否。</w:t>
      </w:r>
    </w:p>
    <w:p>
      <w:pPr>
        <w:spacing w:line="440" w:lineRule="exact"/>
        <w:rPr>
          <w:rFonts w:ascii="仿宋" w:hAnsi="仿宋" w:eastAsia="仿宋" w:cs="仿宋"/>
          <w:b/>
          <w:sz w:val="24"/>
        </w:rPr>
      </w:pPr>
      <w:r>
        <w:rPr>
          <w:rFonts w:hint="eastAsia" w:ascii="仿宋" w:hAnsi="仿宋" w:eastAsia="仿宋" w:cs="仿宋"/>
          <w:b/>
          <w:sz w:val="24"/>
        </w:rPr>
        <w:t>二、申请人的资格要求：</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pPr>
        <w:spacing w:line="440" w:lineRule="exact"/>
        <w:ind w:firstLine="420" w:firstLineChars="200"/>
        <w:rPr>
          <w:rFonts w:ascii="仿宋" w:hAnsi="仿宋" w:eastAsia="仿宋" w:cs="仿宋"/>
          <w:sz w:val="24"/>
        </w:rPr>
      </w:pPr>
      <w:sdt>
        <w:sdtPr>
          <w:rPr>
            <w:rFonts w:hint="eastAsia" w:ascii="仿宋" w:hAnsi="仿宋" w:eastAsia="仿宋" w:cs="仿宋"/>
            <w:szCs w:val="21"/>
          </w:rPr>
          <w:id w:val="725337177"/>
        </w:sdtPr>
        <w:sdtEndPr>
          <w:rPr>
            <w:rFonts w:hint="eastAsia" w:ascii="仿宋" w:hAnsi="仿宋" w:eastAsia="仿宋" w:cs="仿宋"/>
            <w:color w:val="FF0000"/>
            <w:szCs w:val="21"/>
          </w:rPr>
        </w:sdtEndPr>
        <w:sdtContent>
          <w:r>
            <w:rPr>
              <w:rFonts w:hint="eastAsia" w:ascii="仿宋" w:hAnsi="仿宋" w:eastAsia="仿宋" w:cs="仿宋"/>
              <w:color w:val="FF0000"/>
            </w:rPr>
            <w:sym w:font="Wingdings" w:char="00FE"/>
          </w:r>
        </w:sdtContent>
      </w:sdt>
      <w:r>
        <w:rPr>
          <w:rFonts w:hint="eastAsia" w:ascii="仿宋" w:hAnsi="仿宋" w:eastAsia="仿宋" w:cs="仿宋"/>
          <w:color w:val="FF0000"/>
          <w:kern w:val="0"/>
          <w:sz w:val="24"/>
        </w:rPr>
        <w:t>专</w:t>
      </w:r>
      <w:r>
        <w:rPr>
          <w:rFonts w:hint="eastAsia" w:ascii="仿宋" w:hAnsi="仿宋" w:eastAsia="仿宋" w:cs="仿宋"/>
          <w:color w:val="FF0000"/>
          <w:sz w:val="24"/>
        </w:rPr>
        <w:t>门面向中小企业</w:t>
      </w:r>
    </w:p>
    <w:p>
      <w:pPr>
        <w:spacing w:line="440" w:lineRule="exact"/>
        <w:ind w:firstLine="785" w:firstLineChars="374"/>
        <w:rPr>
          <w:rFonts w:ascii="仿宋" w:hAnsi="仿宋" w:eastAsia="仿宋" w:cs="仿宋"/>
          <w:sz w:val="24"/>
          <w:u w:val="single"/>
        </w:rPr>
      </w:pPr>
      <w:sdt>
        <w:sdtPr>
          <w:rPr>
            <w:rFonts w:hint="eastAsia" w:ascii="仿宋" w:hAnsi="仿宋" w:eastAsia="仿宋" w:cs="仿宋"/>
            <w:szCs w:val="21"/>
          </w:rPr>
          <w:id w:val="-1342388451"/>
        </w:sdtPr>
        <w:sdtEndPr>
          <w:rPr>
            <w:rFonts w:hint="eastAsia" w:ascii="仿宋" w:hAnsi="仿宋" w:eastAsia="仿宋" w:cs="仿宋"/>
            <w:szCs w:val="21"/>
          </w:rPr>
        </w:sdtEndPr>
        <w:sdtContent>
          <w:r>
            <w:rPr>
              <w:rFonts w:hint="eastAsia" w:ascii="仿宋" w:hAnsi="仿宋" w:eastAsia="仿宋" w:cs="仿宋"/>
            </w:rPr>
            <w:sym w:font="Wingdings" w:char="00FE"/>
          </w:r>
        </w:sdtContent>
      </w:sdt>
      <w:r>
        <w:rPr>
          <w:rFonts w:hint="eastAsia" w:ascii="仿宋" w:hAnsi="仿宋" w:eastAsia="仿宋" w:cs="仿宋"/>
          <w:sz w:val="24"/>
        </w:rPr>
        <w:t>货物全部由符合政策要求的中小企业制造，提供中小企业声明函；</w:t>
      </w:r>
    </w:p>
    <w:p>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numPr>
          <w:ilvl w:val="0"/>
          <w:numId w:val="1"/>
        </w:num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本项目的特定资格要求：无。</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sz w:val="24"/>
        </w:rPr>
      </w:pPr>
      <w:r>
        <w:rPr>
          <w:rFonts w:hint="eastAsia" w:ascii="仿宋" w:hAnsi="仿宋" w:eastAsia="仿宋" w:cs="仿宋"/>
          <w:b/>
          <w:sz w:val="24"/>
        </w:rPr>
        <w:t>三、获取招标文件时间、地点及方式：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1.获取时间及地点：招标公告发出之时至</w:t>
      </w:r>
      <w:r>
        <w:rPr>
          <w:rFonts w:hint="eastAsia" w:ascii="仿宋" w:hAnsi="仿宋" w:eastAsia="仿宋" w:cs="仿宋"/>
          <w:sz w:val="24"/>
          <w:u w:val="single"/>
        </w:rPr>
        <w:t xml:space="preserve"> 2023</w:t>
      </w:r>
      <w:r>
        <w:rPr>
          <w:rFonts w:hint="eastAsia" w:ascii="仿宋" w:hAnsi="仿宋" w:eastAsia="仿宋" w:cs="仿宋"/>
          <w:sz w:val="24"/>
        </w:rPr>
        <w:t>年   月   日上午8:30—11:30；下午 14:00～17:00 (双休日及法定节假日除外）地址：</w:t>
      </w:r>
      <w:r>
        <w:rPr>
          <w:rFonts w:hint="eastAsia" w:ascii="仿宋" w:hAnsi="仿宋" w:eastAsia="仿宋" w:cs="仿宋"/>
          <w:kern w:val="0"/>
          <w:sz w:val="24"/>
        </w:rPr>
        <w:t>绍兴市越城区越西路800号金德隆商业中心8幢二楼华诚工程咨询集团有限公司。</w:t>
      </w:r>
    </w:p>
    <w:p>
      <w:pPr>
        <w:spacing w:line="480" w:lineRule="exact"/>
        <w:ind w:firstLine="540" w:firstLineChars="225"/>
        <w:rPr>
          <w:rFonts w:ascii="仿宋" w:hAnsi="仿宋" w:eastAsia="仿宋" w:cs="仿宋"/>
          <w:sz w:val="24"/>
        </w:rPr>
      </w:pPr>
      <w:r>
        <w:rPr>
          <w:rFonts w:hint="eastAsia" w:ascii="仿宋" w:hAnsi="仿宋" w:eastAsia="仿宋" w:cs="仿宋"/>
          <w:sz w:val="24"/>
        </w:rPr>
        <w:t>2.获取招标文件时需提供以下资料（复印件加盖单位公章）：投标人营业执照副本、报名人身份证、法定代表人授权委托书及联系方式（手机号码和邮箱）。</w:t>
      </w:r>
    </w:p>
    <w:p>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pPr>
        <w:spacing w:line="440" w:lineRule="exact"/>
        <w:ind w:firstLine="480" w:firstLineChars="200"/>
        <w:rPr>
          <w:rFonts w:ascii="仿宋" w:hAnsi="仿宋" w:eastAsia="仿宋" w:cs="仿宋"/>
          <w:sz w:val="24"/>
        </w:rPr>
      </w:pPr>
      <w:r>
        <w:rPr>
          <w:rFonts w:hint="eastAsia" w:ascii="仿宋" w:hAnsi="仿宋" w:eastAsia="仿宋" w:cs="仿宋"/>
          <w:sz w:val="24"/>
        </w:rPr>
        <w:t>供应商应于</w:t>
      </w:r>
      <w:r>
        <w:rPr>
          <w:rFonts w:hint="eastAsia" w:ascii="仿宋" w:hAnsi="仿宋" w:eastAsia="仿宋" w:cs="仿宋"/>
          <w:sz w:val="24"/>
          <w:u w:val="single"/>
        </w:rPr>
        <w:t>2023</w:t>
      </w:r>
      <w:r>
        <w:rPr>
          <w:rFonts w:hint="eastAsia" w:ascii="仿宋" w:hAnsi="仿宋" w:eastAsia="仿宋" w:cs="仿宋"/>
          <w:sz w:val="24"/>
        </w:rPr>
        <w:t>年  月  日    时以前将投标文件密封送交到</w:t>
      </w:r>
      <w:r>
        <w:rPr>
          <w:rFonts w:hint="eastAsia" w:ascii="仿宋" w:hAnsi="仿宋" w:eastAsia="仿宋" w:cs="仿宋"/>
          <w:kern w:val="0"/>
          <w:sz w:val="24"/>
        </w:rPr>
        <w:t>绍兴市越城区越西路800号金德隆商业中心8幢二楼华诚工程咨询集团有限公司开标室</w:t>
      </w:r>
      <w:r>
        <w:rPr>
          <w:rFonts w:hint="eastAsia" w:ascii="仿宋" w:hAnsi="仿宋" w:eastAsia="仿宋" w:cs="仿宋"/>
          <w:sz w:val="24"/>
        </w:rPr>
        <w:t>，</w:t>
      </w:r>
      <w:r>
        <w:rPr>
          <w:rFonts w:hint="eastAsia" w:ascii="仿宋" w:hAnsi="仿宋" w:eastAsia="仿宋" w:cs="仿宋"/>
          <w:b/>
          <w:bCs/>
          <w:sz w:val="24"/>
        </w:rPr>
        <w:t>未获取招标文件送达</w:t>
      </w:r>
      <w:r>
        <w:rPr>
          <w:rFonts w:hint="eastAsia" w:ascii="仿宋" w:hAnsi="仿宋" w:eastAsia="仿宋" w:cs="仿宋"/>
          <w:sz w:val="24"/>
        </w:rPr>
        <w:t>或逾期送达不予接收。</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投标文件递交方式（以下两种方式可任选一种）：</w:t>
      </w:r>
    </w:p>
    <w:p>
      <w:pPr>
        <w:spacing w:line="440" w:lineRule="exact"/>
        <w:ind w:firstLine="480" w:firstLineChars="200"/>
        <w:rPr>
          <w:rFonts w:ascii="仿宋" w:hAnsi="仿宋" w:eastAsia="仿宋" w:cs="仿宋"/>
          <w:sz w:val="24"/>
        </w:rPr>
      </w:pPr>
      <w:r>
        <w:rPr>
          <w:rFonts w:hint="eastAsia" w:ascii="仿宋" w:hAnsi="仿宋" w:eastAsia="仿宋" w:cs="仿宋"/>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sz w:val="24"/>
          <w:u w:val="single"/>
        </w:rPr>
        <w:t>2023</w:t>
      </w:r>
      <w:r>
        <w:rPr>
          <w:rFonts w:hint="eastAsia" w:ascii="仿宋" w:hAnsi="仿宋" w:eastAsia="仿宋" w:cs="仿宋"/>
          <w:sz w:val="24"/>
        </w:rPr>
        <w:t>年  月   日    时前（以签收时间为准，如在规定时间内未收到投标文件，则作自动放弃投标处理，由投标供应商自行承担责任），邮寄地址：</w:t>
      </w:r>
      <w:r>
        <w:rPr>
          <w:rFonts w:hint="eastAsia" w:ascii="仿宋" w:hAnsi="仿宋" w:eastAsia="仿宋" w:cs="仿宋"/>
          <w:kern w:val="0"/>
          <w:sz w:val="24"/>
        </w:rPr>
        <w:t xml:space="preserve">绍兴市越城区越西路800号金德隆商业中心8幢二楼华诚工程咨询集团有限公司二楼开标室 </w:t>
      </w:r>
      <w:r>
        <w:rPr>
          <w:rFonts w:hint="eastAsia" w:ascii="仿宋" w:hAnsi="仿宋" w:eastAsia="仿宋" w:cs="仿宋"/>
          <w:sz w:val="24"/>
        </w:rPr>
        <w:t>联系人：毕龙梅   电话：15068545458  </w:t>
      </w:r>
    </w:p>
    <w:p>
      <w:pPr>
        <w:spacing w:line="440" w:lineRule="exact"/>
        <w:ind w:firstLine="480" w:firstLineChars="200"/>
        <w:rPr>
          <w:rFonts w:ascii="仿宋" w:hAnsi="仿宋" w:eastAsia="仿宋" w:cs="仿宋"/>
          <w:sz w:val="24"/>
        </w:rPr>
      </w:pPr>
      <w:r>
        <w:rPr>
          <w:rFonts w:hint="eastAsia" w:ascii="仿宋" w:hAnsi="仿宋" w:eastAsia="仿宋" w:cs="仿宋"/>
          <w:sz w:val="24"/>
        </w:rPr>
        <w:t>（2）现场递交，供应商应于</w:t>
      </w:r>
      <w:r>
        <w:rPr>
          <w:rFonts w:hint="eastAsia" w:ascii="仿宋" w:hAnsi="仿宋" w:eastAsia="仿宋" w:cs="仿宋"/>
          <w:sz w:val="24"/>
          <w:u w:val="single"/>
        </w:rPr>
        <w:t>2023</w:t>
      </w:r>
      <w:r>
        <w:rPr>
          <w:rFonts w:hint="eastAsia" w:ascii="仿宋" w:hAnsi="仿宋" w:eastAsia="仿宋" w:cs="仿宋"/>
          <w:sz w:val="24"/>
        </w:rPr>
        <w:t>年   月   日    时以前将投标文件密封送交</w:t>
      </w:r>
      <w:r>
        <w:rPr>
          <w:rFonts w:hint="eastAsia" w:ascii="仿宋" w:hAnsi="仿宋" w:eastAsia="仿宋" w:cs="仿宋"/>
          <w:kern w:val="0"/>
          <w:sz w:val="24"/>
        </w:rPr>
        <w:t>，</w:t>
      </w:r>
      <w:r>
        <w:rPr>
          <w:rFonts w:hint="eastAsia" w:ascii="仿宋" w:hAnsi="仿宋" w:eastAsia="仿宋" w:cs="仿宋"/>
          <w:b/>
          <w:bCs/>
          <w:sz w:val="24"/>
        </w:rPr>
        <w:t>未获取招标文件送达</w:t>
      </w:r>
      <w:r>
        <w:rPr>
          <w:rFonts w:hint="eastAsia" w:ascii="仿宋" w:hAnsi="仿宋" w:eastAsia="仿宋" w:cs="仿宋"/>
          <w:sz w:val="24"/>
        </w:rPr>
        <w:t xml:space="preserve">或逾期送达不予接收，应即交即走，不参加后续开标会。现场递交地址： </w:t>
      </w:r>
      <w:r>
        <w:rPr>
          <w:rFonts w:hint="eastAsia" w:ascii="仿宋" w:hAnsi="仿宋" w:eastAsia="仿宋" w:cs="仿宋"/>
          <w:kern w:val="0"/>
          <w:sz w:val="24"/>
        </w:rPr>
        <w:t>绍兴市越城区越西路800号金德隆商业中心8幢二楼华诚工程咨询集团有限公司开标室。</w:t>
      </w:r>
    </w:p>
    <w:p>
      <w:pPr>
        <w:spacing w:line="440" w:lineRule="exact"/>
        <w:ind w:firstLine="482" w:firstLineChars="200"/>
        <w:rPr>
          <w:rFonts w:ascii="仿宋" w:hAnsi="仿宋" w:eastAsia="仿宋" w:cs="仿宋"/>
        </w:rPr>
      </w:pPr>
      <w:r>
        <w:rPr>
          <w:rFonts w:hint="eastAsia" w:ascii="仿宋" w:hAnsi="仿宋" w:eastAsia="仿宋" w:cs="仿宋"/>
          <w:b/>
          <w:bCs/>
          <w:sz w:val="24"/>
        </w:rPr>
        <w:t>开标时间及地点：</w:t>
      </w:r>
      <w:r>
        <w:rPr>
          <w:rFonts w:hint="eastAsia" w:ascii="仿宋" w:hAnsi="仿宋" w:eastAsia="仿宋" w:cs="仿宋"/>
          <w:sz w:val="24"/>
        </w:rPr>
        <w:t>同投标截止时间及地点。</w:t>
      </w:r>
    </w:p>
    <w:p>
      <w:pPr>
        <w:spacing w:line="440" w:lineRule="exact"/>
        <w:rPr>
          <w:rFonts w:ascii="仿宋" w:hAnsi="仿宋" w:eastAsia="仿宋" w:cs="仿宋"/>
          <w:sz w:val="24"/>
        </w:rPr>
      </w:pPr>
      <w:r>
        <w:rPr>
          <w:rFonts w:hint="eastAsia" w:ascii="仿宋" w:hAnsi="仿宋" w:eastAsia="仿宋" w:cs="仿宋"/>
          <w:b/>
          <w:sz w:val="24"/>
        </w:rPr>
        <w:t xml:space="preserve">五、公告期限 </w:t>
      </w:r>
    </w:p>
    <w:p>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440" w:lineRule="exact"/>
        <w:rPr>
          <w:rFonts w:ascii="仿宋" w:hAnsi="仿宋" w:eastAsia="仿宋" w:cs="仿宋"/>
          <w:b/>
          <w:sz w:val="24"/>
        </w:rPr>
      </w:pPr>
      <w:r>
        <w:rPr>
          <w:rFonts w:hint="eastAsia" w:ascii="仿宋" w:hAnsi="仿宋" w:eastAsia="仿宋" w:cs="仿宋"/>
          <w:b/>
          <w:sz w:val="24"/>
        </w:rPr>
        <w:t>六、其他补充事宜</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spacing w:line="440" w:lineRule="exact"/>
        <w:rPr>
          <w:rFonts w:ascii="仿宋" w:hAnsi="仿宋" w:eastAsia="仿宋" w:cs="仿宋"/>
          <w:b/>
          <w:sz w:val="24"/>
        </w:rPr>
      </w:pPr>
      <w:r>
        <w:rPr>
          <w:rFonts w:hint="eastAsia" w:ascii="仿宋" w:hAnsi="仿宋" w:eastAsia="仿宋" w:cs="仿宋"/>
          <w:b/>
          <w:sz w:val="24"/>
        </w:rPr>
        <w:t>七、对本次采购提出询问、质疑、投诉，请按以下方式联系</w:t>
      </w:r>
    </w:p>
    <w:bookmarkEnd w:id="7"/>
    <w:bookmarkEnd w:id="8"/>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rPr>
        <w:t>绍兴市人民医院</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地址：绍兴市越城区中兴北路568号</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传真： /</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项目联系人（询问）：徐钢德</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项目联系方式（询问）：0575-88558890</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质疑联系人：沈少卿</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质疑联系方式：0575-88558836</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2.采购代理机构信息       </w:t>
      </w:r>
    </w:p>
    <w:p>
      <w:pPr>
        <w:pStyle w:val="397"/>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名称：</w:t>
      </w:r>
      <w:r>
        <w:rPr>
          <w:rFonts w:hint="eastAsia" w:ascii="仿宋" w:hAnsi="仿宋" w:eastAsia="仿宋" w:cs="仿宋"/>
        </w:rPr>
        <w:t>华诚工程咨询集团有限公司</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地址：绍兴市越城区越西路800号金德隆商业中心8幢二楼</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传真：/ </w:t>
      </w:r>
    </w:p>
    <w:p>
      <w:pPr>
        <w:pStyle w:val="397"/>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项目联系人（询问）：毕龙梅</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项目联系方式（询问）：15068545458</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质疑联系人： 詹栋炯</w:t>
      </w:r>
    </w:p>
    <w:p>
      <w:pPr>
        <w:pStyle w:val="397"/>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w:t>
      </w:r>
    </w:p>
    <w:p>
      <w:pPr>
        <w:pStyle w:val="397"/>
        <w:spacing w:after="120" w:line="440" w:lineRule="exact"/>
        <w:ind w:firstLine="480"/>
        <w:rPr>
          <w:rFonts w:ascii="仿宋" w:hAnsi="仿宋" w:eastAsia="仿宋" w:cs="仿宋"/>
          <w:szCs w:val="24"/>
        </w:rPr>
      </w:pPr>
      <w:r>
        <w:rPr>
          <w:rFonts w:hint="eastAsia" w:ascii="仿宋" w:hAnsi="仿宋" w:eastAsia="仿宋" w:cs="仿宋"/>
          <w:szCs w:val="24"/>
        </w:rPr>
        <w:t xml:space="preserve"> 3.同级采购监督管理部门       </w:t>
      </w:r>
    </w:p>
    <w:p>
      <w:pPr>
        <w:pStyle w:val="397"/>
        <w:spacing w:after="120" w:line="440" w:lineRule="exact"/>
        <w:ind w:firstLine="480"/>
        <w:rPr>
          <w:rFonts w:ascii="仿宋" w:hAnsi="仿宋" w:eastAsia="仿宋" w:cs="仿宋"/>
          <w:szCs w:val="24"/>
        </w:rPr>
      </w:pPr>
      <w:r>
        <w:rPr>
          <w:rFonts w:hint="eastAsia" w:ascii="仿宋" w:hAnsi="仿宋" w:eastAsia="仿宋" w:cs="仿宋"/>
          <w:szCs w:val="24"/>
        </w:rPr>
        <w:t>名称：绍兴市卫生健康委员会       </w:t>
      </w:r>
    </w:p>
    <w:p>
      <w:pPr>
        <w:pStyle w:val="397"/>
        <w:spacing w:after="120" w:line="440" w:lineRule="exact"/>
        <w:ind w:firstLine="480"/>
        <w:rPr>
          <w:rFonts w:ascii="仿宋" w:hAnsi="仿宋" w:eastAsia="仿宋" w:cs="仿宋"/>
          <w:szCs w:val="24"/>
        </w:rPr>
      </w:pPr>
      <w:r>
        <w:rPr>
          <w:rFonts w:hint="eastAsia" w:ascii="仿宋" w:hAnsi="仿宋" w:eastAsia="仿宋" w:cs="仿宋"/>
          <w:szCs w:val="24"/>
        </w:rPr>
        <w:t>地址：</w:t>
      </w:r>
      <w:r>
        <w:rPr>
          <w:rFonts w:hint="eastAsia" w:ascii="仿宋" w:hAnsi="仿宋" w:eastAsia="仿宋" w:cs="仿宋"/>
        </w:rPr>
        <w:t>绍兴市洋江西路589号</w:t>
      </w:r>
      <w:r>
        <w:rPr>
          <w:rFonts w:hint="eastAsia" w:ascii="仿宋" w:hAnsi="仿宋" w:eastAsia="仿宋" w:cs="仿宋"/>
          <w:szCs w:val="24"/>
        </w:rPr>
        <w:t>      </w:t>
      </w:r>
    </w:p>
    <w:p>
      <w:pPr>
        <w:pStyle w:val="397"/>
        <w:spacing w:after="120" w:line="440" w:lineRule="exact"/>
        <w:ind w:firstLine="480"/>
        <w:rPr>
          <w:rFonts w:ascii="仿宋" w:hAnsi="仿宋" w:eastAsia="仿宋" w:cs="仿宋"/>
          <w:szCs w:val="24"/>
        </w:rPr>
      </w:pPr>
      <w:r>
        <w:rPr>
          <w:rFonts w:hint="eastAsia" w:ascii="仿宋" w:hAnsi="仿宋" w:eastAsia="仿宋" w:cs="仿宋"/>
          <w:szCs w:val="24"/>
        </w:rPr>
        <w:t>传真：/       </w:t>
      </w:r>
    </w:p>
    <w:p>
      <w:pPr>
        <w:pStyle w:val="397"/>
        <w:spacing w:after="120" w:line="440" w:lineRule="exact"/>
        <w:ind w:firstLine="480"/>
        <w:rPr>
          <w:rFonts w:ascii="仿宋" w:hAnsi="仿宋" w:eastAsia="仿宋" w:cs="仿宋"/>
          <w:szCs w:val="24"/>
        </w:rPr>
      </w:pPr>
      <w:r>
        <w:rPr>
          <w:rFonts w:hint="eastAsia" w:ascii="仿宋" w:hAnsi="仿宋" w:eastAsia="仿宋" w:cs="仿宋"/>
          <w:szCs w:val="24"/>
        </w:rPr>
        <w:t>联系人 ：茅艳萍     </w:t>
      </w:r>
    </w:p>
    <w:p>
      <w:pPr>
        <w:pStyle w:val="397"/>
        <w:spacing w:after="120" w:line="440" w:lineRule="exact"/>
        <w:ind w:firstLine="480"/>
        <w:jc w:val="left"/>
        <w:rPr>
          <w:rFonts w:ascii="仿宋" w:hAnsi="仿宋" w:eastAsia="仿宋" w:cs="仿宋"/>
          <w:szCs w:val="24"/>
        </w:rPr>
      </w:pPr>
      <w:r>
        <w:rPr>
          <w:rFonts w:hint="eastAsia" w:ascii="仿宋" w:hAnsi="仿宋" w:eastAsia="仿宋" w:cs="仿宋"/>
          <w:szCs w:val="24"/>
        </w:rPr>
        <w:t>监督投诉电话：0575-85228949  </w:t>
      </w:r>
    </w:p>
    <w:p>
      <w:pPr>
        <w:widowControl/>
        <w:jc w:val="right"/>
        <w:rPr>
          <w:rFonts w:ascii="仿宋" w:hAnsi="仿宋" w:eastAsia="仿宋" w:cs="仿宋"/>
          <w:kern w:val="0"/>
          <w:sz w:val="24"/>
        </w:rPr>
      </w:pPr>
    </w:p>
    <w:p>
      <w:pPr>
        <w:widowControl/>
        <w:jc w:val="right"/>
        <w:rPr>
          <w:rFonts w:ascii="仿宋" w:hAnsi="仿宋" w:eastAsia="仿宋" w:cs="仿宋"/>
          <w:kern w:val="0"/>
          <w:sz w:val="24"/>
        </w:rPr>
      </w:pPr>
    </w:p>
    <w:p>
      <w:pPr>
        <w:widowControl/>
        <w:jc w:val="right"/>
        <w:rPr>
          <w:rFonts w:ascii="仿宋" w:hAnsi="仿宋" w:eastAsia="仿宋" w:cs="仿宋"/>
          <w:kern w:val="0"/>
          <w:sz w:val="24"/>
        </w:rPr>
      </w:pPr>
    </w:p>
    <w:p>
      <w:pPr>
        <w:widowControl/>
        <w:jc w:val="right"/>
        <w:rPr>
          <w:rFonts w:ascii="仿宋" w:hAnsi="仿宋" w:eastAsia="仿宋" w:cs="仿宋"/>
          <w:kern w:val="0"/>
          <w:sz w:val="24"/>
        </w:rPr>
      </w:pPr>
      <w:r>
        <w:rPr>
          <w:rFonts w:hint="eastAsia" w:ascii="仿宋" w:hAnsi="仿宋" w:eastAsia="仿宋" w:cs="仿宋"/>
          <w:kern w:val="0"/>
          <w:sz w:val="24"/>
        </w:rPr>
        <w:t>公告时间：2023年    月  日</w:t>
      </w:r>
    </w:p>
    <w:p>
      <w:pPr>
        <w:pStyle w:val="397"/>
        <w:spacing w:after="120" w:line="440" w:lineRule="exact"/>
        <w:ind w:firstLine="480"/>
        <w:jc w:val="right"/>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480"/>
        <w:rPr>
          <w:rFonts w:ascii="仿宋" w:hAnsi="仿宋" w:eastAsia="仿宋" w:cs="仿宋"/>
          <w:szCs w:val="24"/>
        </w:rPr>
      </w:pPr>
    </w:p>
    <w:p>
      <w:pPr>
        <w:pStyle w:val="397"/>
        <w:spacing w:after="120" w:line="440" w:lineRule="exact"/>
        <w:ind w:firstLine="0" w:firstLineChars="0"/>
        <w:rPr>
          <w:rFonts w:ascii="仿宋" w:hAnsi="仿宋" w:eastAsia="仿宋" w:cs="仿宋"/>
          <w:szCs w:val="24"/>
        </w:rPr>
      </w:pPr>
    </w:p>
    <w:p>
      <w:pPr>
        <w:pStyle w:val="397"/>
        <w:spacing w:after="120" w:line="440" w:lineRule="exact"/>
        <w:ind w:firstLine="723"/>
        <w:jc w:val="center"/>
        <w:rPr>
          <w:rFonts w:ascii="仿宋" w:hAnsi="仿宋" w:eastAsia="仿宋" w:cs="仿宋"/>
          <w:b/>
          <w:sz w:val="36"/>
        </w:rPr>
      </w:pPr>
      <w:r>
        <w:rPr>
          <w:rFonts w:hint="eastAsia" w:ascii="仿宋" w:hAnsi="仿宋" w:eastAsia="仿宋" w:cs="仿宋"/>
          <w:b/>
          <w:sz w:val="36"/>
        </w:rPr>
        <w:t>第二部分 投标须知</w:t>
      </w:r>
    </w:p>
    <w:p>
      <w:pPr>
        <w:adjustRightInd/>
        <w:spacing w:line="360" w:lineRule="auto"/>
        <w:ind w:firstLine="4488" w:firstLineChars="13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投标文件份数：正本一份，副本四份</w:t>
            </w:r>
            <w:r>
              <w:rPr>
                <w:rFonts w:hint="eastAsia" w:ascii="仿宋" w:hAnsi="仿宋" w:eastAsia="仿宋" w:cs="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r>
              <w:rPr>
                <w:rFonts w:hint="eastAsia" w:ascii="仿宋" w:hAnsi="仿宋" w:eastAsia="仿宋" w:cs="仿宋"/>
                <w:kern w:val="0"/>
                <w:sz w:val="24"/>
              </w:rPr>
              <w:sym w:font="Wingdings 2" w:char="0052"/>
            </w: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rPr>
              <w:sym w:font="Wingdings 2" w:char="00A3"/>
            </w:r>
            <w:r>
              <w:rPr>
                <w:rFonts w:hint="eastAsia" w:ascii="仿宋" w:hAnsi="仿宋" w:eastAsia="仿宋" w:cs="仿宋"/>
                <w:kern w:val="0"/>
                <w:sz w:val="24"/>
              </w:rPr>
              <w:t>B要求提供，</w:t>
            </w:r>
          </w:p>
          <w:p>
            <w:pPr>
              <w:spacing w:line="440" w:lineRule="exact"/>
              <w:rPr>
                <w:rFonts w:ascii="仿宋" w:hAnsi="仿宋" w:eastAsia="仿宋" w:cs="仿宋"/>
                <w:snapToGrid w:val="0"/>
                <w:kern w:val="28"/>
                <w:sz w:val="24"/>
              </w:rPr>
            </w:pPr>
            <w:r>
              <w:rPr>
                <w:rFonts w:hint="eastAsia" w:ascii="仿宋" w:hAnsi="仿宋" w:eastAsia="仿宋" w:cs="仿宋"/>
                <w:snapToGrid w:val="0"/>
                <w:kern w:val="28"/>
                <w:sz w:val="24"/>
              </w:rPr>
              <w:t>（1）样品：</w:t>
            </w:r>
          </w:p>
          <w:p>
            <w:pPr>
              <w:spacing w:line="440" w:lineRule="exact"/>
              <w:rPr>
                <w:rFonts w:ascii="仿宋" w:hAnsi="仿宋" w:eastAsia="仿宋" w:cs="仿宋"/>
                <w:kern w:val="0"/>
                <w:sz w:val="24"/>
              </w:rPr>
            </w:pPr>
            <w:r>
              <w:rPr>
                <w:rFonts w:hint="eastAsia" w:ascii="仿宋" w:hAnsi="仿宋" w:eastAsia="仿宋" w:cs="仿宋"/>
                <w:kern w:val="0"/>
                <w:sz w:val="24"/>
              </w:rPr>
              <w:t>（2）样品制作的标准和要求：详见招标项目范围及要求和评标办法；</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（3）样品的评审方法以及评审标准：详见评标办法；</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（4）是否需要随样品提交检测报告：☑否；□是，检测机构的要求：；检测内容：。</w:t>
            </w:r>
          </w:p>
          <w:p>
            <w:pPr>
              <w:pStyle w:val="397"/>
              <w:spacing w:afterLines="0" w:line="440" w:lineRule="exact"/>
              <w:ind w:firstLine="0" w:firstLineChars="0"/>
              <w:rPr>
                <w:rFonts w:ascii="仿宋" w:hAnsi="仿宋" w:eastAsia="仿宋" w:cs="仿宋"/>
              </w:rPr>
            </w:pPr>
            <w:r>
              <w:rPr>
                <w:rFonts w:hint="eastAsia" w:ascii="仿宋" w:hAnsi="仿宋" w:eastAsia="仿宋" w:cs="仿宋"/>
              </w:rPr>
              <w:t>（5）提供样品的时间：提交投标文件截止时间前；</w:t>
            </w:r>
            <w:r>
              <w:rPr>
                <w:rFonts w:hint="eastAsia" w:ascii="仿宋" w:hAnsi="仿宋" w:eastAsia="仿宋" w:cs="仿宋"/>
                <w:szCs w:val="24"/>
              </w:rPr>
              <w:t>绍兴市越城区越西路800号金德隆商业中心8幢二楼；联系人：毕龙梅，联系电话：15068545458。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工业9</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方案讲解演示：</w:t>
            </w:r>
          </w:p>
          <w:p>
            <w:pPr>
              <w:spacing w:line="440" w:lineRule="exact"/>
              <w:rPr>
                <w:rFonts w:ascii="仿宋" w:hAnsi="仿宋" w:eastAsia="仿宋" w:cs="仿宋"/>
                <w:sz w:val="24"/>
              </w:rPr>
            </w:pPr>
            <w:sdt>
              <w:sdtPr>
                <w:rPr>
                  <w:rFonts w:hint="eastAsia" w:ascii="仿宋" w:hAnsi="仿宋" w:eastAsia="仿宋" w:cs="仿宋"/>
                  <w:kern w:val="0"/>
                  <w:sz w:val="24"/>
                </w:rPr>
                <w:id w:val="801731539"/>
              </w:sdtPr>
              <w:sdtEndPr>
                <w:rPr>
                  <w:rFonts w:hint="eastAsia" w:ascii="仿宋" w:hAnsi="仿宋" w:eastAsia="仿宋" w:cs="仿宋"/>
                  <w:kern w:val="0"/>
                  <w:sz w:val="24"/>
                </w:rPr>
              </w:sdtEndPr>
              <w:sdtContent>
                <w:sdt>
                  <w:sdtPr>
                    <w:rPr>
                      <w:rFonts w:hint="eastAsia" w:ascii="仿宋" w:hAnsi="仿宋" w:eastAsia="仿宋" w:cs="仿宋"/>
                      <w:kern w:val="0"/>
                      <w:sz w:val="24"/>
                    </w:rPr>
                    <w:id w:val="-1281644016"/>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Content>
            </w:sdt>
            <w:r>
              <w:rPr>
                <w:rFonts w:hint="eastAsia" w:ascii="仿宋" w:hAnsi="仿宋" w:eastAsia="仿宋" w:cs="仿宋"/>
                <w:kern w:val="0"/>
                <w:sz w:val="24"/>
              </w:rPr>
              <w:t>A</w:t>
            </w:r>
            <w:r>
              <w:rPr>
                <w:rFonts w:hint="eastAsia" w:ascii="仿宋" w:hAnsi="仿宋" w:eastAsia="仿宋" w:cs="仿宋"/>
                <w:sz w:val="24"/>
              </w:rPr>
              <w:t>无方案讲解演示。</w:t>
            </w:r>
          </w:p>
          <w:p>
            <w:pPr>
              <w:spacing w:line="440" w:lineRule="exact"/>
              <w:rPr>
                <w:rFonts w:ascii="仿宋" w:hAnsi="仿宋" w:eastAsia="仿宋" w:cs="仿宋"/>
                <w:sz w:val="24"/>
              </w:rPr>
            </w:pPr>
            <w:r>
              <w:rPr>
                <w:rFonts w:hint="eastAsia" w:ascii="仿宋" w:hAnsi="仿宋" w:eastAsia="仿宋" w:cs="仿宋"/>
                <w:kern w:val="0"/>
                <w:sz w:val="24"/>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二氧化氯发生器主机</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kern w:val="0"/>
                <w:sz w:val="24"/>
              </w:rPr>
              <w:t>☐B服务类。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工业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更正补充公告请自行登录浙江政府采购网,绍兴市人民医院官网http://www.sxrmyy.cn/下载。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17</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rPr>
            </w:pPr>
          </w:p>
        </w:tc>
        <w:tc>
          <w:tcPr>
            <w:tcW w:w="8370" w:type="dxa"/>
            <w:gridSpan w:val="2"/>
            <w:vAlign w:val="center"/>
          </w:tcPr>
          <w:p>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336" w:lineRule="auto"/>
              <w:rPr>
                <w:rFonts w:ascii="仿宋" w:hAnsi="仿宋" w:eastAsia="仿宋" w:cs="仿宋"/>
                <w:b/>
                <w:sz w:val="24"/>
              </w:rPr>
            </w:pPr>
            <w:r>
              <w:rPr>
                <w:rFonts w:hint="eastAsia" w:ascii="仿宋" w:hAnsi="仿宋" w:eastAsia="仿宋" w:cs="仿宋"/>
                <w:b/>
                <w:sz w:val="24"/>
              </w:rPr>
              <w:t>采购代理服务费：</w:t>
            </w:r>
          </w:p>
          <w:p>
            <w:pPr>
              <w:spacing w:line="34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s="仿宋"/>
                <w:sz w:val="24"/>
              </w:rPr>
              <w:t>（1）参照《招标代理服务收费管理暂行办法》计价格[2002]1980号文和发改价格[2011]534号文件收费标准*60%计取，不足2000元按2000元计取，超过15000元按15000元计。</w:t>
            </w:r>
          </w:p>
          <w:p>
            <w:pPr>
              <w:spacing w:line="340" w:lineRule="exact"/>
              <w:rPr>
                <w:rFonts w:ascii="仿宋" w:hAnsi="仿宋" w:eastAsia="仿宋" w:cs="仿宋"/>
                <w:sz w:val="24"/>
              </w:rPr>
            </w:pPr>
            <w:r>
              <w:rPr>
                <w:rFonts w:hint="eastAsia" w:ascii="仿宋" w:hAnsi="仿宋" w:eastAsia="仿宋" w:cs="仿宋"/>
                <w:sz w:val="24"/>
              </w:rPr>
              <w:t>（2）招标代理服务费的交纳方式：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ascii="仿宋" w:hAnsi="仿宋" w:eastAsia="仿宋" w:cs="仿宋"/>
                <w:sz w:val="24"/>
              </w:rPr>
            </w:pPr>
            <w:r>
              <w:rPr>
                <w:rFonts w:hint="eastAsia" w:ascii="仿宋" w:hAnsi="仿宋" w:eastAsia="仿宋" w:cs="仿宋"/>
                <w:sz w:val="24"/>
              </w:rPr>
              <w:t>账  号：95220078801100000315</w:t>
            </w:r>
          </w:p>
          <w:p>
            <w:pPr>
              <w:spacing w:line="440" w:lineRule="exact"/>
              <w:rPr>
                <w:rFonts w:ascii="仿宋" w:hAnsi="仿宋" w:eastAsia="仿宋" w:cs="仿宋"/>
                <w:kern w:val="0"/>
                <w:sz w:val="24"/>
                <w:szCs w:val="21"/>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注：中标人放弃中标资格或因质疑、投诉被取消中标资格或不能履行合同的，本项目重新组织采购。对放弃中标（成交）资格的供应商，需承担代理费和专家评审费等费用。</w:t>
            </w:r>
          </w:p>
        </w:tc>
      </w:tr>
    </w:tbl>
    <w:p>
      <w:pPr>
        <w:snapToGrid w:val="0"/>
        <w:spacing w:line="360" w:lineRule="auto"/>
        <w:jc w:val="center"/>
        <w:rPr>
          <w:rFonts w:ascii="仿宋" w:hAnsi="仿宋" w:eastAsia="仿宋" w:cs="仿宋"/>
          <w:b/>
          <w:sz w:val="32"/>
          <w:szCs w:val="20"/>
        </w:rPr>
      </w:pPr>
    </w:p>
    <w:bookmarkEnd w:id="9"/>
    <w:p>
      <w:pPr>
        <w:adjustRightInd/>
        <w:spacing w:line="360" w:lineRule="auto"/>
        <w:jc w:val="center"/>
        <w:outlineLvl w:val="0"/>
        <w:rPr>
          <w:rFonts w:ascii="仿宋" w:hAnsi="仿宋" w:eastAsia="仿宋" w:cs="仿宋"/>
          <w:b/>
          <w:sz w:val="32"/>
          <w:szCs w:val="32"/>
        </w:rPr>
      </w:pPr>
      <w:bookmarkStart w:id="11" w:name="_Hlt74707468"/>
      <w:bookmarkEnd w:id="11"/>
      <w:bookmarkStart w:id="12" w:name="_Hlt75236101"/>
      <w:bookmarkEnd w:id="12"/>
      <w:bookmarkStart w:id="13" w:name="_Hlt68072998"/>
      <w:bookmarkEnd w:id="13"/>
      <w:bookmarkStart w:id="14" w:name="_Hlt74730295"/>
      <w:bookmarkEnd w:id="14"/>
      <w:bookmarkStart w:id="15" w:name="_Hlt68073093"/>
      <w:bookmarkEnd w:id="15"/>
      <w:bookmarkStart w:id="16" w:name="_Hlt68072990"/>
      <w:bookmarkEnd w:id="16"/>
      <w:bookmarkStart w:id="17" w:name="_Hlt74729768"/>
      <w:bookmarkEnd w:id="17"/>
      <w:bookmarkStart w:id="18" w:name="_Hlt75236290"/>
      <w:bookmarkEnd w:id="18"/>
      <w:bookmarkStart w:id="19" w:name="_Hlt68403820"/>
      <w:bookmarkEnd w:id="19"/>
      <w:bookmarkStart w:id="20" w:name="_Hlt74714665"/>
      <w:bookmarkEnd w:id="20"/>
      <w:bookmarkStart w:id="21" w:name="_Hlt75236011"/>
      <w:bookmarkEnd w:id="21"/>
      <w:bookmarkStart w:id="22" w:name="_Hlt68057669"/>
      <w:bookmarkEnd w:id="22"/>
      <w:bookmarkStart w:id="23" w:name="_Toc164416483"/>
      <w:bookmarkStart w:id="24" w:name="第三部分"/>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签名”系指书面文件中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sz w:val="24"/>
        </w:rPr>
      </w:pPr>
      <w:r>
        <w:rPr>
          <w:rFonts w:hint="eastAsia" w:ascii="仿宋" w:hAnsi="仿宋" w:eastAsia="仿宋" w:cs="仿宋"/>
          <w:sz w:val="24"/>
        </w:rPr>
        <w:t>2.7“★”系指实质性指标要求条款，“▲”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sz w:val="24"/>
        </w:rPr>
      </w:pPr>
      <w:r>
        <w:rPr>
          <w:rFonts w:hint="eastAsia" w:ascii="仿宋" w:hAnsi="仿宋" w:eastAsia="仿宋" w:cs="仿宋"/>
          <w:sz w:val="24"/>
        </w:rPr>
        <w:t>3.2 支持绿色发展</w:t>
      </w:r>
    </w:p>
    <w:p>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rPr>
      </w:pPr>
      <w:r>
        <w:rPr>
          <w:rFonts w:hint="eastAsia" w:ascii="仿宋" w:hAnsi="仿宋" w:eastAsia="仿宋" w:cs="仿宋"/>
          <w:sz w:val="24"/>
        </w:rPr>
        <w:t>3.4支持科技创新发展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ascii="仿宋" w:hAnsi="仿宋" w:eastAsia="仿宋" w:cs="仿宋"/>
          <w:sz w:val="24"/>
        </w:rPr>
      </w:pPr>
      <w:r>
        <w:rPr>
          <w:rFonts w:hint="eastAsia" w:ascii="仿宋" w:hAnsi="仿宋" w:eastAsia="仿宋" w:cs="仿宋"/>
          <w:sz w:val="24"/>
        </w:rPr>
        <w:t>4.特别说明：</w:t>
      </w:r>
    </w:p>
    <w:p>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2"/>
        <w:rPr>
          <w:rFonts w:ascii="仿宋" w:hAnsi="仿宋" w:eastAsia="仿宋" w:cs="仿宋"/>
          <w:color w:val="auto"/>
        </w:rPr>
      </w:pPr>
    </w:p>
    <w:p>
      <w:pPr>
        <w:pStyle w:val="132"/>
        <w:snapToGrid w:val="0"/>
        <w:spacing w:before="0" w:line="440" w:lineRule="exact"/>
        <w:ind w:firstLine="640"/>
        <w:rPr>
          <w:rFonts w:ascii="仿宋" w:hAnsi="仿宋" w:eastAsia="仿宋" w:cs="仿宋"/>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6"/>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pStyle w:val="17"/>
        <w:tabs>
          <w:tab w:val="clear" w:pos="390"/>
          <w:tab w:val="clear" w:pos="454"/>
        </w:tabs>
        <w:spacing w:afterLines="0" w:line="440" w:lineRule="exact"/>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5"/>
        <w:rPr>
          <w:rFonts w:ascii="仿宋" w:hAnsi="仿宋" w:eastAsia="仿宋" w:cs="仿宋"/>
          <w:sz w:val="32"/>
          <w:szCs w:val="32"/>
          <w:lang w:val="en-US"/>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pStyle w:val="35"/>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ascii="仿宋" w:hAnsi="仿宋" w:eastAsia="仿宋" w:cs="仿宋"/>
          <w:color w:val="FF0000"/>
          <w:sz w:val="24"/>
        </w:rPr>
      </w:pPr>
      <w:r>
        <w:rPr>
          <w:rFonts w:hint="eastAsia" w:ascii="仿宋" w:hAnsi="仿宋" w:eastAsia="仿宋" w:cs="仿宋"/>
          <w:color w:val="FF0000"/>
          <w:sz w:val="24"/>
        </w:rPr>
        <w:t>2.1.4中小企业声明函；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2.2.3授权代表社保证明复印件；</w:t>
      </w:r>
    </w:p>
    <w:p>
      <w:pPr>
        <w:pStyle w:val="25"/>
        <w:ind w:firstLine="720" w:firstLineChars="300"/>
        <w:rPr>
          <w:rFonts w:ascii="仿宋" w:hAnsi="仿宋" w:eastAsia="仿宋" w:cs="仿宋"/>
        </w:rPr>
      </w:pPr>
      <w:bookmarkStart w:id="25" w:name="_Hlk142294507"/>
      <w:r>
        <w:rPr>
          <w:rFonts w:hint="eastAsia" w:ascii="仿宋" w:hAnsi="仿宋" w:eastAsia="仿宋" w:cs="仿宋"/>
          <w:lang w:val="en-US"/>
        </w:rPr>
        <w:t>2.2.4 法定代表人及其授权代表身份证复印件；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2.2.5法定代表人身份证明书；</w:t>
      </w:r>
      <w:bookmarkEnd w:id="25"/>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2.2.7政府采购供应商廉洁自律承诺书（格式见第六部分附件）；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440" w:lineRule="exact"/>
        <w:ind w:firstLine="354" w:firstLineChars="147"/>
        <w:rPr>
          <w:rFonts w:ascii="仿宋" w:hAnsi="仿宋" w:eastAsia="仿宋" w:cs="仿宋"/>
          <w:b/>
          <w:bCs/>
          <w:sz w:val="32"/>
        </w:rPr>
      </w:pPr>
      <w:r>
        <w:rPr>
          <w:rFonts w:hint="eastAsia" w:ascii="仿宋" w:hAnsi="仿宋" w:eastAsia="仿宋" w:cs="仿宋"/>
          <w:b/>
          <w:bCs/>
          <w:sz w:val="24"/>
          <w:szCs w:val="20"/>
        </w:rPr>
        <w:t>3.投标报价</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pPr>
        <w:snapToGrid w:val="0"/>
        <w:spacing w:line="440" w:lineRule="exact"/>
        <w:ind w:firstLine="354" w:firstLineChars="147"/>
        <w:rPr>
          <w:rFonts w:ascii="仿宋" w:hAnsi="仿宋" w:eastAsia="仿宋" w:cs="仿宋"/>
          <w:b/>
          <w:bCs/>
          <w:sz w:val="24"/>
          <w:szCs w:val="20"/>
        </w:rPr>
      </w:pPr>
      <w:r>
        <w:rPr>
          <w:rFonts w:hint="eastAsia" w:ascii="仿宋" w:hAnsi="仿宋" w:eastAsia="仿宋" w:cs="仿宋"/>
          <w:b/>
          <w:bCs/>
          <w:sz w:val="24"/>
          <w:szCs w:val="20"/>
        </w:rPr>
        <w:t>4.投标文件的制作要求</w:t>
      </w:r>
    </w:p>
    <w:p>
      <w:pPr>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w:t>
      </w:r>
      <w:r>
        <w:rPr>
          <w:rFonts w:hint="eastAsia" w:ascii="仿宋" w:hAnsi="仿宋" w:eastAsia="仿宋" w:cs="仿宋"/>
          <w:sz w:val="24"/>
        </w:rPr>
        <w:t>封包要求：</w:t>
      </w:r>
      <w:r>
        <w:rPr>
          <w:rFonts w:hint="eastAsia" w:ascii="仿宋" w:hAnsi="仿宋" w:eastAsia="仿宋" w:cs="仿宋"/>
          <w:sz w:val="24"/>
          <w:lang w:val="zh-CN"/>
        </w:rPr>
        <w:t>投标文件分为“资格文件”、“商务技术文件”、“报价文件”三部分</w:t>
      </w:r>
      <w:r>
        <w:rPr>
          <w:rFonts w:hint="eastAsia" w:ascii="仿宋" w:hAnsi="仿宋" w:eastAsia="仿宋" w:cs="仿宋"/>
          <w:sz w:val="24"/>
        </w:rPr>
        <w:t>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4.2签署要求：按采购文件第六章“投标文件格式附件”各表单要求签署。</w:t>
      </w:r>
    </w:p>
    <w:p>
      <w:pPr>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4.3制作要求：建议采用A4幅面，编制页码，制作目录，提倡双面打印。</w:t>
      </w:r>
    </w:p>
    <w:p>
      <w:pPr>
        <w:pStyle w:val="132"/>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w:t>
      </w:r>
    </w:p>
    <w:p>
      <w:pPr>
        <w:widowControl/>
        <w:snapToGrid w:val="0"/>
        <w:spacing w:line="440" w:lineRule="exact"/>
        <w:ind w:firstLine="480" w:firstLineChars="200"/>
        <w:rPr>
          <w:rFonts w:ascii="仿宋" w:hAnsi="仿宋" w:eastAsia="仿宋" w:cs="仿宋"/>
          <w:b/>
          <w:sz w:val="24"/>
        </w:rPr>
      </w:pPr>
      <w:r>
        <w:rPr>
          <w:rFonts w:hint="eastAsia" w:ascii="仿宋" w:hAnsi="仿宋" w:eastAsia="仿宋" w:cs="仿宋"/>
          <w:sz w:val="24"/>
        </w:rPr>
        <w:t>5.1 投标人应按“招标公告”规定的时间、方式将投标文件提交给采购机构，</w:t>
      </w:r>
      <w:r>
        <w:rPr>
          <w:rFonts w:hint="eastAsia" w:ascii="仿宋" w:hAnsi="仿宋" w:eastAsia="仿宋" w:cs="仿宋"/>
          <w:b/>
          <w:sz w:val="24"/>
        </w:rPr>
        <w:t>采购机构将拒绝接受逾期提交的投标文件。</w:t>
      </w:r>
    </w:p>
    <w:p>
      <w:pPr>
        <w:widowControl/>
        <w:snapToGrid w:val="0"/>
        <w:spacing w:line="440" w:lineRule="exact"/>
        <w:ind w:firstLine="480" w:firstLineChars="200"/>
        <w:rPr>
          <w:rFonts w:ascii="仿宋" w:hAnsi="仿宋" w:eastAsia="仿宋" w:cs="仿宋"/>
          <w:sz w:val="24"/>
        </w:rPr>
      </w:pPr>
      <w:r>
        <w:rPr>
          <w:rFonts w:hint="eastAsia" w:ascii="仿宋" w:hAnsi="仿宋" w:eastAsia="仿宋" w:cs="仿宋"/>
          <w:sz w:val="24"/>
        </w:rPr>
        <w:t>5.2</w:t>
      </w:r>
      <w:r>
        <w:rPr>
          <w:rFonts w:hint="eastAsia" w:ascii="仿宋" w:hAnsi="仿宋" w:eastAsia="仿宋" w:cs="仿宋"/>
          <w:b/>
          <w:bCs/>
          <w:kern w:val="0"/>
          <w:sz w:val="24"/>
        </w:rPr>
        <w:t>投标截止时间前</w:t>
      </w:r>
      <w:r>
        <w:rPr>
          <w:rFonts w:hint="eastAsia" w:ascii="仿宋" w:hAnsi="仿宋" w:eastAsia="仿宋" w:cs="仿宋"/>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sz w:val="24"/>
        </w:rPr>
        <w:t>并明确注明</w:t>
      </w:r>
      <w:r>
        <w:rPr>
          <w:rFonts w:hint="eastAsia" w:ascii="仿宋" w:hAnsi="仿宋" w:eastAsia="仿宋" w:cs="仿宋"/>
          <w:sz w:val="24"/>
          <w:lang w:val="zh-CN"/>
        </w:rPr>
        <w:t>“资格文件”</w:t>
      </w:r>
      <w:r>
        <w:rPr>
          <w:rFonts w:hint="eastAsia" w:ascii="仿宋" w:hAnsi="仿宋" w:eastAsia="仿宋" w:cs="仿宋"/>
          <w:sz w:val="24"/>
        </w:rPr>
        <w:t>或</w:t>
      </w:r>
      <w:r>
        <w:rPr>
          <w:rFonts w:hint="eastAsia" w:ascii="仿宋" w:hAnsi="仿宋" w:eastAsia="仿宋" w:cs="仿宋"/>
          <w:sz w:val="24"/>
          <w:lang w:val="zh-CN"/>
        </w:rPr>
        <w:t>“商务技术文件”</w:t>
      </w:r>
      <w:r>
        <w:rPr>
          <w:rFonts w:hint="eastAsia" w:ascii="仿宋" w:hAnsi="仿宋" w:eastAsia="仿宋" w:cs="仿宋"/>
          <w:sz w:val="24"/>
        </w:rPr>
        <w:t>或</w:t>
      </w:r>
      <w:r>
        <w:rPr>
          <w:rFonts w:hint="eastAsia" w:ascii="仿宋" w:hAnsi="仿宋" w:eastAsia="仿宋" w:cs="仿宋"/>
          <w:sz w:val="24"/>
          <w:lang w:val="zh-CN"/>
        </w:rPr>
        <w:t>“报价文件”</w:t>
      </w:r>
      <w:r>
        <w:rPr>
          <w:rFonts w:hint="eastAsia" w:ascii="仿宋" w:hAnsi="仿宋" w:eastAsia="仿宋" w:cs="仿宋"/>
          <w:kern w:val="0"/>
          <w:sz w:val="24"/>
        </w:rPr>
        <w:t>修改（或补充）材料、项目名称或项目编号、供应商名称</w:t>
      </w:r>
      <w:r>
        <w:rPr>
          <w:rFonts w:hint="eastAsia" w:ascii="仿宋" w:hAnsi="仿宋" w:eastAsia="仿宋" w:cs="仿宋"/>
          <w:sz w:val="24"/>
        </w:rPr>
        <w:t>”</w:t>
      </w:r>
      <w:r>
        <w:rPr>
          <w:rFonts w:hint="eastAsia" w:ascii="仿宋" w:hAnsi="仿宋" w:eastAsia="仿宋" w:cs="仿宋"/>
          <w:kern w:val="0"/>
          <w:sz w:val="24"/>
        </w:rPr>
        <w:t>字样</w:t>
      </w:r>
      <w:r>
        <w:rPr>
          <w:rFonts w:hint="eastAsia" w:ascii="仿宋" w:hAnsi="仿宋" w:eastAsia="仿宋" w:cs="仿宋"/>
          <w:sz w:val="24"/>
        </w:rPr>
        <w:t>，</w:t>
      </w:r>
      <w:r>
        <w:rPr>
          <w:rFonts w:hint="eastAsia" w:ascii="仿宋" w:hAnsi="仿宋" w:eastAsia="仿宋" w:cs="仿宋"/>
          <w:kern w:val="0"/>
          <w:sz w:val="24"/>
        </w:rPr>
        <w:t>同时由</w:t>
      </w:r>
      <w:r>
        <w:rPr>
          <w:rFonts w:hint="eastAsia" w:ascii="仿宋" w:hAnsi="仿宋" w:eastAsia="仿宋" w:cs="仿宋"/>
          <w:sz w:val="24"/>
        </w:rPr>
        <w:t>法定代表人或其授权代表签字或盖章</w:t>
      </w:r>
      <w:r>
        <w:rPr>
          <w:rFonts w:hint="eastAsia" w:ascii="仿宋" w:hAnsi="仿宋" w:eastAsia="仿宋" w:cs="仿宋"/>
          <w:kern w:val="0"/>
          <w:sz w:val="24"/>
        </w:rPr>
        <w:t>。未按上述规则制作的补充和修改材料将被拒收。</w:t>
      </w:r>
    </w:p>
    <w:p>
      <w:pPr>
        <w:spacing w:line="440" w:lineRule="exact"/>
        <w:rPr>
          <w:rFonts w:ascii="仿宋" w:hAnsi="仿宋" w:eastAsia="仿宋" w:cs="仿宋"/>
          <w:b/>
          <w:sz w:val="32"/>
        </w:rPr>
      </w:pPr>
      <w:r>
        <w:rPr>
          <w:rFonts w:hint="eastAsia" w:ascii="仿宋" w:hAnsi="仿宋" w:eastAsia="仿宋" w:cs="仿宋"/>
          <w:b/>
          <w:bCs/>
          <w:sz w:val="24"/>
        </w:rPr>
        <w:t>6.投标有效期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32"/>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rPr>
      </w:pPr>
      <w:bookmarkStart w:id="26" w:name="_Toc91899903"/>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1．开标出席</w:t>
      </w:r>
    </w:p>
    <w:p>
      <w:pPr>
        <w:snapToGrid w:val="0"/>
        <w:spacing w:line="480" w:lineRule="exact"/>
        <w:ind w:firstLine="482" w:firstLineChars="200"/>
        <w:jc w:val="left"/>
        <w:rPr>
          <w:rFonts w:ascii="仿宋" w:hAnsi="仿宋" w:eastAsia="仿宋" w:cs="仿宋"/>
          <w:b/>
          <w:bCs/>
          <w:sz w:val="24"/>
        </w:rPr>
      </w:pPr>
      <w:r>
        <w:rPr>
          <w:rFonts w:hint="eastAsia" w:ascii="仿宋" w:hAnsi="仿宋" w:eastAsia="仿宋" w:cs="仿宋"/>
          <w:b/>
          <w:bCs/>
          <w:sz w:val="24"/>
        </w:rPr>
        <w:t>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sz w:val="24"/>
        </w:rPr>
      </w:pPr>
      <w:r>
        <w:rPr>
          <w:rFonts w:hint="eastAsia" w:ascii="仿宋" w:hAnsi="仿宋" w:eastAsia="仿宋" w:cs="仿宋"/>
          <w:b/>
          <w:sz w:val="24"/>
        </w:rPr>
        <w:t>2．投标文件的提交</w:t>
      </w:r>
    </w:p>
    <w:p>
      <w:pPr>
        <w:snapToGrid w:val="0"/>
        <w:spacing w:line="480" w:lineRule="exact"/>
        <w:jc w:val="left"/>
        <w:rPr>
          <w:rFonts w:ascii="仿宋" w:hAnsi="仿宋" w:eastAsia="仿宋" w:cs="仿宋"/>
          <w:sz w:val="24"/>
        </w:rPr>
      </w:pPr>
      <w:r>
        <w:rPr>
          <w:rFonts w:hint="eastAsia" w:ascii="仿宋" w:hAnsi="仿宋" w:eastAsia="仿宋" w:cs="仿宋"/>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sz w:val="24"/>
        </w:rPr>
      </w:pPr>
      <w:r>
        <w:rPr>
          <w:rFonts w:hint="eastAsia" w:ascii="仿宋" w:hAnsi="仿宋" w:eastAsia="仿宋" w:cs="仿宋"/>
          <w:b/>
          <w:bCs/>
          <w:sz w:val="24"/>
        </w:rPr>
        <w:t>2.2供应商在投标截止时间后不得在开标室外补充提交标书、各类证书证明等材料。</w:t>
      </w:r>
    </w:p>
    <w:p>
      <w:pPr>
        <w:snapToGrid w:val="0"/>
        <w:spacing w:line="480" w:lineRule="exact"/>
        <w:jc w:val="left"/>
        <w:rPr>
          <w:rFonts w:ascii="仿宋" w:hAnsi="仿宋" w:eastAsia="仿宋" w:cs="仿宋"/>
          <w:sz w:val="24"/>
        </w:rPr>
      </w:pPr>
      <w:r>
        <w:rPr>
          <w:rFonts w:hint="eastAsia" w:ascii="仿宋" w:hAnsi="仿宋" w:eastAsia="仿宋" w:cs="仿宋"/>
          <w:sz w:val="24"/>
        </w:rPr>
        <w:t>2.3投标截止时间前，供应商有权对投标文件包封、签署、盖章进行完善。</w:t>
      </w:r>
    </w:p>
    <w:bookmarkEnd w:id="26"/>
    <w:p>
      <w:pPr>
        <w:snapToGrid w:val="0"/>
        <w:spacing w:line="440" w:lineRule="exact"/>
        <w:jc w:val="left"/>
        <w:rPr>
          <w:rFonts w:ascii="仿宋" w:hAnsi="仿宋" w:eastAsia="仿宋" w:cs="仿宋"/>
          <w:b/>
          <w:sz w:val="24"/>
        </w:rPr>
      </w:pPr>
      <w:bookmarkStart w:id="27" w:name="_Toc84325929"/>
      <w:bookmarkStart w:id="28" w:name="_Toc81372776"/>
      <w:bookmarkStart w:id="29" w:name="_Toc81372953"/>
      <w:r>
        <w:rPr>
          <w:rFonts w:hint="eastAsia" w:ascii="仿宋" w:hAnsi="仿宋" w:eastAsia="仿宋" w:cs="仿宋"/>
          <w:b/>
          <w:sz w:val="24"/>
        </w:rPr>
        <w:t>3．开标大会程序</w:t>
      </w:r>
    </w:p>
    <w:p>
      <w:pPr>
        <w:snapToGrid w:val="0"/>
        <w:spacing w:line="440" w:lineRule="exact"/>
        <w:jc w:val="left"/>
        <w:rPr>
          <w:rFonts w:ascii="仿宋" w:hAnsi="仿宋" w:eastAsia="仿宋" w:cs="仿宋"/>
          <w:b/>
          <w:sz w:val="24"/>
        </w:rPr>
      </w:pPr>
      <w:r>
        <w:rPr>
          <w:rFonts w:hint="eastAsia" w:ascii="仿宋" w:hAnsi="仿宋" w:eastAsia="仿宋" w:cs="仿宋"/>
          <w:sz w:val="24"/>
        </w:rPr>
        <w:t>开标大会由采购代理机构主持。</w:t>
      </w:r>
    </w:p>
    <w:p>
      <w:pPr>
        <w:snapToGrid w:val="0"/>
        <w:spacing w:line="480" w:lineRule="exact"/>
        <w:jc w:val="left"/>
        <w:rPr>
          <w:rFonts w:ascii="仿宋" w:hAnsi="仿宋" w:eastAsia="仿宋" w:cs="仿宋"/>
          <w:sz w:val="24"/>
        </w:rPr>
      </w:pPr>
      <w:r>
        <w:rPr>
          <w:rFonts w:hint="eastAsia" w:ascii="仿宋" w:hAnsi="仿宋" w:eastAsia="仿宋" w:cs="仿宋"/>
          <w:sz w:val="24"/>
        </w:rPr>
        <w:t>3.1主持人宣布开标会开始。</w:t>
      </w:r>
    </w:p>
    <w:p>
      <w:pPr>
        <w:snapToGrid w:val="0"/>
        <w:spacing w:line="480" w:lineRule="exact"/>
        <w:jc w:val="left"/>
        <w:rPr>
          <w:rFonts w:ascii="仿宋" w:hAnsi="仿宋" w:eastAsia="仿宋" w:cs="仿宋"/>
          <w:sz w:val="24"/>
        </w:rPr>
      </w:pPr>
      <w:r>
        <w:rPr>
          <w:rFonts w:hint="eastAsia" w:ascii="仿宋" w:hAnsi="仿宋" w:eastAsia="仿宋" w:cs="仿宋"/>
          <w:sz w:val="24"/>
        </w:rPr>
        <w:t>3.2检查投标文件密封情况。</w:t>
      </w:r>
    </w:p>
    <w:p>
      <w:pPr>
        <w:snapToGrid w:val="0"/>
        <w:spacing w:line="480" w:lineRule="exact"/>
        <w:jc w:val="left"/>
        <w:rPr>
          <w:rFonts w:ascii="仿宋" w:hAnsi="仿宋" w:eastAsia="仿宋" w:cs="仿宋"/>
          <w:sz w:val="24"/>
        </w:rPr>
      </w:pPr>
      <w:r>
        <w:rPr>
          <w:rFonts w:hint="eastAsia" w:ascii="仿宋" w:hAnsi="仿宋" w:eastAsia="仿宋" w:cs="仿宋"/>
          <w:sz w:val="24"/>
        </w:rPr>
        <w:t>3.3启封投标文件</w:t>
      </w:r>
      <w:r>
        <w:rPr>
          <w:rFonts w:hint="eastAsia" w:ascii="仿宋" w:hAnsi="仿宋" w:eastAsia="仿宋" w:cs="仿宋"/>
          <w:sz w:val="24"/>
          <w:lang w:val="zh-CN"/>
        </w:rPr>
        <w:t>资格文件</w:t>
      </w:r>
      <w:r>
        <w:rPr>
          <w:rFonts w:hint="eastAsia" w:ascii="仿宋" w:hAnsi="仿宋" w:eastAsia="仿宋" w:cs="仿宋"/>
          <w:sz w:val="24"/>
        </w:rPr>
        <w:t>。</w:t>
      </w:r>
    </w:p>
    <w:p>
      <w:pPr>
        <w:snapToGrid w:val="0"/>
        <w:spacing w:line="480" w:lineRule="exact"/>
        <w:jc w:val="left"/>
        <w:rPr>
          <w:rFonts w:ascii="仿宋" w:hAnsi="仿宋" w:eastAsia="仿宋" w:cs="仿宋"/>
          <w:sz w:val="24"/>
        </w:rPr>
      </w:pPr>
      <w:r>
        <w:rPr>
          <w:rFonts w:hint="eastAsia" w:ascii="仿宋" w:hAnsi="仿宋" w:eastAsia="仿宋" w:cs="仿宋"/>
          <w:sz w:val="24"/>
        </w:rPr>
        <w:t>3.4评标委员会对</w:t>
      </w:r>
      <w:r>
        <w:rPr>
          <w:rFonts w:hint="eastAsia" w:ascii="仿宋" w:hAnsi="仿宋" w:eastAsia="仿宋" w:cs="仿宋"/>
          <w:sz w:val="24"/>
          <w:lang w:val="zh-CN"/>
        </w:rPr>
        <w:t>资格文件</w:t>
      </w:r>
      <w:r>
        <w:rPr>
          <w:rFonts w:hint="eastAsia" w:ascii="仿宋" w:hAnsi="仿宋" w:eastAsia="仿宋" w:cs="仿宋"/>
          <w:sz w:val="24"/>
        </w:rPr>
        <w:t>进行评审。</w:t>
      </w:r>
    </w:p>
    <w:p>
      <w:pPr>
        <w:snapToGrid w:val="0"/>
        <w:spacing w:line="480" w:lineRule="exact"/>
        <w:jc w:val="left"/>
        <w:rPr>
          <w:rFonts w:ascii="仿宋" w:hAnsi="仿宋" w:eastAsia="仿宋" w:cs="仿宋"/>
          <w:sz w:val="24"/>
        </w:rPr>
      </w:pPr>
      <w:r>
        <w:rPr>
          <w:rFonts w:hint="eastAsia" w:ascii="仿宋" w:hAnsi="仿宋" w:eastAsia="仿宋" w:cs="仿宋"/>
          <w:sz w:val="24"/>
        </w:rPr>
        <w:t>3.5主持人宣布无效（废）投标情形（如有），宣读经</w:t>
      </w:r>
      <w:r>
        <w:rPr>
          <w:rFonts w:hint="eastAsia" w:ascii="仿宋" w:hAnsi="仿宋" w:eastAsia="仿宋" w:cs="仿宋"/>
          <w:sz w:val="24"/>
          <w:lang w:val="zh-CN"/>
        </w:rPr>
        <w:t>资格文件</w:t>
      </w:r>
      <w:r>
        <w:rPr>
          <w:rFonts w:hint="eastAsia" w:ascii="仿宋" w:hAnsi="仿宋" w:eastAsia="仿宋" w:cs="仿宋"/>
          <w:sz w:val="24"/>
        </w:rPr>
        <w:t>评审符合招标文件要求的投标人名单，启封投标文件</w:t>
      </w:r>
      <w:r>
        <w:rPr>
          <w:rFonts w:hint="eastAsia" w:ascii="仿宋" w:hAnsi="仿宋" w:eastAsia="仿宋" w:cs="仿宋"/>
          <w:sz w:val="24"/>
          <w:lang w:val="zh-CN"/>
        </w:rPr>
        <w:t>商务技术文件</w:t>
      </w:r>
      <w:r>
        <w:rPr>
          <w:rFonts w:hint="eastAsia" w:ascii="仿宋" w:hAnsi="仿宋" w:eastAsia="仿宋" w:cs="仿宋"/>
          <w:sz w:val="24"/>
        </w:rPr>
        <w:t>。</w:t>
      </w:r>
    </w:p>
    <w:p>
      <w:pPr>
        <w:snapToGrid w:val="0"/>
        <w:spacing w:line="480" w:lineRule="exact"/>
        <w:jc w:val="left"/>
        <w:rPr>
          <w:rFonts w:ascii="仿宋" w:hAnsi="仿宋" w:eastAsia="仿宋" w:cs="仿宋"/>
          <w:sz w:val="24"/>
        </w:rPr>
      </w:pPr>
      <w:r>
        <w:rPr>
          <w:rFonts w:hint="eastAsia" w:ascii="仿宋" w:hAnsi="仿宋" w:eastAsia="仿宋" w:cs="仿宋"/>
          <w:sz w:val="24"/>
        </w:rPr>
        <w:t>3.6评标委员会对</w:t>
      </w:r>
      <w:r>
        <w:rPr>
          <w:rFonts w:hint="eastAsia" w:ascii="仿宋" w:hAnsi="仿宋" w:eastAsia="仿宋" w:cs="仿宋"/>
          <w:sz w:val="24"/>
          <w:lang w:val="zh-CN"/>
        </w:rPr>
        <w:t>商务技术文件</w:t>
      </w:r>
      <w:r>
        <w:rPr>
          <w:rFonts w:hint="eastAsia" w:ascii="仿宋" w:hAnsi="仿宋" w:eastAsia="仿宋" w:cs="仿宋"/>
          <w:sz w:val="24"/>
        </w:rPr>
        <w:t>进行评审。</w:t>
      </w:r>
    </w:p>
    <w:p>
      <w:pPr>
        <w:snapToGrid w:val="0"/>
        <w:spacing w:line="480" w:lineRule="exact"/>
        <w:jc w:val="left"/>
        <w:rPr>
          <w:rFonts w:ascii="仿宋" w:hAnsi="仿宋" w:eastAsia="仿宋" w:cs="仿宋"/>
          <w:sz w:val="24"/>
        </w:rPr>
      </w:pPr>
      <w:r>
        <w:rPr>
          <w:rFonts w:hint="eastAsia" w:ascii="仿宋" w:hAnsi="仿宋" w:eastAsia="仿宋" w:cs="仿宋"/>
          <w:sz w:val="24"/>
        </w:rPr>
        <w:t>3.7主持人宣布商务技术得分及无效（废）投标情形（如有），宣读经商务技术评审符合招标文件要求的投标人名单及其商务技术得分。</w:t>
      </w:r>
    </w:p>
    <w:p>
      <w:pPr>
        <w:snapToGrid w:val="0"/>
        <w:spacing w:line="480" w:lineRule="exact"/>
        <w:jc w:val="left"/>
        <w:rPr>
          <w:rFonts w:ascii="仿宋" w:hAnsi="仿宋" w:eastAsia="仿宋" w:cs="仿宋"/>
          <w:sz w:val="24"/>
        </w:rPr>
      </w:pPr>
      <w:r>
        <w:rPr>
          <w:rFonts w:hint="eastAsia" w:ascii="仿宋" w:hAnsi="仿宋" w:eastAsia="仿宋" w:cs="仿宋"/>
          <w:sz w:val="24"/>
        </w:rPr>
        <w:t>3.8启封报价文件资料，由唱读人当众宣读投标人名称、投标价格和投标文件的其他内容。未宣读的投标报价和招标文件未允许提供的备选投标方案等实质性内容，评标时不予承认。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s="仿宋"/>
          <w:sz w:val="24"/>
        </w:rPr>
      </w:pPr>
      <w:r>
        <w:rPr>
          <w:rFonts w:hint="eastAsia" w:ascii="仿宋" w:hAnsi="仿宋" w:eastAsia="仿宋" w:cs="仿宋"/>
          <w:sz w:val="24"/>
        </w:rPr>
        <w:t>3.9评标委员会对投标文件报价文件资料进行评审，核准投标报价及计算价格分，汇总商务技术分、价格分，根据得分排序确定中标候选人并出具评审报告。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ascii="仿宋" w:hAnsi="仿宋" w:eastAsia="仿宋" w:cs="仿宋"/>
          <w:sz w:val="24"/>
        </w:rPr>
      </w:pPr>
      <w:r>
        <w:rPr>
          <w:rFonts w:hint="eastAsia" w:ascii="仿宋" w:hAnsi="仿宋" w:eastAsia="仿宋" w:cs="仿宋"/>
          <w:sz w:val="24"/>
        </w:rPr>
        <w:t>3.10主持人向投标单位公布评审结果。</w:t>
      </w:r>
    </w:p>
    <w:p>
      <w:pPr>
        <w:snapToGrid w:val="0"/>
        <w:spacing w:line="440" w:lineRule="exact"/>
        <w:jc w:val="left"/>
        <w:rPr>
          <w:rFonts w:ascii="仿宋" w:hAnsi="仿宋" w:eastAsia="仿宋" w:cs="仿宋"/>
          <w:b/>
          <w:sz w:val="24"/>
        </w:rPr>
      </w:pPr>
      <w:r>
        <w:rPr>
          <w:rFonts w:hint="eastAsia" w:ascii="仿宋" w:hAnsi="仿宋" w:eastAsia="仿宋" w:cs="仿宋"/>
          <w:b/>
          <w:sz w:val="24"/>
        </w:rPr>
        <w:t>4．评标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书面进行确认。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供应商通过提供书面说明必须加盖公章。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4.7评标委员会不向落标方解释落标的原因。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5．投标文件的初审鉴定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6.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7.投标文件的评审、比较和否决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7.2在评审过程中，评标委员会可以书面形式要求投标人就投标文件含义不明确的内容可对其通过书面形式要求投标人说明并提供相关材料，但不得超过投标文件的范围或者改变投标文件的实质性内容。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7.4在评审过程中，如属于实质性偏离或符合无效响应条件的，应当询问相关投标人，并可对其通过提供书面形式进行确认，但不允许对偏离条款进行补充、修正或撤回。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7.7.2根据财政部发布的《政府采购促进中小企业发展管理办法》规定，对于非专门面向中小企业的项目，对小型和微型企业产品的价格给予一定的扣除，用扣除后的价格参与评审。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7.8评标委员会依据招标文件规定的评标标准和方法，对投标文件进行评审和比较后，向采购人或其委托的采购代理机构提供书面评标报告，并按得分高低排序推荐中标候选供应商。</w:t>
      </w:r>
    </w:p>
    <w:p>
      <w:pPr>
        <w:pStyle w:val="17"/>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8.投标文件的澄清</w:t>
      </w:r>
    </w:p>
    <w:p>
      <w:pPr>
        <w:pStyle w:val="17"/>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9.无效投标的情形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9.1未按照招标文件规定要求密封封装、签署、盖章的；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9.3为采购项目提供整体设计、规范编制或者项目管理、监理、检测等服务的供应商参加该采购项目的其他采购活动的；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9.6《法定代表人授权委托书》或《法定代表人身份证明书》填写不全、错误、未公章(《法定代表人授权委托书》要求“公章”和“签字或盖章”缺一不可）的；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9.8投标文件中的投标函无投标人的公章或填写不全的；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9.22.7供应商与采购人或者采购机构之间、供应商相互之间，为谋求特定供应商中标、成交或者排斥其他供应商的其他串通行为。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9.23评标委员会认定有重大偏差或实质性不响应招标文件要求的；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9.24投标文件出现不是唯一的、有选择性投标报价的；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9.25其他违反法律、法规的情形。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10. 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10.2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35"/>
        <w:spacing w:line="360" w:lineRule="auto"/>
        <w:ind w:firstLine="726"/>
        <w:jc w:val="center"/>
        <w:rPr>
          <w:rFonts w:ascii="仿宋" w:hAnsi="仿宋" w:eastAsia="仿宋" w:cs="仿宋"/>
          <w:b/>
          <w:sz w:val="32"/>
          <w:szCs w:val="32"/>
        </w:rPr>
      </w:pPr>
    </w:p>
    <w:p>
      <w:pPr>
        <w:pStyle w:val="35"/>
        <w:spacing w:line="360" w:lineRule="auto"/>
        <w:ind w:firstLine="726"/>
        <w:jc w:val="center"/>
        <w:rPr>
          <w:rFonts w:ascii="仿宋" w:hAnsi="仿宋" w:eastAsia="仿宋" w:cs="仿宋"/>
          <w:b/>
          <w:sz w:val="32"/>
          <w:szCs w:val="32"/>
        </w:rPr>
      </w:pPr>
    </w:p>
    <w:p>
      <w:pPr>
        <w:pStyle w:val="35"/>
        <w:spacing w:line="360" w:lineRule="auto"/>
        <w:ind w:firstLine="726"/>
        <w:jc w:val="center"/>
        <w:rPr>
          <w:rFonts w:ascii="仿宋" w:hAnsi="仿宋" w:eastAsia="仿宋" w:cs="仿宋"/>
          <w:b/>
          <w:sz w:val="32"/>
          <w:szCs w:val="32"/>
        </w:rPr>
      </w:pPr>
      <w:r>
        <w:rPr>
          <w:rFonts w:hint="eastAsia" w:ascii="仿宋" w:hAnsi="仿宋" w:eastAsia="仿宋" w:cs="仿宋"/>
          <w:b/>
          <w:sz w:val="32"/>
          <w:szCs w:val="32"/>
        </w:rPr>
        <w:t>五、授予合同</w:t>
      </w:r>
    </w:p>
    <w:bookmarkEnd w:id="27"/>
    <w:bookmarkEnd w:id="28"/>
    <w:bookmarkEnd w:id="29"/>
    <w:p>
      <w:pPr>
        <w:pStyle w:val="17"/>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及绍兴市人民医院官网http://www.sxrmyy.cn/）发布中标公告，中标公告期限为1个工作日。</w:t>
      </w:r>
    </w:p>
    <w:p>
      <w:pPr>
        <w:tabs>
          <w:tab w:val="left" w:pos="0"/>
        </w:tabs>
        <w:spacing w:line="440" w:lineRule="exact"/>
        <w:ind w:firstLine="480" w:firstLineChars="200"/>
        <w:rPr>
          <w:rFonts w:ascii="仿宋" w:hAnsi="仿宋" w:eastAsia="仿宋" w:cs="仿宋"/>
          <w:kern w:val="0"/>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pStyle w:val="35"/>
        <w:spacing w:line="360"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spacing w:line="336" w:lineRule="auto"/>
        <w:rPr>
          <w:rFonts w:ascii="仿宋" w:hAnsi="仿宋" w:eastAsia="仿宋" w:cs="仿宋"/>
          <w:b/>
          <w:sz w:val="32"/>
          <w:szCs w:val="32"/>
        </w:rPr>
      </w:pPr>
      <w:r>
        <w:rPr>
          <w:rFonts w:hint="eastAsia" w:ascii="仿宋" w:hAnsi="仿宋" w:eastAsia="仿宋" w:cs="仿宋"/>
          <w:b/>
          <w:bCs/>
          <w:sz w:val="24"/>
        </w:rPr>
        <w:t>1. 供应商询问</w:t>
      </w:r>
    </w:p>
    <w:p>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numPr>
          <w:ilvl w:val="0"/>
          <w:numId w:val="2"/>
        </w:numPr>
        <w:spacing w:line="336" w:lineRule="auto"/>
        <w:rPr>
          <w:rFonts w:ascii="仿宋" w:hAnsi="仿宋" w:eastAsia="仿宋" w:cs="仿宋"/>
          <w:b/>
          <w:bCs/>
          <w:sz w:val="24"/>
        </w:rPr>
      </w:pPr>
      <w:r>
        <w:rPr>
          <w:rFonts w:hint="eastAsia" w:ascii="仿宋" w:hAnsi="仿宋" w:eastAsia="仿宋" w:cs="仿宋"/>
          <w:b/>
          <w:bCs/>
          <w:sz w:val="24"/>
        </w:rPr>
        <w:t>供应商质疑</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rPr>
        <w:t>2</w:t>
      </w:r>
      <w:r>
        <w:rPr>
          <w:rFonts w:hint="eastAsia"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2.1.1提出质疑的供应商应当是参与所质疑项目采购活动的供应商。潜在供应商已依法获取其可质疑的采购文件的，可以对该文件提出质疑。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rPr>
        <w:t>2</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2.1.2.1对采购文件提出质疑的，质疑期限为供应商获得采购文件之日或者采购文件公告期限届满之日起计算，采购文件在获取截止之日后获得的，应当自采购文件公告期限届满之日起计算。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2.1.2.2对采购过程提出质疑的，质疑期限为各采购程序环节结束之日起计算。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2.1.2.3对采购结果提出质疑的，质疑期限自采购结果公告期限届满之日起计算。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2.1.2.4对同一采购程序环节的质疑，供应商须一次性提出。</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2.2.1供应商提出质疑应当提交质疑函和必要的证明材料。质疑函应当包括下列内容：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336" w:lineRule="auto"/>
        <w:rPr>
          <w:rFonts w:ascii="仿宋" w:hAnsi="仿宋" w:eastAsia="仿宋" w:cs="仿宋"/>
          <w:b/>
          <w:sz w:val="32"/>
          <w:szCs w:val="32"/>
        </w:rPr>
      </w:pPr>
      <w:r>
        <w:rPr>
          <w:rFonts w:hint="eastAsia" w:ascii="仿宋" w:hAnsi="仿宋" w:eastAsia="仿宋" w:cs="仿宋"/>
          <w:b/>
          <w:bCs/>
          <w:sz w:val="24"/>
        </w:rPr>
        <w:t>3.供应商投诉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3.3供应商投诉应当有明确的请求和必要的证明材料。</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3.4以联合体形式参加政府采购活动的，其投诉应当由组成联合体的所有供应商共同提出。</w:t>
      </w:r>
    </w:p>
    <w:p>
      <w:pPr>
        <w:snapToGrid w:val="0"/>
        <w:spacing w:line="360" w:lineRule="auto"/>
        <w:outlineLvl w:val="0"/>
        <w:rPr>
          <w:rFonts w:ascii="仿宋" w:hAnsi="仿宋" w:eastAsia="仿宋" w:cs="仿宋"/>
          <w:b/>
          <w:bCs/>
          <w:sz w:val="24"/>
          <w:szCs w:val="20"/>
        </w:rPr>
        <w:sectPr>
          <w:footerReference r:id="rId14" w:type="first"/>
          <w:footerReference r:id="rId13"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23"/>
    <w:bookmarkEnd w:id="24"/>
    <w:p>
      <w:pPr>
        <w:spacing w:line="360" w:lineRule="auto"/>
        <w:jc w:val="center"/>
        <w:outlineLvl w:val="0"/>
        <w:rPr>
          <w:rFonts w:ascii="仿宋" w:hAnsi="仿宋" w:eastAsia="仿宋" w:cs="仿宋"/>
          <w:b/>
          <w:sz w:val="36"/>
          <w:szCs w:val="36"/>
        </w:rPr>
      </w:pPr>
      <w:bookmarkStart w:id="30" w:name="第五部分"/>
      <w:bookmarkStart w:id="31" w:name="_Toc86217003"/>
      <w:r>
        <w:rPr>
          <w:rFonts w:hint="eastAsia" w:ascii="仿宋" w:hAnsi="仿宋" w:eastAsia="仿宋" w:cs="仿宋"/>
          <w:b/>
          <w:sz w:val="36"/>
          <w:szCs w:val="36"/>
        </w:rPr>
        <w:t>第三部分   招标项目范围及要求</w:t>
      </w:r>
    </w:p>
    <w:p>
      <w:pPr>
        <w:snapToGrid w:val="0"/>
        <w:spacing w:line="800" w:lineRule="exact"/>
        <w:rPr>
          <w:rFonts w:ascii="仿宋" w:hAnsi="仿宋" w:eastAsia="仿宋" w:cs="仿宋"/>
          <w:b/>
          <w:sz w:val="24"/>
        </w:rPr>
      </w:pPr>
      <w:r>
        <w:rPr>
          <w:rFonts w:hint="eastAsia" w:ascii="仿宋" w:hAnsi="仿宋" w:eastAsia="仿宋" w:cs="仿宋"/>
          <w:b/>
          <w:sz w:val="24"/>
          <w:u w:val="wave"/>
        </w:rPr>
        <w:t>相关声明</w:t>
      </w:r>
      <w:r>
        <w:rPr>
          <w:rFonts w:hint="eastAsia" w:ascii="仿宋" w:hAnsi="仿宋" w:eastAsia="仿宋" w:cs="仿宋"/>
          <w:b/>
          <w:sz w:val="24"/>
        </w:rPr>
        <w:t>：</w:t>
      </w:r>
      <w:r>
        <w:rPr>
          <w:rFonts w:hint="eastAsia" w:ascii="仿宋" w:hAnsi="仿宋" w:eastAsia="仿宋" w:cs="仿宋"/>
          <w:b/>
          <w:sz w:val="24"/>
          <w:u w:val="wave"/>
        </w:rPr>
        <w:t>以下1-7条款如标段内另有说明的</w:t>
      </w:r>
      <w:r>
        <w:rPr>
          <w:rFonts w:hint="eastAsia" w:ascii="仿宋" w:hAnsi="仿宋" w:eastAsia="仿宋" w:cs="仿宋"/>
          <w:b/>
          <w:sz w:val="24"/>
        </w:rPr>
        <w:t>，</w:t>
      </w:r>
      <w:r>
        <w:rPr>
          <w:rFonts w:hint="eastAsia" w:ascii="仿宋" w:hAnsi="仿宋" w:eastAsia="仿宋" w:cs="仿宋"/>
          <w:b/>
          <w:sz w:val="24"/>
          <w:u w:val="wave"/>
        </w:rPr>
        <w:t>则按标内要求执行</w:t>
      </w:r>
      <w:r>
        <w:rPr>
          <w:rFonts w:hint="eastAsia" w:ascii="仿宋" w:hAnsi="仿宋" w:eastAsia="仿宋" w:cs="仿宋"/>
          <w:b/>
          <w:sz w:val="24"/>
        </w:rPr>
        <w:t>。</w:t>
      </w:r>
    </w:p>
    <w:p>
      <w:pPr>
        <w:pStyle w:val="397"/>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1.设备（材料）要求</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1.6所有货物到现场安装使用前，招标人将进行抽样检验或试验。</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397"/>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2.数量调整</w:t>
      </w:r>
    </w:p>
    <w:p>
      <w:pPr>
        <w:pStyle w:val="397"/>
        <w:widowControl w:val="0"/>
        <w:spacing w:afterLines="0" w:line="440" w:lineRule="exact"/>
        <w:ind w:firstLine="480"/>
        <w:rPr>
          <w:rFonts w:ascii="仿宋" w:hAnsi="仿宋" w:eastAsia="仿宋" w:cs="仿宋"/>
          <w:szCs w:val="24"/>
        </w:rPr>
      </w:pPr>
      <w:r>
        <w:rPr>
          <w:rFonts w:hint="eastAsia" w:ascii="仿宋" w:hAnsi="仿宋" w:eastAsia="仿宋" w:cs="仿宋"/>
          <w:szCs w:val="24"/>
        </w:rPr>
        <w:t>招标人保留在签约时调整部分方案及定购设备数量和服务的权力，投标人应对系统方案中设备和服务明细报价，按投标单价不变的前提下进行调整，双方不得拒绝。</w:t>
      </w:r>
    </w:p>
    <w:p>
      <w:pPr>
        <w:pStyle w:val="397"/>
        <w:widowControl w:val="0"/>
        <w:spacing w:afterLines="0" w:line="440" w:lineRule="exact"/>
        <w:ind w:firstLine="480"/>
        <w:rPr>
          <w:rFonts w:ascii="仿宋" w:hAnsi="仿宋" w:eastAsia="仿宋" w:cs="仿宋"/>
          <w:szCs w:val="24"/>
        </w:rPr>
      </w:pPr>
      <w:r>
        <w:rPr>
          <w:rFonts w:hint="eastAsia" w:ascii="仿宋" w:hAnsi="仿宋" w:eastAsia="仿宋" w:cs="仿宋"/>
          <w:szCs w:val="24"/>
        </w:rPr>
        <w:t>如遇本次招标没有涉及的设备或服务时，由中标人提供申请，招标人确认后实施。</w:t>
      </w:r>
    </w:p>
    <w:p>
      <w:pPr>
        <w:pStyle w:val="397"/>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3.安装及调试、验收</w:t>
      </w:r>
    </w:p>
    <w:p>
      <w:pPr>
        <w:pStyle w:val="397"/>
        <w:widowControl w:val="0"/>
        <w:spacing w:afterLines="0" w:line="440" w:lineRule="exact"/>
        <w:ind w:firstLine="480"/>
        <w:rPr>
          <w:rFonts w:ascii="仿宋" w:hAnsi="仿宋" w:eastAsia="仿宋" w:cs="仿宋"/>
          <w:szCs w:val="24"/>
        </w:rPr>
      </w:pPr>
      <w:r>
        <w:rPr>
          <w:rFonts w:hint="eastAsia" w:ascii="仿宋" w:hAnsi="仿宋" w:eastAsia="仿宋" w:cs="仿宋"/>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3.1中标人负责设备的安装、调试。</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pPr>
        <w:pStyle w:val="397"/>
        <w:widowControl w:val="0"/>
        <w:spacing w:afterLines="0" w:line="440" w:lineRule="exact"/>
        <w:ind w:firstLine="0" w:firstLineChars="0"/>
        <w:rPr>
          <w:rFonts w:ascii="仿宋" w:hAnsi="仿宋" w:eastAsia="仿宋" w:cs="仿宋"/>
          <w:b/>
          <w:szCs w:val="24"/>
        </w:rPr>
      </w:pPr>
      <w:r>
        <w:rPr>
          <w:rFonts w:hint="eastAsia" w:ascii="仿宋" w:hAnsi="仿宋" w:eastAsia="仿宋" w:cs="仿宋"/>
          <w:b/>
          <w:szCs w:val="24"/>
        </w:rPr>
        <w:t>4.技术培训</w:t>
      </w:r>
    </w:p>
    <w:p>
      <w:pPr>
        <w:spacing w:line="440" w:lineRule="exact"/>
        <w:rPr>
          <w:rFonts w:ascii="仿宋" w:hAnsi="仿宋" w:eastAsia="仿宋" w:cs="仿宋"/>
          <w:sz w:val="24"/>
        </w:rPr>
      </w:pPr>
      <w:r>
        <w:rPr>
          <w:rFonts w:hint="eastAsia" w:ascii="仿宋" w:hAnsi="仿宋" w:eastAsia="仿宋" w:cs="仿宋"/>
          <w:sz w:val="24"/>
        </w:rPr>
        <w:t>4.1中标人须对招标人的技术人员培训。投标人须在投标文件中提供详细的培训计划，包括培训内容、培训时间、培训费用等。</w:t>
      </w:r>
    </w:p>
    <w:p>
      <w:pPr>
        <w:spacing w:line="440" w:lineRule="exact"/>
        <w:rPr>
          <w:rFonts w:ascii="仿宋" w:hAnsi="仿宋" w:eastAsia="仿宋" w:cs="仿宋"/>
          <w:sz w:val="24"/>
        </w:rPr>
      </w:pPr>
      <w:r>
        <w:rPr>
          <w:rFonts w:hint="eastAsia" w:ascii="仿宋" w:hAnsi="仿宋" w:eastAsia="仿宋" w:cs="仿宋"/>
          <w:sz w:val="24"/>
        </w:rPr>
        <w:t>4.2中标人提供的负责培训的人员应具备同类设备五年以上的经验。</w:t>
      </w:r>
    </w:p>
    <w:p>
      <w:pPr>
        <w:spacing w:line="440" w:lineRule="exact"/>
        <w:rPr>
          <w:rFonts w:ascii="仿宋" w:hAnsi="仿宋" w:eastAsia="仿宋" w:cs="仿宋"/>
          <w:sz w:val="24"/>
        </w:rPr>
      </w:pPr>
      <w:r>
        <w:rPr>
          <w:rFonts w:hint="eastAsia" w:ascii="仿宋" w:hAnsi="仿宋" w:eastAsia="仿宋" w:cs="仿宋"/>
          <w:sz w:val="24"/>
        </w:rPr>
        <w:t xml:space="preserve">4.3技术培训费用应包含在投标总价中。    </w:t>
      </w:r>
    </w:p>
    <w:p>
      <w:pPr>
        <w:spacing w:line="440" w:lineRule="exact"/>
        <w:rPr>
          <w:rFonts w:ascii="仿宋" w:hAnsi="仿宋" w:eastAsia="仿宋" w:cs="仿宋"/>
          <w:sz w:val="24"/>
        </w:rPr>
      </w:pPr>
      <w:r>
        <w:rPr>
          <w:rFonts w:hint="eastAsia" w:ascii="仿宋" w:hAnsi="仿宋" w:eastAsia="仿宋" w:cs="仿宋"/>
          <w:sz w:val="24"/>
        </w:rPr>
        <w:t>4.4技术培训至少应包括下列内容：</w:t>
      </w:r>
    </w:p>
    <w:p>
      <w:pPr>
        <w:pStyle w:val="28"/>
        <w:widowControl w:val="0"/>
        <w:tabs>
          <w:tab w:val="clear" w:pos="360"/>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4.4.1原理、构成和功能的描述。</w:t>
      </w:r>
    </w:p>
    <w:p>
      <w:pPr>
        <w:pStyle w:val="28"/>
        <w:widowControl w:val="0"/>
        <w:tabs>
          <w:tab w:val="clear" w:pos="360"/>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4.4.2常见故障的处理或排除。</w:t>
      </w:r>
    </w:p>
    <w:p>
      <w:pPr>
        <w:pStyle w:val="28"/>
        <w:widowControl w:val="0"/>
        <w:tabs>
          <w:tab w:val="clear" w:pos="360"/>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4.4.3各系统部件（设备）的检查、调整和维护。</w:t>
      </w:r>
    </w:p>
    <w:p>
      <w:pPr>
        <w:pStyle w:val="28"/>
        <w:widowControl w:val="0"/>
        <w:tabs>
          <w:tab w:val="clear" w:pos="360"/>
          <w:tab w:val="clear" w:pos="482"/>
        </w:tabs>
        <w:spacing w:afterLines="0" w:line="440" w:lineRule="exact"/>
        <w:ind w:left="0" w:firstLine="0"/>
        <w:rPr>
          <w:rFonts w:ascii="仿宋" w:hAnsi="仿宋" w:eastAsia="仿宋" w:cs="仿宋"/>
          <w:szCs w:val="24"/>
        </w:rPr>
      </w:pPr>
      <w:r>
        <w:rPr>
          <w:rFonts w:hint="eastAsia" w:ascii="仿宋" w:hAnsi="仿宋" w:eastAsia="仿宋" w:cs="仿宋"/>
          <w:szCs w:val="24"/>
        </w:rPr>
        <w:t>4.4.4对使用者关于设备基本操作技能的培训。</w:t>
      </w:r>
    </w:p>
    <w:p>
      <w:pPr>
        <w:pStyle w:val="28"/>
        <w:widowControl w:val="0"/>
        <w:tabs>
          <w:tab w:val="clear" w:pos="360"/>
          <w:tab w:val="clear" w:pos="482"/>
        </w:tabs>
        <w:spacing w:afterLines="0" w:line="440" w:lineRule="exact"/>
        <w:ind w:left="0" w:firstLine="0"/>
        <w:rPr>
          <w:rFonts w:ascii="仿宋" w:hAnsi="仿宋" w:eastAsia="仿宋" w:cs="仿宋"/>
          <w:b/>
          <w:szCs w:val="24"/>
        </w:rPr>
      </w:pPr>
      <w:r>
        <w:rPr>
          <w:rFonts w:hint="eastAsia" w:ascii="仿宋" w:hAnsi="仿宋" w:eastAsia="仿宋" w:cs="仿宋"/>
          <w:b/>
          <w:szCs w:val="24"/>
        </w:rPr>
        <w:t>5.售后服务</w:t>
      </w:r>
    </w:p>
    <w:p>
      <w:pPr>
        <w:pStyle w:val="7"/>
        <w:spacing w:line="440" w:lineRule="exact"/>
        <w:ind w:firstLine="0"/>
        <w:rPr>
          <w:rFonts w:ascii="仿宋" w:hAnsi="仿宋" w:eastAsia="仿宋" w:cs="仿宋"/>
          <w:color w:val="auto"/>
          <w:sz w:val="24"/>
        </w:rPr>
      </w:pPr>
      <w:r>
        <w:rPr>
          <w:rFonts w:hint="eastAsia" w:ascii="仿宋" w:hAnsi="仿宋" w:eastAsia="仿宋" w:cs="仿宋"/>
          <w:color w:val="auto"/>
          <w:sz w:val="24"/>
        </w:rPr>
        <w:t>5.1投标人须提供经调试、试运行、验收合格后至少5年的质保期(投标人可根据自身实力作出更长时间的质保承诺)。在此期间，投标人应免费处理因质量发生的故障，并进行正常保养。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5.2中标人必须有可靠的售后服务保障包括但不限于在</w:t>
      </w:r>
      <w:r>
        <w:rPr>
          <w:rFonts w:hint="eastAsia" w:ascii="仿宋" w:hAnsi="仿宋" w:eastAsia="仿宋" w:cs="仿宋"/>
          <w:b/>
          <w:sz w:val="24"/>
          <w:u w:val="single"/>
        </w:rPr>
        <w:t>绍兴附近</w:t>
      </w:r>
      <w:r>
        <w:rPr>
          <w:rFonts w:hint="eastAsia" w:ascii="仿宋" w:hAnsi="仿宋" w:eastAsia="仿宋" w:cs="仿宋"/>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cs="仿宋"/>
          <w:b/>
          <w:kern w:val="0"/>
          <w:sz w:val="24"/>
          <w:u w:val="wave"/>
        </w:rPr>
      </w:pPr>
      <w:r>
        <w:rPr>
          <w:rFonts w:hint="eastAsia" w:ascii="仿宋" w:hAnsi="仿宋" w:eastAsia="仿宋" w:cs="仿宋"/>
          <w:b/>
          <w:sz w:val="24"/>
        </w:rPr>
        <w:t>6. 服务要求</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cs="仿宋"/>
          <w:b/>
          <w:sz w:val="24"/>
        </w:rPr>
      </w:pPr>
      <w:r>
        <w:rPr>
          <w:rFonts w:hint="eastAsia" w:ascii="仿宋" w:hAnsi="仿宋" w:eastAsia="仿宋" w:cs="仿宋"/>
          <w:b/>
          <w:sz w:val="24"/>
        </w:rPr>
        <w:t>7. 项目实施人员费用</w:t>
      </w:r>
    </w:p>
    <w:p>
      <w:pPr>
        <w:snapToGrid w:val="0"/>
        <w:spacing w:line="440" w:lineRule="exact"/>
        <w:jc w:val="left"/>
        <w:rPr>
          <w:rFonts w:ascii="仿宋" w:hAnsi="仿宋" w:eastAsia="仿宋" w:cs="仿宋"/>
          <w:b/>
          <w:sz w:val="24"/>
        </w:rPr>
      </w:pPr>
      <w:r>
        <w:rPr>
          <w:rFonts w:hint="eastAsia" w:ascii="仿宋" w:hAnsi="仿宋" w:eastAsia="仿宋" w:cs="仿宋"/>
          <w:sz w:val="24"/>
        </w:rPr>
        <w:t xml:space="preserve">   中标人应自行承担选派专业人员的住宿、就餐和交通等费用。</w:t>
      </w:r>
    </w:p>
    <w:p>
      <w:pPr>
        <w:snapToGrid w:val="0"/>
        <w:spacing w:line="240" w:lineRule="auto"/>
        <w:jc w:val="left"/>
        <w:rPr>
          <w:rFonts w:ascii="仿宋" w:hAnsi="仿宋" w:eastAsia="仿宋" w:cs="仿宋"/>
          <w:b/>
          <w:sz w:val="24"/>
        </w:rPr>
      </w:pPr>
      <w:bookmarkStart w:id="32" w:name="_Toc151354173"/>
      <w:r>
        <w:rPr>
          <w:rFonts w:hint="eastAsia" w:ascii="仿宋" w:hAnsi="仿宋" w:eastAsia="仿宋" w:cs="仿宋"/>
          <w:b/>
          <w:sz w:val="24"/>
        </w:rPr>
        <w:t>8.招标项目名称及数量：</w:t>
      </w:r>
    </w:p>
    <w:bookmarkEnd w:id="32"/>
    <w:p>
      <w:pPr>
        <w:spacing w:before="120" w:beforeLines="50" w:after="120" w:afterLines="50" w:line="240" w:lineRule="auto"/>
        <w:rPr>
          <w:rFonts w:ascii="仿宋" w:hAnsi="仿宋" w:eastAsia="仿宋" w:cs="仿宋"/>
          <w:sz w:val="24"/>
        </w:rPr>
      </w:pPr>
      <w:r>
        <w:rPr>
          <w:rFonts w:hint="eastAsia" w:ascii="仿宋" w:hAnsi="仿宋" w:eastAsia="仿宋" w:cs="仿宋"/>
          <w:b/>
          <w:sz w:val="24"/>
          <w:bdr w:val="single" w:color="auto" w:sz="4" w:space="0"/>
        </w:rPr>
        <w:t>01标</w:t>
      </w:r>
      <w:r>
        <w:rPr>
          <w:rFonts w:hint="eastAsia" w:ascii="仿宋" w:hAnsi="仿宋" w:eastAsia="仿宋" w:cs="仿宋"/>
          <w:b/>
          <w:sz w:val="24"/>
        </w:rPr>
        <w:t xml:space="preserve">  绍兴市人民医院污水处理系统更换升级项目   （预算：20 万元）</w:t>
      </w:r>
    </w:p>
    <w:p>
      <w:pPr>
        <w:tabs>
          <w:tab w:val="left" w:pos="3870"/>
          <w:tab w:val="left" w:pos="4085"/>
        </w:tabs>
        <w:snapToGrid w:val="0"/>
        <w:spacing w:line="360" w:lineRule="auto"/>
        <w:jc w:val="left"/>
        <w:rPr>
          <w:rFonts w:hint="eastAsia" w:ascii="仿宋" w:hAnsi="仿宋" w:eastAsia="仿宋" w:cs="仿宋"/>
          <w:b/>
          <w:bCs/>
          <w:sz w:val="24"/>
        </w:rPr>
      </w:pPr>
      <w:r>
        <w:rPr>
          <w:rFonts w:hint="eastAsia" w:ascii="仿宋" w:hAnsi="仿宋" w:eastAsia="仿宋" w:cs="仿宋"/>
          <w:b/>
          <w:bCs/>
          <w:sz w:val="24"/>
        </w:rPr>
        <w:t>一</w:t>
      </w:r>
      <w:r>
        <w:rPr>
          <w:rFonts w:hint="eastAsia" w:ascii="仿宋" w:hAnsi="仿宋" w:eastAsia="仿宋" w:cs="仿宋"/>
          <w:b/>
          <w:bCs/>
          <w:sz w:val="24"/>
        </w:rPr>
        <w:t>、概况</w:t>
      </w:r>
    </w:p>
    <w:p>
      <w:pPr>
        <w:tabs>
          <w:tab w:val="left" w:pos="3870"/>
          <w:tab w:val="left" w:pos="4085"/>
        </w:tabs>
        <w:snapToGrid w:val="0"/>
        <w:spacing w:line="360" w:lineRule="auto"/>
        <w:ind w:firstLine="480" w:firstLineChars="200"/>
        <w:jc w:val="left"/>
        <w:rPr>
          <w:rFonts w:hint="eastAsia" w:ascii="仿宋" w:hAnsi="仿宋" w:eastAsia="仿宋" w:cs="仿宋"/>
          <w:spacing w:val="0"/>
          <w:sz w:val="24"/>
          <w:szCs w:val="24"/>
        </w:rPr>
      </w:pPr>
      <w:r>
        <w:rPr>
          <w:rFonts w:hint="eastAsia" w:ascii="仿宋" w:hAnsi="仿宋" w:eastAsia="仿宋" w:cs="仿宋"/>
          <w:spacing w:val="0"/>
          <w:sz w:val="24"/>
          <w:szCs w:val="24"/>
        </w:rPr>
        <w:t>绍兴市人民医院污水处理系统目前日处理量约1800m³/d，每小时污水量约100 m³/d，医院污、废水经生化+消毒工艺处理后最终排入城市下水道。目前我院污水处理设备及配套设施老化（主要设备包含：二氧化氯发生器、盐酸罐槽、计量泵、管路），为确保出水到达</w:t>
      </w:r>
      <w:r>
        <w:rPr>
          <w:rFonts w:hint="eastAsia" w:ascii="仿宋" w:hAnsi="仿宋" w:eastAsia="仿宋" w:cs="仿宋"/>
          <w:spacing w:val="0"/>
          <w:sz w:val="24"/>
          <w:szCs w:val="24"/>
          <w:lang w:eastAsia="zh-CN"/>
        </w:rPr>
        <w:t>《</w:t>
      </w:r>
      <w:r>
        <w:rPr>
          <w:rFonts w:hint="eastAsia" w:ascii="仿宋" w:hAnsi="仿宋" w:eastAsia="仿宋" w:cs="仿宋"/>
          <w:spacing w:val="0"/>
          <w:sz w:val="24"/>
          <w:szCs w:val="24"/>
        </w:rPr>
        <w:t>医疗机构水污染物排放标准</w:t>
      </w:r>
      <w:r>
        <w:rPr>
          <w:rFonts w:hint="eastAsia" w:ascii="仿宋" w:hAnsi="仿宋" w:eastAsia="仿宋" w:cs="仿宋"/>
          <w:spacing w:val="0"/>
          <w:sz w:val="24"/>
          <w:szCs w:val="24"/>
          <w:lang w:eastAsia="zh-CN"/>
        </w:rPr>
        <w:t>》</w:t>
      </w:r>
      <w:r>
        <w:rPr>
          <w:rFonts w:hint="eastAsia" w:ascii="仿宋" w:hAnsi="仿宋" w:eastAsia="仿宋" w:cs="仿宋"/>
          <w:spacing w:val="0"/>
          <w:sz w:val="24"/>
          <w:szCs w:val="24"/>
        </w:rPr>
        <w:t>(GB18466-2005)中的预处理标准要求，将对污水处理设备及配套设施进行更新，确保污水设备运行及排放正常。</w:t>
      </w:r>
    </w:p>
    <w:p>
      <w:pPr>
        <w:numPr>
          <w:ilvl w:val="0"/>
          <w:numId w:val="0"/>
        </w:numPr>
        <w:tabs>
          <w:tab w:val="left" w:pos="3870"/>
          <w:tab w:val="left" w:pos="4085"/>
        </w:tabs>
        <w:snapToGrid w:val="0"/>
        <w:spacing w:line="360" w:lineRule="auto"/>
        <w:jc w:val="left"/>
        <w:rPr>
          <w:rFonts w:hint="eastAsia" w:ascii="仿宋" w:hAnsi="仿宋" w:eastAsia="仿宋" w:cs="仿宋"/>
          <w:b/>
          <w:bCs/>
          <w:spacing w:val="0"/>
          <w:sz w:val="24"/>
        </w:rPr>
      </w:pPr>
      <w:r>
        <w:rPr>
          <w:rFonts w:hint="eastAsia" w:ascii="仿宋" w:hAnsi="仿宋" w:eastAsia="仿宋" w:cs="仿宋"/>
          <w:b/>
          <w:bCs/>
          <w:spacing w:val="0"/>
          <w:kern w:val="2"/>
          <w:sz w:val="24"/>
          <w:szCs w:val="24"/>
          <w:lang w:val="en-US" w:eastAsia="zh-CN" w:bidi="ar-SA"/>
        </w:rPr>
        <w:t>二、</w:t>
      </w:r>
      <w:r>
        <w:rPr>
          <w:rFonts w:hint="eastAsia" w:ascii="仿宋" w:hAnsi="仿宋" w:eastAsia="仿宋" w:cs="仿宋"/>
          <w:b/>
          <w:bCs/>
          <w:spacing w:val="0"/>
          <w:sz w:val="24"/>
        </w:rPr>
        <w:t>招标内容：</w:t>
      </w:r>
    </w:p>
    <w:p>
      <w:pPr>
        <w:numPr>
          <w:numId w:val="0"/>
        </w:numPr>
        <w:tabs>
          <w:tab w:val="left" w:pos="3870"/>
          <w:tab w:val="left" w:pos="4085"/>
        </w:tabs>
        <w:snapToGrid w:val="0"/>
        <w:spacing w:line="360" w:lineRule="auto"/>
        <w:ind w:firstLine="480" w:firstLineChars="200"/>
        <w:jc w:val="left"/>
        <w:rPr>
          <w:rFonts w:hint="eastAsia" w:ascii="仿宋" w:hAnsi="仿宋" w:eastAsia="仿宋" w:cs="仿宋"/>
          <w:kern w:val="2"/>
          <w:sz w:val="24"/>
          <w:szCs w:val="24"/>
        </w:rPr>
      </w:pPr>
      <w:r>
        <w:rPr>
          <w:rFonts w:hint="eastAsia" w:ascii="仿宋" w:hAnsi="仿宋" w:eastAsia="仿宋" w:cs="仿宋"/>
          <w:kern w:val="2"/>
          <w:sz w:val="24"/>
          <w:szCs w:val="24"/>
        </w:rPr>
        <w:t>二氧化氯发生器主机、反应器、加热温控系统、计量泵、氯酸钠储罐、盐酸储罐、管路管件阀门电线电缆等相关配套设备。具体内容见下表：</w:t>
      </w:r>
    </w:p>
    <w:p>
      <w:pPr>
        <w:spacing w:line="360" w:lineRule="auto"/>
        <w:rPr>
          <w:rFonts w:ascii="仿宋" w:hAnsi="仿宋" w:eastAsia="仿宋"/>
          <w:b/>
          <w:spacing w:val="6"/>
          <w:sz w:val="24"/>
        </w:rPr>
      </w:pPr>
      <w:r>
        <w:rPr>
          <w:rFonts w:ascii="仿宋" w:hAnsi="仿宋" w:eastAsia="仿宋"/>
          <w:b/>
          <w:spacing w:val="6"/>
          <w:sz w:val="24"/>
        </w:rPr>
        <w:t>三、</w:t>
      </w:r>
      <w:r>
        <w:rPr>
          <w:rFonts w:hint="eastAsia" w:ascii="仿宋" w:hAnsi="仿宋" w:eastAsia="仿宋"/>
          <w:b/>
          <w:spacing w:val="6"/>
          <w:sz w:val="24"/>
        </w:rPr>
        <w:t>招</w:t>
      </w:r>
      <w:r>
        <w:rPr>
          <w:rFonts w:ascii="仿宋" w:hAnsi="仿宋" w:eastAsia="仿宋"/>
          <w:b/>
          <w:spacing w:val="6"/>
          <w:sz w:val="24"/>
        </w:rPr>
        <w:t>标清单：</w:t>
      </w:r>
    </w:p>
    <w:tbl>
      <w:tblPr>
        <w:tblStyle w:val="65"/>
        <w:tblpPr w:leftFromText="180" w:rightFromText="180" w:vertAnchor="text" w:horzAnchor="margin" w:tblpX="-167" w:tblpY="168"/>
        <w:tblOverlap w:val="never"/>
        <w:tblW w:w="522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1933"/>
        <w:gridCol w:w="2712"/>
        <w:gridCol w:w="950"/>
        <w:gridCol w:w="752"/>
        <w:gridCol w:w="741"/>
        <w:gridCol w:w="1027"/>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8" w:type="pct"/>
            <w:vAlign w:val="center"/>
          </w:tcPr>
          <w:p>
            <w:pPr>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1007" w:type="pct"/>
            <w:vAlign w:val="center"/>
          </w:tcPr>
          <w:p>
            <w:pPr>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设备名称</w:t>
            </w:r>
          </w:p>
        </w:tc>
        <w:tc>
          <w:tcPr>
            <w:tcW w:w="1413" w:type="pct"/>
            <w:vAlign w:val="center"/>
          </w:tcPr>
          <w:p>
            <w:pPr>
              <w:spacing w:line="240" w:lineRule="auto"/>
              <w:ind w:firstLine="482" w:firstLineChars="200"/>
              <w:jc w:val="center"/>
              <w:rPr>
                <w:rFonts w:hint="eastAsia" w:ascii="仿宋" w:hAnsi="仿宋" w:eastAsia="仿宋" w:cs="仿宋"/>
                <w:b/>
                <w:sz w:val="24"/>
                <w:szCs w:val="24"/>
              </w:rPr>
            </w:pPr>
            <w:r>
              <w:rPr>
                <w:rFonts w:hint="eastAsia" w:ascii="仿宋" w:hAnsi="仿宋" w:eastAsia="仿宋" w:cs="仿宋"/>
                <w:b/>
                <w:sz w:val="24"/>
                <w:szCs w:val="24"/>
              </w:rPr>
              <w:t>性能参数</w:t>
            </w:r>
          </w:p>
        </w:tc>
        <w:tc>
          <w:tcPr>
            <w:tcW w:w="495" w:type="pct"/>
            <w:vAlign w:val="center"/>
          </w:tcPr>
          <w:p>
            <w:pPr>
              <w:spacing w:line="240" w:lineRule="auto"/>
              <w:jc w:val="center"/>
              <w:rPr>
                <w:rFonts w:hint="eastAsia" w:ascii="仿宋" w:hAnsi="仿宋" w:eastAsia="仿宋" w:cs="仿宋"/>
                <w:b/>
                <w:sz w:val="24"/>
                <w:szCs w:val="24"/>
              </w:rPr>
            </w:pPr>
            <w:bookmarkStart w:id="185" w:name="_GoBack"/>
            <w:bookmarkEnd w:id="185"/>
            <w:r>
              <w:rPr>
                <w:rFonts w:hint="eastAsia" w:ascii="仿宋" w:hAnsi="仿宋" w:eastAsia="仿宋" w:cs="仿宋"/>
                <w:b/>
                <w:sz w:val="24"/>
                <w:szCs w:val="24"/>
              </w:rPr>
              <w:t>材料</w:t>
            </w:r>
          </w:p>
        </w:tc>
        <w:tc>
          <w:tcPr>
            <w:tcW w:w="392" w:type="pct"/>
            <w:vAlign w:val="center"/>
          </w:tcPr>
          <w:p>
            <w:pPr>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单位</w:t>
            </w:r>
          </w:p>
        </w:tc>
        <w:tc>
          <w:tcPr>
            <w:tcW w:w="386" w:type="pct"/>
            <w:vAlign w:val="center"/>
          </w:tcPr>
          <w:p>
            <w:pPr>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数量</w:t>
            </w:r>
          </w:p>
        </w:tc>
        <w:tc>
          <w:tcPr>
            <w:tcW w:w="535" w:type="pct"/>
            <w:vAlign w:val="center"/>
          </w:tcPr>
          <w:p>
            <w:pPr>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上限单价（元）</w:t>
            </w:r>
          </w:p>
        </w:tc>
        <w:tc>
          <w:tcPr>
            <w:tcW w:w="500" w:type="pct"/>
            <w:vAlign w:val="center"/>
          </w:tcPr>
          <w:p>
            <w:pPr>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8"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1007" w:type="pct"/>
            <w:vAlign w:val="center"/>
          </w:tcPr>
          <w:p>
            <w:pPr>
              <w:spacing w:line="240" w:lineRule="auto"/>
              <w:jc w:val="both"/>
              <w:rPr>
                <w:rFonts w:hint="eastAsia" w:ascii="仿宋" w:hAnsi="仿宋" w:eastAsia="仿宋" w:cs="仿宋"/>
                <w:kern w:val="0"/>
                <w:sz w:val="24"/>
                <w:szCs w:val="24"/>
              </w:rPr>
            </w:pPr>
            <w:r>
              <w:rPr>
                <w:rFonts w:hint="eastAsia" w:ascii="仿宋" w:hAnsi="仿宋" w:eastAsia="仿宋" w:cs="仿宋"/>
                <w:kern w:val="0"/>
                <w:sz w:val="24"/>
                <w:szCs w:val="24"/>
              </w:rPr>
              <w:t>二氧化氯发生器主机</w:t>
            </w:r>
            <w:r>
              <w:rPr>
                <w:rFonts w:hint="eastAsia" w:ascii="仿宋" w:hAnsi="仿宋" w:eastAsia="仿宋" w:cs="仿宋"/>
                <w:color w:val="FF0000"/>
                <w:kern w:val="0"/>
                <w:sz w:val="24"/>
                <w:szCs w:val="24"/>
              </w:rPr>
              <w:t>（核心产品）</w:t>
            </w:r>
          </w:p>
        </w:tc>
        <w:tc>
          <w:tcPr>
            <w:tcW w:w="1413"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CPF-5000二氧化氯产量5000克</w:t>
            </w:r>
          </w:p>
        </w:tc>
        <w:tc>
          <w:tcPr>
            <w:tcW w:w="495"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组合件</w:t>
            </w:r>
          </w:p>
        </w:tc>
        <w:tc>
          <w:tcPr>
            <w:tcW w:w="392"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台</w:t>
            </w:r>
          </w:p>
        </w:tc>
        <w:tc>
          <w:tcPr>
            <w:tcW w:w="386"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535"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97250</w:t>
            </w:r>
          </w:p>
        </w:tc>
        <w:tc>
          <w:tcPr>
            <w:tcW w:w="500" w:type="pct"/>
            <w:vMerge w:val="restar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化学法</w:t>
            </w:r>
          </w:p>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成套设备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8"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c>
          <w:tcPr>
            <w:tcW w:w="1007"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反应器</w:t>
            </w:r>
          </w:p>
        </w:tc>
        <w:tc>
          <w:tcPr>
            <w:tcW w:w="1413"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可拆卸式钛合金反应</w:t>
            </w:r>
          </w:p>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Φ（200mm×400mm）</w:t>
            </w:r>
          </w:p>
        </w:tc>
        <w:tc>
          <w:tcPr>
            <w:tcW w:w="495"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钛合金</w:t>
            </w:r>
          </w:p>
        </w:tc>
        <w:tc>
          <w:tcPr>
            <w:tcW w:w="392"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只</w:t>
            </w:r>
          </w:p>
        </w:tc>
        <w:tc>
          <w:tcPr>
            <w:tcW w:w="386"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535"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28500</w:t>
            </w:r>
          </w:p>
        </w:tc>
        <w:tc>
          <w:tcPr>
            <w:tcW w:w="500" w:type="pct"/>
            <w:vMerge w:val="continue"/>
            <w:vAlign w:val="center"/>
          </w:tcPr>
          <w:p>
            <w:pPr>
              <w:spacing w:line="240" w:lineRule="auto"/>
              <w:jc w:val="center"/>
              <w:rPr>
                <w:rFonts w:hint="eastAsia" w:ascii="仿宋" w:hAnsi="仿宋" w:eastAsia="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8"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3</w:t>
            </w:r>
          </w:p>
        </w:tc>
        <w:tc>
          <w:tcPr>
            <w:tcW w:w="1007"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加热温控系统</w:t>
            </w:r>
          </w:p>
        </w:tc>
        <w:tc>
          <w:tcPr>
            <w:tcW w:w="1413"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干式膜加热，自动恒温控制系统</w:t>
            </w:r>
          </w:p>
        </w:tc>
        <w:tc>
          <w:tcPr>
            <w:tcW w:w="495"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组合件</w:t>
            </w:r>
          </w:p>
        </w:tc>
        <w:tc>
          <w:tcPr>
            <w:tcW w:w="392"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套</w:t>
            </w:r>
          </w:p>
        </w:tc>
        <w:tc>
          <w:tcPr>
            <w:tcW w:w="386"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535"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9790</w:t>
            </w:r>
          </w:p>
        </w:tc>
        <w:tc>
          <w:tcPr>
            <w:tcW w:w="500" w:type="pct"/>
            <w:vMerge w:val="continue"/>
            <w:vAlign w:val="center"/>
          </w:tcPr>
          <w:p>
            <w:pPr>
              <w:spacing w:line="240" w:lineRule="auto"/>
              <w:jc w:val="center"/>
              <w:rPr>
                <w:rFonts w:hint="eastAsia" w:ascii="仿宋" w:hAnsi="仿宋" w:eastAsia="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8"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4</w:t>
            </w:r>
          </w:p>
        </w:tc>
        <w:tc>
          <w:tcPr>
            <w:tcW w:w="1007"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计量泵</w:t>
            </w:r>
          </w:p>
        </w:tc>
        <w:tc>
          <w:tcPr>
            <w:tcW w:w="1413"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盐酸和氯酸钠各一台</w:t>
            </w:r>
          </w:p>
        </w:tc>
        <w:tc>
          <w:tcPr>
            <w:tcW w:w="495"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组合件</w:t>
            </w:r>
          </w:p>
        </w:tc>
        <w:tc>
          <w:tcPr>
            <w:tcW w:w="392"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台</w:t>
            </w:r>
          </w:p>
        </w:tc>
        <w:tc>
          <w:tcPr>
            <w:tcW w:w="386"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2</w:t>
            </w:r>
          </w:p>
        </w:tc>
        <w:tc>
          <w:tcPr>
            <w:tcW w:w="535" w:type="pct"/>
            <w:vAlign w:val="center"/>
          </w:tcPr>
          <w:p>
            <w:pPr>
              <w:spacing w:line="240" w:lineRule="auto"/>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12650</w:t>
            </w:r>
          </w:p>
        </w:tc>
        <w:tc>
          <w:tcPr>
            <w:tcW w:w="500" w:type="pct"/>
            <w:vAlign w:val="center"/>
          </w:tcPr>
          <w:p>
            <w:pPr>
              <w:spacing w:line="240" w:lineRule="auto"/>
              <w:jc w:val="center"/>
              <w:rPr>
                <w:rFonts w:hint="eastAsia" w:ascii="仿宋" w:hAnsi="仿宋" w:eastAsia="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8"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5</w:t>
            </w:r>
          </w:p>
        </w:tc>
        <w:tc>
          <w:tcPr>
            <w:tcW w:w="1007" w:type="pct"/>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氯酸钠储罐</w:t>
            </w:r>
          </w:p>
        </w:tc>
        <w:tc>
          <w:tcPr>
            <w:tcW w:w="1413" w:type="pct"/>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(Φ300mm×1850mm)2m³</w:t>
            </w:r>
          </w:p>
        </w:tc>
        <w:tc>
          <w:tcPr>
            <w:tcW w:w="495" w:type="pct"/>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 xml:space="preserve">PE </w:t>
            </w:r>
          </w:p>
        </w:tc>
        <w:tc>
          <w:tcPr>
            <w:tcW w:w="392" w:type="pct"/>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只</w:t>
            </w:r>
          </w:p>
        </w:tc>
        <w:tc>
          <w:tcPr>
            <w:tcW w:w="386" w:type="pct"/>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535" w:type="pct"/>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4950</w:t>
            </w:r>
          </w:p>
        </w:tc>
        <w:tc>
          <w:tcPr>
            <w:tcW w:w="500" w:type="pct"/>
          </w:tcPr>
          <w:p>
            <w:pPr>
              <w:spacing w:line="240" w:lineRule="auto"/>
              <w:jc w:val="center"/>
              <w:rPr>
                <w:rFonts w:hint="eastAsia" w:ascii="仿宋" w:hAnsi="仿宋" w:eastAsia="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8"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6</w:t>
            </w:r>
          </w:p>
        </w:tc>
        <w:tc>
          <w:tcPr>
            <w:tcW w:w="1007" w:type="pct"/>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氯酸钠化料器</w:t>
            </w:r>
          </w:p>
        </w:tc>
        <w:tc>
          <w:tcPr>
            <w:tcW w:w="1413" w:type="pct"/>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配套氯酸钠储罐使用</w:t>
            </w:r>
          </w:p>
        </w:tc>
        <w:tc>
          <w:tcPr>
            <w:tcW w:w="495" w:type="pct"/>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PVC</w:t>
            </w:r>
          </w:p>
        </w:tc>
        <w:tc>
          <w:tcPr>
            <w:tcW w:w="392" w:type="pct"/>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台</w:t>
            </w:r>
          </w:p>
        </w:tc>
        <w:tc>
          <w:tcPr>
            <w:tcW w:w="386" w:type="pct"/>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535" w:type="pct"/>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7150</w:t>
            </w:r>
          </w:p>
        </w:tc>
        <w:tc>
          <w:tcPr>
            <w:tcW w:w="500" w:type="pct"/>
          </w:tcPr>
          <w:p>
            <w:pPr>
              <w:spacing w:line="240" w:lineRule="auto"/>
              <w:jc w:val="center"/>
              <w:rPr>
                <w:rFonts w:hint="eastAsia" w:ascii="仿宋" w:hAnsi="仿宋" w:eastAsia="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8"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7</w:t>
            </w:r>
          </w:p>
        </w:tc>
        <w:tc>
          <w:tcPr>
            <w:tcW w:w="1007" w:type="pct"/>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盐酸储罐</w:t>
            </w:r>
          </w:p>
        </w:tc>
        <w:tc>
          <w:tcPr>
            <w:tcW w:w="1413" w:type="pct"/>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(Φ1840mm×2300mm)5m³</w:t>
            </w:r>
          </w:p>
        </w:tc>
        <w:tc>
          <w:tcPr>
            <w:tcW w:w="495" w:type="pct"/>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 xml:space="preserve">PE </w:t>
            </w:r>
          </w:p>
        </w:tc>
        <w:tc>
          <w:tcPr>
            <w:tcW w:w="392" w:type="pct"/>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只</w:t>
            </w:r>
          </w:p>
        </w:tc>
        <w:tc>
          <w:tcPr>
            <w:tcW w:w="386" w:type="pct"/>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535" w:type="pct"/>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6850</w:t>
            </w:r>
          </w:p>
        </w:tc>
        <w:tc>
          <w:tcPr>
            <w:tcW w:w="500" w:type="pct"/>
          </w:tcPr>
          <w:p>
            <w:pPr>
              <w:spacing w:line="240" w:lineRule="auto"/>
              <w:jc w:val="center"/>
              <w:rPr>
                <w:rFonts w:hint="eastAsia" w:ascii="仿宋" w:hAnsi="仿宋" w:eastAsia="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8"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8</w:t>
            </w:r>
          </w:p>
        </w:tc>
        <w:tc>
          <w:tcPr>
            <w:tcW w:w="1007" w:type="pct"/>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卸酸泵</w:t>
            </w:r>
          </w:p>
        </w:tc>
        <w:tc>
          <w:tcPr>
            <w:tcW w:w="1413" w:type="pct"/>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配套盐酸储罐使用</w:t>
            </w:r>
          </w:p>
        </w:tc>
        <w:tc>
          <w:tcPr>
            <w:tcW w:w="495" w:type="pct"/>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组合件</w:t>
            </w:r>
          </w:p>
        </w:tc>
        <w:tc>
          <w:tcPr>
            <w:tcW w:w="392" w:type="pct"/>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台</w:t>
            </w:r>
          </w:p>
        </w:tc>
        <w:tc>
          <w:tcPr>
            <w:tcW w:w="386" w:type="pct"/>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535" w:type="pct"/>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3850</w:t>
            </w:r>
          </w:p>
        </w:tc>
        <w:tc>
          <w:tcPr>
            <w:tcW w:w="500" w:type="pct"/>
          </w:tcPr>
          <w:p>
            <w:pPr>
              <w:spacing w:line="240" w:lineRule="auto"/>
              <w:jc w:val="center"/>
              <w:rPr>
                <w:rFonts w:hint="eastAsia" w:ascii="仿宋" w:hAnsi="仿宋" w:eastAsia="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8"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9</w:t>
            </w:r>
          </w:p>
        </w:tc>
        <w:tc>
          <w:tcPr>
            <w:tcW w:w="1007"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投加附件</w:t>
            </w:r>
          </w:p>
        </w:tc>
        <w:tc>
          <w:tcPr>
            <w:tcW w:w="1413"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含转子流量计，电接点压力表等设备间所有管件</w:t>
            </w:r>
          </w:p>
        </w:tc>
        <w:tc>
          <w:tcPr>
            <w:tcW w:w="495"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组合件</w:t>
            </w:r>
          </w:p>
        </w:tc>
        <w:tc>
          <w:tcPr>
            <w:tcW w:w="392"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套</w:t>
            </w:r>
          </w:p>
        </w:tc>
        <w:tc>
          <w:tcPr>
            <w:tcW w:w="386"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535"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7480</w:t>
            </w:r>
          </w:p>
        </w:tc>
        <w:tc>
          <w:tcPr>
            <w:tcW w:w="500" w:type="pct"/>
            <w:vAlign w:val="center"/>
          </w:tcPr>
          <w:p>
            <w:pPr>
              <w:spacing w:line="240" w:lineRule="auto"/>
              <w:jc w:val="center"/>
              <w:rPr>
                <w:rFonts w:hint="eastAsia" w:ascii="仿宋" w:hAnsi="仿宋" w:eastAsia="仿宋" w:cs="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8"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10</w:t>
            </w:r>
          </w:p>
        </w:tc>
        <w:tc>
          <w:tcPr>
            <w:tcW w:w="1007"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管路管件阀门电线电缆等</w:t>
            </w:r>
          </w:p>
        </w:tc>
        <w:tc>
          <w:tcPr>
            <w:tcW w:w="1413"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满足工程量需求</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交钥匙</w:t>
            </w:r>
          </w:p>
        </w:tc>
        <w:tc>
          <w:tcPr>
            <w:tcW w:w="495"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组合件</w:t>
            </w:r>
          </w:p>
        </w:tc>
        <w:tc>
          <w:tcPr>
            <w:tcW w:w="392"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套</w:t>
            </w:r>
          </w:p>
        </w:tc>
        <w:tc>
          <w:tcPr>
            <w:tcW w:w="386"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535" w:type="pct"/>
            <w:vAlign w:val="center"/>
          </w:tcPr>
          <w:p>
            <w:pPr>
              <w:spacing w:line="24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8880</w:t>
            </w:r>
          </w:p>
        </w:tc>
        <w:tc>
          <w:tcPr>
            <w:tcW w:w="500" w:type="pct"/>
            <w:vAlign w:val="center"/>
          </w:tcPr>
          <w:p>
            <w:pPr>
              <w:spacing w:line="240" w:lineRule="auto"/>
              <w:jc w:val="center"/>
              <w:rPr>
                <w:rFonts w:hint="eastAsia" w:ascii="仿宋" w:hAnsi="仿宋" w:eastAsia="仿宋" w:cs="仿宋"/>
                <w:kern w:val="0"/>
                <w:sz w:val="24"/>
                <w:szCs w:val="24"/>
              </w:rPr>
            </w:pPr>
          </w:p>
        </w:tc>
      </w:tr>
    </w:tbl>
    <w:p>
      <w:pPr>
        <w:snapToGrid w:val="0"/>
        <w:spacing w:line="360" w:lineRule="auto"/>
        <w:rPr>
          <w:rFonts w:ascii="仿宋" w:hAnsi="仿宋" w:eastAsia="仿宋"/>
          <w:b/>
          <w:sz w:val="24"/>
          <w:szCs w:val="24"/>
        </w:rPr>
      </w:pPr>
      <w:r>
        <w:rPr>
          <w:rFonts w:hint="eastAsia" w:ascii="仿宋" w:hAnsi="仿宋" w:eastAsia="仿宋"/>
          <w:b/>
          <w:sz w:val="24"/>
          <w:szCs w:val="24"/>
        </w:rPr>
        <w:t>注：1、</w:t>
      </w:r>
      <w:r>
        <w:rPr>
          <w:rFonts w:hint="eastAsia" w:ascii="仿宋" w:hAnsi="仿宋" w:eastAsia="仿宋" w:cs="宋体"/>
          <w:b/>
          <w:kern w:val="0"/>
          <w:sz w:val="24"/>
          <w:szCs w:val="24"/>
        </w:rPr>
        <w:t>二氧化氯发生器</w:t>
      </w:r>
      <w:r>
        <w:rPr>
          <w:rFonts w:hint="eastAsia" w:ascii="仿宋" w:hAnsi="仿宋" w:eastAsia="仿宋"/>
          <w:b/>
          <w:sz w:val="24"/>
          <w:szCs w:val="24"/>
        </w:rPr>
        <w:t>参考品牌：南京水夫、湖南智和、济南德林达。</w:t>
      </w:r>
    </w:p>
    <w:p>
      <w:pPr>
        <w:pStyle w:val="800"/>
        <w:spacing w:line="360" w:lineRule="auto"/>
        <w:ind w:firstLine="422"/>
        <w:rPr>
          <w:rFonts w:ascii="仿宋" w:hAnsi="仿宋" w:eastAsia="仿宋"/>
          <w:b/>
          <w:sz w:val="24"/>
          <w:szCs w:val="24"/>
        </w:rPr>
      </w:pPr>
      <w:r>
        <w:rPr>
          <w:rFonts w:hint="eastAsia" w:ascii="仿宋" w:hAnsi="仿宋" w:eastAsia="仿宋"/>
          <w:b/>
          <w:sz w:val="24"/>
          <w:szCs w:val="24"/>
        </w:rPr>
        <w:t>2、本次就对绍兴市人民医院</w:t>
      </w:r>
      <w:r>
        <w:rPr>
          <w:rFonts w:hint="eastAsia" w:ascii="仿宋" w:hAnsi="仿宋" w:eastAsia="仿宋"/>
          <w:b/>
          <w:spacing w:val="6"/>
          <w:sz w:val="24"/>
          <w:szCs w:val="24"/>
        </w:rPr>
        <w:t>污水处理设备及配套</w:t>
      </w:r>
      <w:r>
        <w:rPr>
          <w:rFonts w:hint="eastAsia" w:ascii="仿宋" w:hAnsi="仿宋" w:eastAsia="仿宋"/>
          <w:b/>
          <w:sz w:val="24"/>
          <w:szCs w:val="24"/>
        </w:rPr>
        <w:t>设备进行更新换代，污水处理工艺和流程不变。</w:t>
      </w:r>
    </w:p>
    <w:p>
      <w:pPr>
        <w:pStyle w:val="965"/>
        <w:spacing w:line="360" w:lineRule="auto"/>
        <w:ind w:left="0" w:leftChars="0" w:firstLine="482" w:firstLineChars="200"/>
        <w:rPr>
          <w:rFonts w:ascii="仿宋" w:hAnsi="仿宋" w:eastAsia="仿宋" w:cs="仿宋"/>
          <w:b/>
          <w:sz w:val="24"/>
          <w:szCs w:val="24"/>
        </w:rPr>
      </w:pPr>
      <w:r>
        <w:rPr>
          <w:rFonts w:hint="eastAsia" w:ascii="仿宋" w:hAnsi="仿宋" w:eastAsia="仿宋"/>
          <w:b/>
          <w:sz w:val="24"/>
          <w:szCs w:val="24"/>
        </w:rPr>
        <w:t>3、</w:t>
      </w:r>
      <w:r>
        <w:rPr>
          <w:rFonts w:hint="eastAsia" w:ascii="仿宋" w:hAnsi="仿宋" w:eastAsia="仿宋" w:cs="仿宋"/>
          <w:b/>
          <w:sz w:val="24"/>
          <w:szCs w:val="24"/>
        </w:rPr>
        <w:t>以上所有涉及的招标清单，投标方需要根据医院实际使用及运行现状，做详细的施工改造和备用排放方案。</w:t>
      </w:r>
    </w:p>
    <w:p>
      <w:pPr>
        <w:tabs>
          <w:tab w:val="left" w:pos="3870"/>
          <w:tab w:val="left" w:pos="4085"/>
        </w:tabs>
        <w:snapToGrid w:val="0"/>
        <w:spacing w:line="360" w:lineRule="auto"/>
        <w:jc w:val="left"/>
        <w:rPr>
          <w:rFonts w:ascii="仿宋" w:hAnsi="仿宋" w:eastAsia="仿宋" w:cs="仿宋"/>
          <w:b/>
          <w:bCs/>
          <w:sz w:val="24"/>
          <w:szCs w:val="24"/>
        </w:rPr>
      </w:pPr>
      <w:r>
        <w:rPr>
          <w:rFonts w:hint="eastAsia" w:ascii="仿宋" w:hAnsi="仿宋" w:eastAsia="仿宋" w:cs="仿宋"/>
          <w:b/>
          <w:bCs/>
          <w:sz w:val="24"/>
          <w:szCs w:val="24"/>
        </w:rPr>
        <w:t>四、排放标准及规范</w:t>
      </w:r>
    </w:p>
    <w:p>
      <w:pPr>
        <w:tabs>
          <w:tab w:val="left" w:pos="3870"/>
          <w:tab w:val="left" w:pos="4085"/>
        </w:tabs>
        <w:snapToGrid w:val="0"/>
        <w:spacing w:line="360" w:lineRule="auto"/>
        <w:jc w:val="left"/>
        <w:rPr>
          <w:rFonts w:ascii="仿宋" w:hAnsi="仿宋" w:eastAsia="仿宋" w:cs="仿宋"/>
          <w:sz w:val="24"/>
          <w:szCs w:val="24"/>
        </w:rPr>
      </w:pPr>
      <w:r>
        <w:rPr>
          <w:rFonts w:hint="eastAsia" w:ascii="仿宋" w:hAnsi="仿宋" w:eastAsia="仿宋" w:cs="仿宋"/>
          <w:sz w:val="24"/>
          <w:szCs w:val="24"/>
        </w:rPr>
        <w:t xml:space="preserve">1.《污水综合排放标准》GB8978-1996                                                                                                                                                                                                                                                                                                                                                             </w:t>
      </w:r>
    </w:p>
    <w:p>
      <w:pPr>
        <w:tabs>
          <w:tab w:val="left" w:pos="3870"/>
          <w:tab w:val="left" w:pos="4085"/>
        </w:tabs>
        <w:snapToGrid w:val="0"/>
        <w:spacing w:line="360" w:lineRule="auto"/>
        <w:jc w:val="left"/>
        <w:rPr>
          <w:rFonts w:ascii="仿宋" w:hAnsi="仿宋" w:eastAsia="仿宋" w:cs="仿宋"/>
          <w:sz w:val="24"/>
          <w:szCs w:val="24"/>
        </w:rPr>
      </w:pPr>
      <w:r>
        <w:rPr>
          <w:rFonts w:hint="eastAsia" w:ascii="仿宋" w:hAnsi="仿宋" w:eastAsia="仿宋" w:cs="仿宋"/>
          <w:sz w:val="24"/>
          <w:szCs w:val="24"/>
        </w:rPr>
        <w:t>2.《二氧化氯消毒剂发生器安全与卫生标准》GB28931</w:t>
      </w:r>
    </w:p>
    <w:p>
      <w:pPr>
        <w:tabs>
          <w:tab w:val="left" w:pos="3870"/>
          <w:tab w:val="left" w:pos="4085"/>
        </w:tabs>
        <w:snapToGrid w:val="0"/>
        <w:spacing w:line="360" w:lineRule="auto"/>
        <w:jc w:val="left"/>
        <w:rPr>
          <w:rFonts w:ascii="仿宋" w:hAnsi="仿宋" w:eastAsia="仿宋" w:cs="仿宋"/>
          <w:sz w:val="24"/>
          <w:szCs w:val="24"/>
        </w:rPr>
      </w:pPr>
      <w:r>
        <w:rPr>
          <w:rFonts w:hint="eastAsia" w:ascii="仿宋" w:hAnsi="仿宋" w:eastAsia="仿宋" w:cs="仿宋"/>
          <w:sz w:val="24"/>
          <w:szCs w:val="24"/>
        </w:rPr>
        <w:t>3. 《二氧化氯消毒剂发生器安全与卫生标准》GB28931</w:t>
      </w:r>
    </w:p>
    <w:p>
      <w:pPr>
        <w:tabs>
          <w:tab w:val="left" w:pos="3870"/>
          <w:tab w:val="left" w:pos="4085"/>
        </w:tabs>
        <w:snapToGrid w:val="0"/>
        <w:spacing w:line="360" w:lineRule="auto"/>
        <w:jc w:val="left"/>
        <w:rPr>
          <w:rFonts w:ascii="仿宋" w:hAnsi="仿宋" w:eastAsia="仿宋" w:cs="仿宋"/>
          <w:sz w:val="24"/>
          <w:szCs w:val="24"/>
        </w:rPr>
      </w:pPr>
      <w:r>
        <w:rPr>
          <w:rFonts w:hint="eastAsia" w:ascii="仿宋" w:hAnsi="仿宋" w:eastAsia="仿宋" w:cs="仿宋"/>
          <w:sz w:val="24"/>
          <w:szCs w:val="24"/>
        </w:rPr>
        <w:t xml:space="preserve">4. 《二氧化氯消毒剂卫生标准》GB26366 </w:t>
      </w:r>
    </w:p>
    <w:p>
      <w:pPr>
        <w:tabs>
          <w:tab w:val="left" w:pos="3870"/>
          <w:tab w:val="left" w:pos="4085"/>
        </w:tabs>
        <w:snapToGrid w:val="0"/>
        <w:spacing w:line="360" w:lineRule="auto"/>
        <w:jc w:val="left"/>
        <w:rPr>
          <w:rFonts w:ascii="仿宋" w:hAnsi="仿宋" w:eastAsia="仿宋" w:cs="仿宋"/>
          <w:sz w:val="24"/>
          <w:szCs w:val="24"/>
        </w:rPr>
      </w:pPr>
      <w:r>
        <w:rPr>
          <w:rFonts w:hint="eastAsia" w:ascii="仿宋" w:hAnsi="仿宋" w:eastAsia="仿宋" w:cs="仿宋"/>
          <w:sz w:val="24"/>
          <w:szCs w:val="24"/>
        </w:rPr>
        <w:t>5.《医院污水处理工程技术规范》HJ2029-2013</w:t>
      </w:r>
    </w:p>
    <w:p>
      <w:pPr>
        <w:tabs>
          <w:tab w:val="left" w:pos="3870"/>
          <w:tab w:val="left" w:pos="4085"/>
        </w:tabs>
        <w:snapToGrid w:val="0"/>
        <w:spacing w:line="360" w:lineRule="auto"/>
        <w:jc w:val="left"/>
        <w:rPr>
          <w:rFonts w:ascii="仿宋" w:hAnsi="仿宋" w:eastAsia="仿宋" w:cs="仿宋"/>
          <w:sz w:val="24"/>
          <w:szCs w:val="24"/>
        </w:rPr>
      </w:pPr>
      <w:r>
        <w:rPr>
          <w:rFonts w:hint="eastAsia" w:ascii="仿宋" w:hAnsi="仿宋" w:eastAsia="仿宋" w:cs="仿宋"/>
          <w:sz w:val="24"/>
          <w:szCs w:val="24"/>
        </w:rPr>
        <w:t>6.《给水排水管道工程施工及验收规范》GB 50268-2008）</w:t>
      </w:r>
    </w:p>
    <w:p>
      <w:pPr>
        <w:tabs>
          <w:tab w:val="left" w:pos="3870"/>
          <w:tab w:val="left" w:pos="4085"/>
        </w:tabs>
        <w:snapToGrid w:val="0"/>
        <w:spacing w:line="360" w:lineRule="auto"/>
        <w:jc w:val="left"/>
        <w:rPr>
          <w:rFonts w:ascii="仿宋" w:hAnsi="仿宋" w:eastAsia="仿宋" w:cs="仿宋"/>
          <w:sz w:val="24"/>
          <w:szCs w:val="24"/>
        </w:rPr>
      </w:pPr>
      <w:r>
        <w:rPr>
          <w:rFonts w:hint="eastAsia" w:ascii="仿宋" w:hAnsi="仿宋" w:eastAsia="仿宋" w:cs="仿宋"/>
          <w:sz w:val="24"/>
          <w:szCs w:val="24"/>
        </w:rPr>
        <w:t>7．《电气装置安装工程电缆线路施工及验收规范》（GB 50168—2006）</w:t>
      </w:r>
    </w:p>
    <w:p>
      <w:pPr>
        <w:tabs>
          <w:tab w:val="left" w:pos="3870"/>
          <w:tab w:val="left" w:pos="4085"/>
        </w:tabs>
        <w:snapToGrid w:val="0"/>
        <w:spacing w:line="360" w:lineRule="auto"/>
        <w:jc w:val="left"/>
        <w:rPr>
          <w:rFonts w:ascii="仿宋" w:hAnsi="仿宋" w:eastAsia="仿宋" w:cs="仿宋"/>
          <w:sz w:val="24"/>
          <w:szCs w:val="24"/>
        </w:rPr>
      </w:pPr>
      <w:r>
        <w:rPr>
          <w:rFonts w:hint="eastAsia" w:ascii="仿宋" w:hAnsi="仿宋" w:eastAsia="仿宋" w:cs="仿宋"/>
          <w:sz w:val="24"/>
          <w:szCs w:val="24"/>
        </w:rPr>
        <w:t>8. 《化学法复合二氧化氯发生器》GB/T20621</w:t>
      </w:r>
    </w:p>
    <w:p>
      <w:pPr>
        <w:pStyle w:val="39"/>
        <w:snapToGrid w:val="0"/>
        <w:spacing w:line="360" w:lineRule="auto"/>
        <w:ind w:firstLine="0"/>
        <w:rPr>
          <w:rFonts w:ascii="仿宋" w:hAnsi="仿宋" w:eastAsia="仿宋" w:cs="仿宋"/>
          <w:b/>
          <w:sz w:val="24"/>
          <w:szCs w:val="24"/>
        </w:rPr>
      </w:pPr>
      <w:r>
        <w:rPr>
          <w:rFonts w:hint="eastAsia" w:ascii="仿宋" w:hAnsi="仿宋" w:eastAsia="仿宋" w:cs="仿宋"/>
          <w:b/>
          <w:sz w:val="24"/>
          <w:szCs w:val="24"/>
        </w:rPr>
        <w:t>注：氨氮以当地环保管理部门要求为准。</w:t>
      </w:r>
    </w:p>
    <w:p>
      <w:pPr>
        <w:pStyle w:val="965"/>
        <w:spacing w:line="360" w:lineRule="auto"/>
        <w:ind w:firstLine="0" w:firstLineChars="0"/>
        <w:rPr>
          <w:rFonts w:ascii="仿宋" w:hAnsi="仿宋" w:eastAsia="仿宋" w:cs="仿宋"/>
          <w:b/>
          <w:spacing w:val="6"/>
          <w:sz w:val="24"/>
          <w:szCs w:val="24"/>
          <w:highlight w:val="none"/>
        </w:rPr>
      </w:pPr>
      <w:r>
        <w:rPr>
          <w:rFonts w:hint="eastAsia" w:ascii="仿宋" w:hAnsi="仿宋" w:eastAsia="仿宋" w:cs="仿宋"/>
          <w:b/>
          <w:spacing w:val="6"/>
          <w:sz w:val="24"/>
          <w:szCs w:val="24"/>
        </w:rPr>
        <w:t>五、产品性能和技术</w:t>
      </w:r>
      <w:r>
        <w:rPr>
          <w:rFonts w:hint="eastAsia" w:ascii="仿宋" w:hAnsi="仿宋" w:eastAsia="仿宋" w:cs="仿宋"/>
          <w:b/>
          <w:spacing w:val="6"/>
          <w:sz w:val="24"/>
          <w:szCs w:val="24"/>
          <w:highlight w:val="none"/>
        </w:rPr>
        <w:t>参数</w:t>
      </w:r>
    </w:p>
    <w:p>
      <w:pPr>
        <w:pStyle w:val="965"/>
        <w:spacing w:line="360" w:lineRule="auto"/>
        <w:ind w:firstLine="48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b/>
          <w:sz w:val="24"/>
          <w:szCs w:val="24"/>
          <w:highlight w:val="none"/>
        </w:rPr>
        <w:t>二氧化氯发生器主机：</w:t>
      </w:r>
      <w:r>
        <w:rPr>
          <w:rFonts w:hint="eastAsia" w:ascii="仿宋" w:hAnsi="仿宋" w:eastAsia="仿宋" w:cs="仿宋"/>
          <w:sz w:val="24"/>
          <w:szCs w:val="24"/>
          <w:highlight w:val="none"/>
        </w:rPr>
        <w:t>单台二氧化氯产量≥</w:t>
      </w:r>
      <w:r>
        <w:rPr>
          <w:rFonts w:ascii="仿宋" w:hAnsi="仿宋" w:eastAsia="仿宋" w:cs="仿宋"/>
          <w:sz w:val="24"/>
          <w:szCs w:val="24"/>
          <w:highlight w:val="none"/>
        </w:rPr>
        <w:t>5000克/小时</w:t>
      </w:r>
      <w:r>
        <w:rPr>
          <w:rFonts w:hint="eastAsia" w:ascii="仿宋" w:hAnsi="仿宋" w:eastAsia="仿宋" w:cs="仿宋"/>
          <w:sz w:val="24"/>
          <w:szCs w:val="24"/>
          <w:highlight w:val="none"/>
        </w:rPr>
        <w:t>，调节范围50%-100%。ClO</w:t>
      </w:r>
      <w:r>
        <w:rPr>
          <w:rFonts w:hint="eastAsia" w:ascii="仿宋" w:hAnsi="仿宋" w:eastAsia="仿宋" w:cs="仿宋"/>
          <w:sz w:val="24"/>
          <w:szCs w:val="24"/>
          <w:highlight w:val="none"/>
          <w:vertAlign w:val="subscript"/>
        </w:rPr>
        <w:t>2</w:t>
      </w:r>
      <w:r>
        <w:rPr>
          <w:rFonts w:hint="eastAsia" w:ascii="仿宋" w:hAnsi="仿宋" w:eastAsia="仿宋" w:cs="仿宋"/>
          <w:sz w:val="24"/>
          <w:szCs w:val="24"/>
          <w:highlight w:val="none"/>
        </w:rPr>
        <w:t>制备含量:≥70%(有效氯计);NaClo</w:t>
      </w:r>
      <w:r>
        <w:rPr>
          <w:rFonts w:hint="eastAsia" w:ascii="仿宋" w:hAnsi="仿宋" w:eastAsia="仿宋" w:cs="仿宋"/>
          <w:sz w:val="24"/>
          <w:szCs w:val="24"/>
          <w:highlight w:val="none"/>
          <w:vertAlign w:val="subscript"/>
        </w:rPr>
        <w:t>3</w:t>
      </w:r>
      <w:r>
        <w:rPr>
          <w:rFonts w:hint="eastAsia" w:ascii="仿宋" w:hAnsi="仿宋" w:eastAsia="仿宋" w:cs="仿宋"/>
          <w:sz w:val="24"/>
          <w:szCs w:val="24"/>
          <w:highlight w:val="none"/>
        </w:rPr>
        <w:t>转化率：≥90%。</w:t>
      </w:r>
    </w:p>
    <w:p>
      <w:pPr>
        <w:pStyle w:val="965"/>
        <w:spacing w:line="360" w:lineRule="auto"/>
        <w:ind w:firstLine="480"/>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b/>
          <w:sz w:val="24"/>
          <w:szCs w:val="24"/>
          <w:highlight w:val="none"/>
        </w:rPr>
        <w:t>▲反应器：</w:t>
      </w:r>
      <w:r>
        <w:rPr>
          <w:rFonts w:hint="eastAsia" w:ascii="仿宋" w:hAnsi="仿宋" w:eastAsia="仿宋" w:cs="仿宋"/>
          <w:sz w:val="24"/>
          <w:szCs w:val="24"/>
          <w:highlight w:val="none"/>
        </w:rPr>
        <w:t>反应器材质为嵌入式金属骨架钛钽合金，可视可拆卸安装，Φ（</w:t>
      </w:r>
      <w:r>
        <w:rPr>
          <w:rFonts w:ascii="仿宋" w:hAnsi="仿宋" w:eastAsia="仿宋" w:cs="仿宋"/>
          <w:sz w:val="24"/>
          <w:szCs w:val="24"/>
          <w:highlight w:val="none"/>
        </w:rPr>
        <w:t>200mm×400mm）。</w:t>
      </w:r>
    </w:p>
    <w:p>
      <w:pPr>
        <w:pStyle w:val="965"/>
        <w:spacing w:line="360" w:lineRule="auto"/>
        <w:ind w:firstLine="480"/>
        <w:rPr>
          <w:rFonts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b/>
          <w:sz w:val="24"/>
          <w:szCs w:val="24"/>
          <w:highlight w:val="none"/>
        </w:rPr>
        <w:t>▲加热温控系统：</w:t>
      </w:r>
      <w:r>
        <w:rPr>
          <w:rFonts w:hint="eastAsia" w:ascii="仿宋" w:hAnsi="仿宋" w:eastAsia="仿宋" w:cs="仿宋"/>
          <w:sz w:val="24"/>
          <w:szCs w:val="24"/>
          <w:highlight w:val="none"/>
        </w:rPr>
        <w:t>采用干式远红外膜加热，自动恒温控制系统。</w:t>
      </w:r>
    </w:p>
    <w:p>
      <w:pPr>
        <w:pStyle w:val="965"/>
        <w:spacing w:line="360" w:lineRule="auto"/>
        <w:ind w:firstLine="480"/>
        <w:rPr>
          <w:rFonts w:ascii="仿宋" w:hAnsi="仿宋" w:eastAsia="仿宋" w:cs="仿宋"/>
          <w:sz w:val="24"/>
          <w:szCs w:val="24"/>
          <w:highlight w:val="none"/>
        </w:rPr>
      </w:pPr>
      <w:r>
        <w:rPr>
          <w:rFonts w:hint="eastAsia" w:ascii="仿宋" w:hAnsi="仿宋" w:eastAsia="仿宋" w:cs="仿宋"/>
          <w:sz w:val="24"/>
          <w:szCs w:val="24"/>
          <w:highlight w:val="none"/>
        </w:rPr>
        <w:t>4)正压注入式管道压力：≥</w:t>
      </w:r>
      <w:r>
        <w:rPr>
          <w:rFonts w:ascii="仿宋" w:hAnsi="仿宋" w:eastAsia="仿宋" w:cs="仿宋"/>
          <w:sz w:val="24"/>
          <w:szCs w:val="24"/>
          <w:highlight w:val="none"/>
        </w:rPr>
        <w:t>7</w:t>
      </w:r>
      <w:r>
        <w:rPr>
          <w:rFonts w:hint="eastAsia" w:ascii="仿宋" w:hAnsi="仿宋" w:eastAsia="仿宋" w:cs="仿宋"/>
          <w:sz w:val="24"/>
          <w:szCs w:val="24"/>
          <w:highlight w:val="none"/>
        </w:rPr>
        <w:t>kg。</w:t>
      </w:r>
    </w:p>
    <w:p>
      <w:pPr>
        <w:pStyle w:val="965"/>
        <w:spacing w:line="360" w:lineRule="auto"/>
        <w:ind w:firstLine="480"/>
        <w:rPr>
          <w:rFonts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b/>
          <w:sz w:val="24"/>
          <w:szCs w:val="24"/>
        </w:rPr>
        <w:t>▲计量泵：</w:t>
      </w:r>
      <w:r>
        <w:rPr>
          <w:rFonts w:hint="eastAsia" w:ascii="仿宋" w:hAnsi="仿宋" w:eastAsia="仿宋" w:cs="仿宋"/>
          <w:sz w:val="24"/>
          <w:szCs w:val="24"/>
        </w:rPr>
        <w:t>设备采用计量泵和流量计双计量，设备主机前部安装流量计，可视可调。</w:t>
      </w:r>
    </w:p>
    <w:p>
      <w:pPr>
        <w:pStyle w:val="965"/>
        <w:spacing w:line="360" w:lineRule="auto"/>
        <w:ind w:firstLine="480"/>
        <w:rPr>
          <w:rFonts w:ascii="仿宋" w:hAnsi="仿宋" w:eastAsia="仿宋" w:cs="仿宋"/>
          <w:sz w:val="24"/>
          <w:szCs w:val="24"/>
        </w:rPr>
      </w:pPr>
      <w:r>
        <w:rPr>
          <w:rFonts w:hint="eastAsia" w:ascii="仿宋" w:hAnsi="仿宋" w:eastAsia="仿宋" w:cs="仿宋"/>
          <w:sz w:val="24"/>
          <w:szCs w:val="24"/>
        </w:rPr>
        <w:t>6)盐酸和氯酸钠计量泵参考品牌：米顿罗，赛高，格兰富。</w:t>
      </w:r>
    </w:p>
    <w:p>
      <w:pPr>
        <w:pStyle w:val="965"/>
        <w:spacing w:line="360" w:lineRule="auto"/>
        <w:ind w:firstLine="480"/>
        <w:rPr>
          <w:rFonts w:ascii="仿宋" w:hAnsi="仿宋" w:eastAsia="仿宋" w:cs="仿宋"/>
          <w:sz w:val="24"/>
          <w:szCs w:val="24"/>
          <w:highlight w:val="none"/>
        </w:rPr>
      </w:pPr>
      <w:r>
        <w:rPr>
          <w:rFonts w:hint="eastAsia" w:ascii="仿宋" w:hAnsi="仿宋" w:eastAsia="仿宋" w:cs="仿宋"/>
          <w:sz w:val="24"/>
          <w:szCs w:val="24"/>
        </w:rPr>
        <w:t>7)</w:t>
      </w:r>
      <w:r>
        <w:rPr>
          <w:rFonts w:hint="eastAsia" w:ascii="仿宋" w:hAnsi="仿宋" w:eastAsia="仿宋" w:cs="仿宋"/>
          <w:b/>
          <w:sz w:val="24"/>
          <w:szCs w:val="24"/>
        </w:rPr>
        <w:t>氯酸钠储罐：</w:t>
      </w:r>
      <w:r>
        <w:rPr>
          <w:rFonts w:hint="eastAsia" w:ascii="仿宋" w:hAnsi="仿宋" w:eastAsia="仿宋" w:cs="仿宋"/>
          <w:sz w:val="24"/>
          <w:szCs w:val="24"/>
        </w:rPr>
        <w:t>配套</w:t>
      </w:r>
      <w:r>
        <w:rPr>
          <w:rFonts w:hint="eastAsia" w:ascii="仿宋" w:hAnsi="仿宋" w:eastAsia="仿宋" w:cs="仿宋"/>
          <w:sz w:val="24"/>
          <w:szCs w:val="24"/>
          <w:highlight w:val="none"/>
        </w:rPr>
        <w:t>盐酸罐（尺寸Φ</w:t>
      </w:r>
      <w:r>
        <w:rPr>
          <w:rFonts w:ascii="仿宋" w:hAnsi="仿宋" w:eastAsia="仿宋" w:cs="仿宋"/>
          <w:sz w:val="24"/>
          <w:szCs w:val="24"/>
          <w:highlight w:val="none"/>
        </w:rPr>
        <w:t>1840mm×2300mm）</w:t>
      </w:r>
      <w:r>
        <w:rPr>
          <w:rFonts w:hint="eastAsia" w:ascii="仿宋" w:hAnsi="仿宋" w:eastAsia="仿宋" w:cs="仿宋"/>
          <w:sz w:val="24"/>
          <w:szCs w:val="24"/>
          <w:highlight w:val="none"/>
        </w:rPr>
        <w:t>和氯酸钠储罐（</w:t>
      </w:r>
      <w:r>
        <w:rPr>
          <w:rFonts w:ascii="仿宋" w:hAnsi="仿宋" w:eastAsia="仿宋" w:cs="仿宋"/>
          <w:sz w:val="24"/>
          <w:szCs w:val="24"/>
          <w:highlight w:val="none"/>
        </w:rPr>
        <w:t xml:space="preserve"> </w:t>
      </w:r>
      <w:r>
        <w:rPr>
          <w:rFonts w:hint="eastAsia" w:ascii="仿宋" w:hAnsi="仿宋" w:eastAsia="仿宋" w:cs="仿宋"/>
          <w:sz w:val="24"/>
          <w:szCs w:val="24"/>
          <w:highlight w:val="none"/>
        </w:rPr>
        <w:t>尺寸Φ</w:t>
      </w:r>
      <w:r>
        <w:rPr>
          <w:rFonts w:ascii="仿宋" w:hAnsi="仿宋" w:eastAsia="仿宋" w:cs="仿宋"/>
          <w:sz w:val="24"/>
          <w:szCs w:val="24"/>
          <w:highlight w:val="none"/>
        </w:rPr>
        <w:t>1300mm×1850mm）。</w:t>
      </w:r>
    </w:p>
    <w:p>
      <w:pPr>
        <w:pStyle w:val="965"/>
        <w:spacing w:line="360" w:lineRule="auto"/>
        <w:ind w:firstLine="480"/>
        <w:rPr>
          <w:rFonts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b/>
          <w:sz w:val="24"/>
          <w:szCs w:val="24"/>
          <w:highlight w:val="none"/>
        </w:rPr>
        <w:t>氯酸钠化料器:</w:t>
      </w:r>
      <w:r>
        <w:rPr>
          <w:rFonts w:hint="eastAsia" w:ascii="仿宋" w:hAnsi="仿宋" w:eastAsia="仿宋" w:cs="仿宋"/>
          <w:sz w:val="24"/>
          <w:szCs w:val="24"/>
          <w:highlight w:val="none"/>
        </w:rPr>
        <w:t>配套满足主机工作需求的化料器和卸酸泵。</w:t>
      </w:r>
    </w:p>
    <w:p>
      <w:pPr>
        <w:pStyle w:val="965"/>
        <w:spacing w:line="360" w:lineRule="auto"/>
        <w:ind w:firstLine="480"/>
        <w:rPr>
          <w:rFonts w:ascii="仿宋" w:hAnsi="仿宋" w:eastAsia="仿宋" w:cs="仿宋"/>
          <w:sz w:val="24"/>
          <w:szCs w:val="24"/>
          <w:highlight w:val="none"/>
        </w:rPr>
      </w:pPr>
      <w:r>
        <w:rPr>
          <w:rFonts w:hint="eastAsia" w:ascii="仿宋" w:hAnsi="仿宋" w:eastAsia="仿宋" w:cs="仿宋"/>
          <w:sz w:val="24"/>
          <w:szCs w:val="24"/>
          <w:highlight w:val="none"/>
        </w:rPr>
        <w:t>9)二氧化氯发生器，成套配备安全、有效及可靠运行所需的条件，设备应具备独立完成加药的条件。</w:t>
      </w:r>
    </w:p>
    <w:p>
      <w:pPr>
        <w:pStyle w:val="965"/>
        <w:spacing w:line="360" w:lineRule="auto"/>
        <w:ind w:firstLine="480"/>
        <w:rPr>
          <w:rFonts w:ascii="仿宋" w:hAnsi="仿宋" w:eastAsia="仿宋" w:cs="仿宋"/>
          <w:color w:val="auto"/>
          <w:kern w:val="0"/>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rPr>
        <w:t>10）投标人</w:t>
      </w:r>
      <w:r>
        <w:rPr>
          <w:rFonts w:hint="eastAsia" w:ascii="仿宋" w:hAnsi="仿宋" w:eastAsia="仿宋" w:cs="仿宋"/>
          <w:color w:val="auto"/>
          <w:kern w:val="0"/>
          <w:sz w:val="24"/>
          <w:szCs w:val="24"/>
        </w:rPr>
        <w:t>提供发生器的制造商省级卫生健康委员会颁发的有效期内的《消毒产品生产企业卫生许可证》。</w:t>
      </w:r>
    </w:p>
    <w:p>
      <w:pPr>
        <w:pStyle w:val="965"/>
        <w:spacing w:line="360" w:lineRule="auto"/>
        <w:ind w:firstLine="480"/>
        <w:rPr>
          <w:rFonts w:ascii="仿宋" w:hAnsi="仿宋" w:eastAsia="仿宋" w:cs="仿宋"/>
          <w:color w:val="auto"/>
          <w:kern w:val="0"/>
          <w:sz w:val="24"/>
          <w:szCs w:val="24"/>
        </w:rPr>
      </w:pPr>
      <w:r>
        <w:rPr>
          <w:rFonts w:hint="eastAsia" w:ascii="仿宋" w:hAnsi="仿宋" w:eastAsia="仿宋" w:cs="仿宋"/>
          <w:color w:val="auto"/>
          <w:sz w:val="24"/>
          <w:szCs w:val="24"/>
        </w:rPr>
        <w:t>★</w:t>
      </w:r>
      <w:r>
        <w:rPr>
          <w:rFonts w:hint="eastAsia" w:ascii="仿宋" w:hAnsi="仿宋" w:eastAsia="仿宋" w:cs="仿宋"/>
          <w:color w:val="auto"/>
          <w:kern w:val="0"/>
          <w:sz w:val="24"/>
          <w:szCs w:val="24"/>
        </w:rPr>
        <w:t>11）</w:t>
      </w:r>
      <w:r>
        <w:rPr>
          <w:rFonts w:hint="eastAsia" w:ascii="仿宋" w:hAnsi="仿宋" w:eastAsia="仿宋" w:cs="仿宋"/>
          <w:color w:val="auto"/>
          <w:sz w:val="24"/>
          <w:szCs w:val="24"/>
        </w:rPr>
        <w:t>投标人</w:t>
      </w:r>
      <w:r>
        <w:rPr>
          <w:rFonts w:hint="eastAsia" w:ascii="仿宋" w:hAnsi="仿宋" w:eastAsia="仿宋" w:cs="仿宋"/>
          <w:color w:val="auto"/>
          <w:kern w:val="0"/>
          <w:sz w:val="24"/>
          <w:szCs w:val="24"/>
        </w:rPr>
        <w:t>提供发生器的制造商省级卫生健康委员会颁发的有效期内的同规格型号的“涉及饮用水卫生安全产品卫生许可批件”。</w:t>
      </w:r>
    </w:p>
    <w:p>
      <w:pPr>
        <w:spacing w:line="360" w:lineRule="auto"/>
        <w:rPr>
          <w:rFonts w:ascii="仿宋" w:hAnsi="仿宋" w:eastAsia="仿宋" w:cs="仿宋"/>
          <w:b/>
          <w:sz w:val="24"/>
          <w:szCs w:val="24"/>
        </w:rPr>
      </w:pPr>
      <w:r>
        <w:rPr>
          <w:rFonts w:hint="eastAsia" w:ascii="仿宋" w:hAnsi="仿宋" w:eastAsia="仿宋" w:cs="仿宋"/>
          <w:b/>
          <w:sz w:val="24"/>
          <w:szCs w:val="24"/>
        </w:rPr>
        <w:t>六、其他要求</w:t>
      </w:r>
    </w:p>
    <w:p>
      <w:pPr>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1、</w:t>
      </w:r>
      <w:r>
        <w:rPr>
          <w:rFonts w:hint="eastAsia" w:ascii="仿宋" w:hAnsi="仿宋" w:eastAsia="仿宋" w:cs="宋体"/>
          <w:sz w:val="24"/>
          <w:szCs w:val="24"/>
          <w:lang w:val="zh-CN"/>
        </w:rPr>
        <w:t>工期要求：</w:t>
      </w:r>
      <w:r>
        <w:rPr>
          <w:rFonts w:hint="eastAsia" w:ascii="仿宋" w:hAnsi="仿宋" w:eastAsia="仿宋" w:cs="宋体"/>
          <w:sz w:val="24"/>
          <w:szCs w:val="24"/>
        </w:rPr>
        <w:t>合同签订后</w:t>
      </w:r>
      <w:r>
        <w:rPr>
          <w:rFonts w:ascii="仿宋" w:hAnsi="仿宋" w:eastAsia="仿宋" w:cs="宋体"/>
          <w:sz w:val="24"/>
          <w:szCs w:val="24"/>
        </w:rPr>
        <w:t>3</w:t>
      </w:r>
      <w:r>
        <w:rPr>
          <w:rFonts w:hint="eastAsia" w:ascii="仿宋" w:hAnsi="仿宋" w:eastAsia="仿宋" w:cs="宋体"/>
          <w:sz w:val="24"/>
          <w:szCs w:val="24"/>
        </w:rPr>
        <w:t>0日内完成交货，采购人收到货后中标人需在10日内完成</w:t>
      </w:r>
      <w:r>
        <w:rPr>
          <w:rFonts w:ascii="仿宋" w:hAnsi="仿宋" w:eastAsia="仿宋"/>
          <w:b/>
          <w:spacing w:val="6"/>
          <w:sz w:val="24"/>
          <w:szCs w:val="24"/>
        </w:rPr>
        <w:t>投标清单中的</w:t>
      </w:r>
      <w:r>
        <w:rPr>
          <w:rFonts w:hint="eastAsia" w:ascii="仿宋" w:hAnsi="仿宋" w:eastAsia="仿宋" w:cs="宋体"/>
          <w:sz w:val="24"/>
          <w:szCs w:val="24"/>
        </w:rPr>
        <w:t>设备安装、调试、培训、验收、水质检测等工作。若每延误一天按照中标价的0.2‰扣款违约金，违约金可在应支付的任何合同款中扣除。</w:t>
      </w:r>
    </w:p>
    <w:p>
      <w:pPr>
        <w:spacing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rPr>
        <w:t>2、验收要求：设备安装、调试完成后，经采购人邀请第三方检测机构进行水质检测，</w:t>
      </w:r>
      <w:r>
        <w:rPr>
          <w:rFonts w:hint="eastAsia" w:ascii="仿宋" w:hAnsi="仿宋" w:eastAsia="仿宋"/>
          <w:spacing w:val="6"/>
          <w:sz w:val="24"/>
          <w:szCs w:val="24"/>
        </w:rPr>
        <w:t>按照&lt;&lt;医疗机构水污染物排放标准&gt;&gt;(GB18466-2005)中的预处理标准，出具合格的检测报告并提供该项目所涉及到的相关资料（如：合格证、产品说明书、污水处理流程、安装图纸）等。采购人收到申请验收报告后7个工作日内组织相关部门验收。</w:t>
      </w:r>
    </w:p>
    <w:p>
      <w:pPr>
        <w:spacing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3、保修要求：自验收合格之日开始，需原厂免费保修2年，提供终身维护。</w:t>
      </w:r>
    </w:p>
    <w:p>
      <w:pPr>
        <w:pStyle w:val="21"/>
        <w:spacing w:line="360" w:lineRule="auto"/>
        <w:ind w:firstLine="480" w:firstLineChars="200"/>
        <w:rPr>
          <w:rFonts w:ascii="仿宋" w:hAnsi="仿宋" w:eastAsia="仿宋" w:cs="仿宋"/>
          <w:sz w:val="24"/>
          <w:szCs w:val="24"/>
          <w:lang w:val="zh-CN"/>
        </w:rPr>
      </w:pPr>
      <w:r>
        <w:rPr>
          <w:rFonts w:hint="eastAsia" w:ascii="仿宋" w:hAnsi="仿宋" w:eastAsia="仿宋" w:cs="仿宋"/>
          <w:sz w:val="24"/>
          <w:szCs w:val="24"/>
        </w:rPr>
        <w:t>4</w:t>
      </w:r>
      <w:r>
        <w:rPr>
          <w:rFonts w:hint="eastAsia" w:ascii="仿宋" w:hAnsi="仿宋" w:eastAsia="仿宋" w:cs="仿宋"/>
          <w:sz w:val="24"/>
          <w:szCs w:val="24"/>
          <w:lang w:val="zh-CN"/>
        </w:rPr>
        <w:t>、响应时间要求：中标人需提供7×24小时服务，</w:t>
      </w:r>
      <w:r>
        <w:rPr>
          <w:rFonts w:hint="eastAsia" w:ascii="仿宋" w:hAnsi="仿宋" w:eastAsia="仿宋" w:cs="仿宋"/>
          <w:sz w:val="24"/>
          <w:szCs w:val="24"/>
        </w:rPr>
        <w:t>接到采购人报修电话：一般维修4小时内赶到，未赶到每次扣500元（不影响设备正常运行）；紧急</w:t>
      </w:r>
      <w:r>
        <w:rPr>
          <w:rFonts w:hint="eastAsia" w:ascii="仿宋" w:hAnsi="仿宋" w:eastAsia="仿宋" w:cs="仿宋"/>
          <w:sz w:val="24"/>
          <w:szCs w:val="24"/>
          <w:highlight w:val="none"/>
        </w:rPr>
        <w:t>维修</w:t>
      </w:r>
      <w:r>
        <w:rPr>
          <w:rFonts w:ascii="仿宋" w:hAnsi="仿宋" w:eastAsia="仿宋" w:cs="仿宋"/>
          <w:sz w:val="24"/>
          <w:szCs w:val="24"/>
          <w:highlight w:val="none"/>
        </w:rPr>
        <w:t>2</w:t>
      </w:r>
      <w:r>
        <w:rPr>
          <w:rFonts w:hint="eastAsia" w:ascii="仿宋" w:hAnsi="仿宋" w:eastAsia="仿宋" w:cs="仿宋"/>
          <w:sz w:val="24"/>
          <w:szCs w:val="24"/>
          <w:highlight w:val="none"/>
        </w:rPr>
        <w:t>小时</w:t>
      </w:r>
      <w:r>
        <w:rPr>
          <w:rFonts w:ascii="仿宋" w:hAnsi="仿宋" w:eastAsia="仿宋" w:cs="仿宋"/>
          <w:sz w:val="24"/>
          <w:szCs w:val="24"/>
          <w:highlight w:val="none"/>
        </w:rPr>
        <w:t>内</w:t>
      </w:r>
      <w:r>
        <w:rPr>
          <w:rFonts w:hint="eastAsia" w:ascii="仿宋" w:hAnsi="仿宋" w:eastAsia="仿宋" w:cs="仿宋"/>
          <w:sz w:val="24"/>
          <w:szCs w:val="24"/>
          <w:highlight w:val="none"/>
        </w:rPr>
        <w:t>赶到，未赶到每次扣1000元（影响设备运行）；重大维修24小时内不能修复的（设备整体不能运行），需提供该项目投标清单所涉及的设备备用机及配套设施，若</w:t>
      </w:r>
      <w:r>
        <w:rPr>
          <w:rFonts w:hint="eastAsia" w:ascii="仿宋" w:hAnsi="仿宋" w:eastAsia="仿宋" w:cs="仿宋"/>
          <w:sz w:val="24"/>
          <w:szCs w:val="24"/>
        </w:rPr>
        <w:t>中标人不提供每次扣3000元。若</w:t>
      </w:r>
      <w:r>
        <w:rPr>
          <w:rFonts w:hint="eastAsia" w:ascii="仿宋" w:hAnsi="仿宋" w:eastAsia="仿宋"/>
          <w:spacing w:val="6"/>
          <w:sz w:val="24"/>
          <w:szCs w:val="24"/>
        </w:rPr>
        <w:t>污水处理设备出现故障没有及时修复造成</w:t>
      </w:r>
      <w:r>
        <w:rPr>
          <w:rFonts w:hint="eastAsia" w:ascii="仿宋" w:hAnsi="仿宋" w:eastAsia="仿宋" w:cs="仿宋"/>
          <w:sz w:val="24"/>
          <w:szCs w:val="24"/>
        </w:rPr>
        <w:t>排放不达标，引起医疗安全事故的由中标人负责，严重的将追究法律责任。</w:t>
      </w:r>
    </w:p>
    <w:p>
      <w:pPr>
        <w:spacing w:line="360" w:lineRule="auto"/>
        <w:jc w:val="left"/>
        <w:rPr>
          <w:rFonts w:ascii="仿宋" w:hAnsi="仿宋" w:eastAsia="仿宋" w:cs="仿宋"/>
          <w:b/>
          <w:sz w:val="24"/>
          <w:szCs w:val="24"/>
        </w:rPr>
      </w:pPr>
      <w:r>
        <w:rPr>
          <w:rFonts w:hint="eastAsia" w:ascii="仿宋" w:hAnsi="仿宋" w:eastAsia="仿宋" w:cs="仿宋"/>
          <w:b/>
          <w:sz w:val="24"/>
          <w:szCs w:val="24"/>
        </w:rPr>
        <w:t>七、采购方式</w:t>
      </w:r>
    </w:p>
    <w:p>
      <w:pPr>
        <w:spacing w:line="360" w:lineRule="auto"/>
        <w:ind w:firstLine="480" w:firstLineChars="200"/>
        <w:jc w:val="left"/>
        <w:rPr>
          <w:rFonts w:ascii="仿宋" w:hAnsi="仿宋" w:eastAsia="仿宋" w:cs="仿宋"/>
          <w:strike/>
          <w:color w:val="FF0000"/>
          <w:sz w:val="24"/>
          <w:szCs w:val="24"/>
        </w:rPr>
      </w:pPr>
      <w:r>
        <w:rPr>
          <w:rFonts w:hint="eastAsia" w:ascii="仿宋" w:hAnsi="仿宋" w:eastAsia="仿宋" w:cs="仿宋"/>
          <w:sz w:val="24"/>
          <w:szCs w:val="24"/>
        </w:rPr>
        <w:t>招标采用综合评标法，上限价为20万元，中标单位负责该项目的设备采购、安装、调试、安全管理、结算、检测等全部费用。</w:t>
      </w:r>
    </w:p>
    <w:p>
      <w:pPr>
        <w:spacing w:line="360" w:lineRule="auto"/>
        <w:jc w:val="left"/>
        <w:rPr>
          <w:rFonts w:ascii="仿宋" w:hAnsi="仿宋" w:eastAsia="仿宋" w:cs="仿宋"/>
          <w:b/>
          <w:sz w:val="24"/>
          <w:szCs w:val="24"/>
        </w:rPr>
      </w:pPr>
      <w:r>
        <w:rPr>
          <w:rFonts w:hint="eastAsia" w:ascii="仿宋" w:hAnsi="仿宋" w:eastAsia="仿宋" w:cs="仿宋"/>
          <w:b/>
          <w:sz w:val="24"/>
          <w:szCs w:val="24"/>
          <w:lang w:val="en-US" w:eastAsia="zh-CN"/>
        </w:rPr>
        <w:t>八</w:t>
      </w:r>
      <w:r>
        <w:rPr>
          <w:rFonts w:hint="eastAsia" w:ascii="仿宋" w:hAnsi="仿宋" w:eastAsia="仿宋" w:cs="仿宋"/>
          <w:b/>
          <w:sz w:val="24"/>
          <w:szCs w:val="24"/>
        </w:rPr>
        <w:t>、付款方式</w:t>
      </w:r>
    </w:p>
    <w:p>
      <w:p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按《浙江省财政厅关于进一步发挥政府采购政策 功能全力推动经济稳进提质的通知》（浙财采监〔2022〕3号）等文件要求执行，具体付款方式由双方协商后在合同中明确。</w:t>
      </w:r>
    </w:p>
    <w:p>
      <w:pPr>
        <w:spacing w:line="360" w:lineRule="auto"/>
        <w:rPr>
          <w:rFonts w:ascii="仿宋" w:hAnsi="仿宋" w:eastAsia="仿宋" w:cs="仿宋"/>
          <w:b/>
          <w:sz w:val="24"/>
          <w:szCs w:val="24"/>
        </w:rPr>
      </w:pPr>
      <w:r>
        <w:rPr>
          <w:rFonts w:hint="eastAsia" w:ascii="仿宋" w:hAnsi="仿宋" w:eastAsia="仿宋" w:cs="仿宋"/>
          <w:b/>
          <w:sz w:val="24"/>
          <w:szCs w:val="24"/>
        </w:rPr>
        <w:br w:type="page"/>
      </w:r>
    </w:p>
    <w:p>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rPr>
          <w:rFonts w:ascii="仿宋" w:hAnsi="仿宋" w:eastAsia="仿宋" w:cs="仿宋"/>
          <w:sz w:val="24"/>
          <w:u w:val="single"/>
        </w:rPr>
      </w:pPr>
      <w:r>
        <w:rPr>
          <w:rFonts w:hint="eastAsia" w:ascii="仿宋" w:hAnsi="仿宋" w:eastAsia="仿宋" w:cs="仿宋"/>
          <w:sz w:val="24"/>
        </w:rPr>
        <w:t>合同编号：</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（货物类）</w:t>
      </w:r>
    </w:p>
    <w:p>
      <w:pPr>
        <w:pStyle w:val="702"/>
        <w:ind w:left="0" w:leftChars="0" w:firstLine="0" w:firstLineChars="0"/>
        <w:rPr>
          <w:rFonts w:ascii="仿宋" w:hAnsi="仿宋" w:eastAsia="仿宋" w:cs="仿宋"/>
          <w:szCs w:val="24"/>
        </w:rPr>
      </w:pPr>
    </w:p>
    <w:p>
      <w:pPr>
        <w:pStyle w:val="702"/>
        <w:jc w:val="center"/>
        <w:rPr>
          <w:rFonts w:ascii="仿宋" w:hAnsi="仿宋" w:eastAsia="仿宋" w:cs="仿宋"/>
          <w:szCs w:val="24"/>
        </w:rPr>
      </w:pPr>
    </w:p>
    <w:p>
      <w:pPr>
        <w:pStyle w:val="702"/>
        <w:ind w:firstLine="2843" w:firstLineChars="1180"/>
        <w:rPr>
          <w:rFonts w:ascii="仿宋" w:hAnsi="仿宋" w:eastAsia="仿宋" w:cs="仿宋"/>
          <w:b/>
          <w:szCs w:val="24"/>
        </w:rPr>
      </w:pPr>
      <w:r>
        <w:rPr>
          <w:rFonts w:hint="eastAsia" w:ascii="仿宋" w:hAnsi="仿宋" w:eastAsia="仿宋" w:cs="仿宋"/>
          <w:b/>
          <w:szCs w:val="24"/>
        </w:rPr>
        <w:t>第一部分 合同书</w:t>
      </w:r>
    </w:p>
    <w:p>
      <w:pPr>
        <w:pStyle w:val="702"/>
        <w:rPr>
          <w:rFonts w:ascii="仿宋" w:hAnsi="仿宋" w:eastAsia="仿宋" w:cs="仿宋"/>
          <w:szCs w:val="24"/>
        </w:rPr>
      </w:pPr>
    </w:p>
    <w:p>
      <w:pPr>
        <w:pStyle w:val="702"/>
        <w:rPr>
          <w:rFonts w:ascii="仿宋" w:hAnsi="仿宋" w:eastAsia="仿宋" w:cs="仿宋"/>
          <w:szCs w:val="24"/>
        </w:rPr>
      </w:pP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p>
    <w:p>
      <w:pPr>
        <w:pStyle w:val="599"/>
        <w:spacing w:before="120" w:line="22" w:lineRule="atLeast"/>
        <w:rPr>
          <w:rFonts w:ascii="仿宋" w:hAnsi="仿宋" w:eastAsia="仿宋" w:cs="仿宋"/>
          <w:szCs w:val="24"/>
        </w:rPr>
      </w:pPr>
    </w:p>
    <w:p>
      <w:pPr>
        <w:pStyle w:val="599"/>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签订日期：年月日</w:t>
      </w:r>
    </w:p>
    <w:p>
      <w:pPr>
        <w:widowControl/>
        <w:jc w:val="left"/>
        <w:rPr>
          <w:rFonts w:ascii="仿宋" w:hAnsi="仿宋" w:eastAsia="仿宋" w:cs="仿宋"/>
          <w:kern w:val="0"/>
          <w:sz w:val="24"/>
        </w:rPr>
        <w:sectPr>
          <w:pgSz w:w="11907" w:h="16840"/>
          <w:pgMar w:top="1814" w:right="1474" w:bottom="1814" w:left="1474" w:header="851" w:footer="851" w:gutter="0"/>
          <w:cols w:space="720" w:num="1"/>
        </w:sectPr>
      </w:pP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 xml:space="preserve">（采购人）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（项目名称、编号）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ascii="仿宋" w:hAnsi="仿宋" w:eastAsia="仿宋" w:cs="仿宋"/>
          <w:b/>
          <w:sz w:val="24"/>
        </w:rPr>
      </w:pPr>
      <w:bookmarkStart w:id="33" w:name="_Toc3029"/>
      <w:bookmarkStart w:id="34" w:name="_Toc2232"/>
      <w:bookmarkStart w:id="35" w:name="_Toc24059"/>
      <w:r>
        <w:rPr>
          <w:rFonts w:hint="eastAsia" w:ascii="仿宋" w:hAnsi="仿宋" w:eastAsia="仿宋" w:cs="仿宋"/>
          <w:b/>
          <w:sz w:val="24"/>
        </w:rPr>
        <w:t>1.1 合同组成部分</w:t>
      </w:r>
      <w:bookmarkEnd w:id="33"/>
      <w:bookmarkEnd w:id="34"/>
      <w:bookmarkEnd w:id="35"/>
    </w:p>
    <w:p>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56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ascii="仿宋" w:hAnsi="仿宋" w:eastAsia="仿宋" w:cs="仿宋"/>
          <w:b/>
          <w:sz w:val="24"/>
        </w:rPr>
      </w:pPr>
      <w:bookmarkStart w:id="36" w:name="_Toc24300"/>
      <w:bookmarkStart w:id="37" w:name="_Toc27126"/>
      <w:bookmarkStart w:id="38" w:name="_Toc21295"/>
      <w:r>
        <w:rPr>
          <w:rFonts w:hint="eastAsia" w:ascii="仿宋" w:hAnsi="仿宋" w:eastAsia="仿宋" w:cs="仿宋"/>
          <w:b/>
          <w:sz w:val="24"/>
        </w:rPr>
        <w:t>1.2 货物</w:t>
      </w:r>
      <w:bookmarkEnd w:id="36"/>
      <w:bookmarkEnd w:id="37"/>
      <w:bookmarkEnd w:id="38"/>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1.2.1 货物名称、品牌、规格型号、花色：；</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1.2.2 货物数量：；</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pPr>
        <w:spacing w:line="560" w:lineRule="exact"/>
        <w:ind w:firstLine="482" w:firstLineChars="200"/>
        <w:outlineLvl w:val="0"/>
        <w:rPr>
          <w:rFonts w:ascii="仿宋" w:hAnsi="仿宋" w:eastAsia="仿宋" w:cs="仿宋"/>
          <w:b/>
          <w:sz w:val="24"/>
        </w:rPr>
      </w:pPr>
      <w:bookmarkStart w:id="39" w:name="_Toc23292"/>
      <w:bookmarkStart w:id="40" w:name="_Toc21551"/>
      <w:bookmarkStart w:id="41" w:name="_Toc21631"/>
      <w:r>
        <w:rPr>
          <w:rFonts w:hint="eastAsia" w:ascii="仿宋" w:hAnsi="仿宋" w:eastAsia="仿宋" w:cs="仿宋"/>
          <w:b/>
          <w:sz w:val="24"/>
        </w:rPr>
        <w:t>1.3 价款</w:t>
      </w:r>
      <w:bookmarkEnd w:id="39"/>
      <w:bookmarkEnd w:id="40"/>
      <w:bookmarkEnd w:id="41"/>
    </w:p>
    <w:p>
      <w:pPr>
        <w:spacing w:line="560" w:lineRule="exact"/>
        <w:ind w:firstLine="480" w:firstLineChars="200"/>
        <w:rPr>
          <w:rFonts w:ascii="仿宋" w:hAnsi="仿宋" w:eastAsia="仿宋" w:cs="仿宋"/>
          <w:sz w:val="24"/>
        </w:rPr>
      </w:pPr>
      <w:r>
        <w:rPr>
          <w:rFonts w:hint="eastAsia" w:ascii="仿宋" w:hAnsi="仿宋" w:eastAsia="仿宋" w:cs="仿宋"/>
          <w:sz w:val="24"/>
        </w:rPr>
        <w:t>本合同总价（含税）为：￥元（大写：元人民币）。</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ascii="仿宋" w:hAnsi="仿宋" w:eastAsia="仿宋" w:cs="仿宋"/>
                <w:sz w:val="24"/>
                <w:szCs w:val="24"/>
              </w:rPr>
            </w:pPr>
          </w:p>
        </w:tc>
      </w:tr>
    </w:tbl>
    <w:p>
      <w:pPr>
        <w:pStyle w:val="960"/>
        <w:spacing w:before="0" w:beforeAutospacing="0" w:after="0" w:afterAutospacing="0" w:line="360" w:lineRule="auto"/>
        <w:ind w:firstLine="480"/>
        <w:rPr>
          <w:rFonts w:ascii="仿宋" w:hAnsi="仿宋" w:eastAsia="仿宋" w:cs="仿宋"/>
          <w:b/>
        </w:rPr>
      </w:pPr>
      <w:bookmarkStart w:id="42" w:name="_Toc22618"/>
      <w:bookmarkStart w:id="43" w:name="_Toc1814"/>
      <w:bookmarkStart w:id="44" w:name="_Toc10340"/>
      <w:r>
        <w:rPr>
          <w:rFonts w:hint="eastAsia" w:ascii="仿宋" w:hAnsi="仿宋" w:eastAsia="仿宋" w:cs="仿宋"/>
          <w:b/>
        </w:rPr>
        <w:t>1.4履约保证金</w:t>
      </w:r>
    </w:p>
    <w:p>
      <w:pPr>
        <w:pStyle w:val="960"/>
        <w:spacing w:before="0" w:beforeAutospacing="0" w:after="0" w:afterAutospacing="0" w:line="360" w:lineRule="auto"/>
        <w:ind w:firstLine="480"/>
        <w:rPr>
          <w:rFonts w:ascii="仿宋" w:hAnsi="仿宋" w:eastAsia="仿宋" w:cs="仿宋"/>
        </w:rPr>
      </w:pPr>
      <w:r>
        <w:rPr>
          <w:rFonts w:hint="eastAsia" w:ascii="仿宋" w:hAnsi="仿宋" w:eastAsia="仿宋" w:cs="仿宋"/>
        </w:rPr>
        <w:t>乙方（是/否）需要支付履约保证金。若需要支付履约保证金的，则：</w:t>
      </w:r>
    </w:p>
    <w:p>
      <w:pPr>
        <w:spacing w:line="56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p>
    <w:p>
      <w:pPr>
        <w:spacing w:line="56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5"/>
        <w:tabs>
          <w:tab w:val="clear" w:pos="432"/>
        </w:tabs>
        <w:spacing w:line="56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cs="仿宋"/>
        </w:rPr>
      </w:pPr>
      <w:r>
        <w:rPr>
          <w:rFonts w:hint="eastAsia" w:ascii="仿宋" w:hAnsi="仿宋" w:eastAsia="仿宋" w:cs="仿宋"/>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42"/>
      <w:bookmarkEnd w:id="43"/>
      <w:bookmarkEnd w:id="44"/>
      <w:r>
        <w:rPr>
          <w:rFonts w:hint="eastAsia" w:ascii="仿宋" w:hAnsi="仿宋" w:eastAsia="仿宋" w:cs="仿宋"/>
          <w:b/>
          <w:sz w:val="24"/>
        </w:rPr>
        <w:t>预付款</w:t>
      </w:r>
    </w:p>
    <w:p>
      <w:pPr>
        <w:pStyle w:val="960"/>
        <w:spacing w:before="0" w:beforeAutospacing="0" w:after="0" w:afterAutospacing="0" w:line="360" w:lineRule="auto"/>
        <w:ind w:firstLine="480"/>
        <w:rPr>
          <w:rFonts w:ascii="仿宋" w:hAnsi="仿宋" w:eastAsia="仿宋" w:cs="仿宋"/>
        </w:rPr>
      </w:pPr>
      <w:r>
        <w:rPr>
          <w:rFonts w:hint="eastAsia" w:ascii="仿宋" w:hAnsi="仿宋" w:eastAsia="仿宋" w:cs="仿宋"/>
        </w:rPr>
        <w:t>甲方（是/否）需要支付预付款。若需要支付预付款的，则：</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960"/>
        <w:spacing w:before="0" w:beforeAutospacing="0" w:after="0" w:afterAutospacing="0" w:line="360" w:lineRule="auto"/>
        <w:ind w:firstLine="48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b/>
          <w:i/>
          <w:u w:val="single"/>
        </w:rPr>
        <w:t>合同专用条款</w:t>
      </w:r>
      <w:r>
        <w:rPr>
          <w:rFonts w:hint="eastAsia" w:ascii="仿宋" w:hAnsi="仿宋" w:eastAsia="仿宋" w:cs="仿宋"/>
        </w:rPr>
        <w:t>；</w:t>
      </w:r>
    </w:p>
    <w:p>
      <w:pPr>
        <w:pStyle w:val="960"/>
        <w:spacing w:before="0" w:beforeAutospacing="0" w:after="0" w:afterAutospacing="0" w:line="360" w:lineRule="auto"/>
        <w:ind w:firstLine="48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b/>
          <w:i/>
          <w:u w:val="single"/>
        </w:rPr>
        <w:t>合同专用条款</w:t>
      </w:r>
      <w:r>
        <w:rPr>
          <w:rFonts w:hint="eastAsia" w:ascii="仿宋" w:hAnsi="仿宋" w:eastAsia="仿宋" w:cs="仿宋"/>
        </w:rPr>
        <w:t>。</w:t>
      </w:r>
    </w:p>
    <w:p>
      <w:pPr>
        <w:pStyle w:val="960"/>
        <w:spacing w:before="0" w:beforeAutospacing="0" w:after="0" w:afterAutospacing="0" w:line="360" w:lineRule="auto"/>
        <w:ind w:firstLine="480"/>
        <w:rPr>
          <w:rFonts w:ascii="仿宋" w:hAnsi="仿宋" w:eastAsia="仿宋" w:cs="仿宋"/>
          <w:b/>
          <w:bCs/>
        </w:rPr>
      </w:pPr>
      <w:r>
        <w:rPr>
          <w:rFonts w:hint="eastAsia" w:ascii="仿宋" w:hAnsi="仿宋" w:eastAsia="仿宋" w:cs="仿宋"/>
          <w:b/>
          <w:bCs/>
        </w:rPr>
        <w:t>1.6资金支付</w:t>
      </w:r>
    </w:p>
    <w:p>
      <w:pPr>
        <w:pStyle w:val="960"/>
        <w:spacing w:before="0" w:beforeAutospacing="0" w:after="0" w:afterAutospacing="0" w:line="360" w:lineRule="auto"/>
        <w:ind w:firstLine="48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45" w:name="_Toc2846"/>
      <w:bookmarkStart w:id="46" w:name="_Toc32071"/>
      <w:bookmarkStart w:id="47" w:name="_Toc19304"/>
      <w:r>
        <w:rPr>
          <w:rFonts w:hint="eastAsia" w:ascii="仿宋" w:hAnsi="仿宋" w:eastAsia="仿宋" w:cs="仿宋"/>
          <w:b/>
          <w:sz w:val="24"/>
        </w:rPr>
        <w:t>1.7货物交付期限、地点和方式</w:t>
      </w:r>
      <w:bookmarkEnd w:id="45"/>
      <w:bookmarkEnd w:id="46"/>
      <w:bookmarkEnd w:id="47"/>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48" w:name="_Toc19554"/>
      <w:bookmarkStart w:id="49" w:name="_Toc27250"/>
      <w:bookmarkStart w:id="50" w:name="_Toc21423"/>
      <w:r>
        <w:rPr>
          <w:rFonts w:hint="eastAsia" w:ascii="仿宋" w:hAnsi="仿宋" w:eastAsia="仿宋" w:cs="仿宋"/>
          <w:b/>
          <w:sz w:val="24"/>
        </w:rPr>
        <w:t>1.8违约责任</w:t>
      </w:r>
      <w:bookmarkEnd w:id="48"/>
      <w:bookmarkEnd w:id="49"/>
      <w:bookmarkEnd w:id="50"/>
    </w:p>
    <w:p>
      <w:pPr>
        <w:spacing w:line="56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ascii="仿宋" w:hAnsi="仿宋" w:eastAsia="仿宋" w:cs="仿宋"/>
          <w:b/>
          <w:sz w:val="24"/>
        </w:rPr>
      </w:pPr>
      <w:bookmarkStart w:id="51" w:name="_Toc15583"/>
      <w:bookmarkStart w:id="52" w:name="_Toc16021"/>
      <w:bookmarkStart w:id="53" w:name="_Toc28375"/>
      <w:r>
        <w:rPr>
          <w:rFonts w:hint="eastAsia" w:ascii="仿宋" w:hAnsi="仿宋" w:eastAsia="仿宋" w:cs="仿宋"/>
          <w:b/>
          <w:sz w:val="24"/>
        </w:rPr>
        <w:t>1.9合同争议的解决</w:t>
      </w:r>
      <w:bookmarkEnd w:id="51"/>
      <w:bookmarkEnd w:id="52"/>
      <w:bookmarkEnd w:id="53"/>
    </w:p>
    <w:p>
      <w:pPr>
        <w:spacing w:line="560" w:lineRule="exact"/>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本合同履行过程中发生的任何争议，双方当事人均可通过和解或者调解解决；不愿和解、调解或者和解、调解不成的，可以选择以下第条款规定的方式解决：</w:t>
      </w:r>
    </w:p>
    <w:p>
      <w:pPr>
        <w:spacing w:line="560" w:lineRule="exact"/>
        <w:ind w:left="-420" w:leftChars="-200" w:right="-420" w:rightChars="-200" w:firstLine="840" w:firstLineChars="35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840" w:firstLineChars="35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ascii="仿宋" w:hAnsi="仿宋" w:eastAsia="仿宋" w:cs="仿宋"/>
          <w:b/>
          <w:sz w:val="24"/>
        </w:rPr>
      </w:pPr>
      <w:bookmarkStart w:id="54" w:name="_Toc11173"/>
      <w:bookmarkStart w:id="55" w:name="_Toc7245"/>
      <w:bookmarkStart w:id="56" w:name="_Toc15322"/>
      <w:r>
        <w:rPr>
          <w:rFonts w:hint="eastAsia" w:ascii="仿宋" w:hAnsi="仿宋" w:eastAsia="仿宋" w:cs="仿宋"/>
          <w:b/>
          <w:sz w:val="24"/>
        </w:rPr>
        <w:t>2.0 合同生效</w:t>
      </w:r>
      <w:bookmarkEnd w:id="54"/>
      <w:bookmarkEnd w:id="55"/>
      <w:bookmarkEnd w:id="56"/>
    </w:p>
    <w:p>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本合同自双方当事人盖章签字时生效。</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开户账号：开户账号：</w:t>
      </w:r>
    </w:p>
    <w:p>
      <w:pPr>
        <w:pStyle w:val="5"/>
        <w:rPr>
          <w:rFonts w:ascii="仿宋" w:eastAsia="仿宋" w:cs="仿宋"/>
          <w:sz w:val="24"/>
        </w:rPr>
      </w:pPr>
    </w:p>
    <w:p>
      <w:pPr>
        <w:rPr>
          <w:rFonts w:ascii="仿宋" w:hAnsi="仿宋" w:eastAsia="仿宋" w:cs="仿宋"/>
          <w:sz w:val="24"/>
        </w:rPr>
      </w:pPr>
    </w:p>
    <w:p>
      <w:pPr>
        <w:pStyle w:val="5"/>
        <w:rPr>
          <w:rFonts w:ascii="仿宋" w:eastAsia="仿宋" w:cs="仿宋"/>
          <w:sz w:val="24"/>
        </w:rPr>
      </w:pPr>
    </w:p>
    <w:p>
      <w:pPr>
        <w:rPr>
          <w:rFonts w:ascii="仿宋" w:hAnsi="仿宋" w:eastAsia="仿宋" w:cs="仿宋"/>
          <w:sz w:val="24"/>
        </w:rPr>
      </w:pPr>
    </w:p>
    <w:p>
      <w:pPr>
        <w:pStyle w:val="5"/>
        <w:rPr>
          <w:rFonts w:ascii="仿宋" w:eastAsia="仿宋" w:cs="仿宋"/>
          <w:sz w:val="24"/>
        </w:rPr>
      </w:pPr>
    </w:p>
    <w:p>
      <w:pPr>
        <w:rPr>
          <w:rFonts w:ascii="仿宋" w:hAnsi="仿宋" w:eastAsia="仿宋" w:cs="仿宋"/>
          <w:sz w:val="24"/>
        </w:rPr>
      </w:pPr>
    </w:p>
    <w:p>
      <w:pPr>
        <w:pStyle w:val="702"/>
        <w:spacing w:line="560" w:lineRule="exact"/>
        <w:ind w:firstLine="482"/>
        <w:jc w:val="center"/>
        <w:rPr>
          <w:rFonts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0"/>
        <w:rPr>
          <w:rFonts w:ascii="仿宋" w:hAnsi="仿宋" w:eastAsia="仿宋" w:cs="仿宋"/>
          <w:b/>
          <w:sz w:val="24"/>
        </w:rPr>
      </w:pPr>
      <w:bookmarkStart w:id="57" w:name="_Ref467379214"/>
      <w:bookmarkStart w:id="58" w:name="_Toc487900349"/>
      <w:bookmarkStart w:id="59" w:name="_Ref467378404"/>
      <w:bookmarkStart w:id="60" w:name="_Toc259093669"/>
      <w:bookmarkStart w:id="61" w:name="_Toc19614"/>
      <w:bookmarkStart w:id="62" w:name="_Ref467379225"/>
      <w:bookmarkStart w:id="63" w:name="_Ref467379094"/>
      <w:bookmarkStart w:id="64" w:name="_Ref467378463"/>
      <w:bookmarkStart w:id="65" w:name="_Ref467379205"/>
      <w:bookmarkStart w:id="66" w:name="_Ref467379195"/>
      <w:bookmarkStart w:id="67" w:name="_Toc16917"/>
      <w:bookmarkStart w:id="68" w:name="_Ref467379101"/>
      <w:bookmarkStart w:id="69" w:name="_Toc279701240"/>
      <w:bookmarkStart w:id="70" w:name="_Ref467378499"/>
      <w:bookmarkStart w:id="71" w:name="_Toc28763"/>
      <w:bookmarkStart w:id="72" w:name="_Ref467379109"/>
      <w:r>
        <w:rPr>
          <w:rFonts w:hint="eastAsia" w:ascii="仿宋" w:hAnsi="仿宋" w:eastAsia="仿宋" w:cs="仿宋"/>
          <w:b/>
          <w:sz w:val="24"/>
        </w:rPr>
        <w:t>2.1 定义</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sz w:val="24"/>
        </w:rPr>
      </w:pPr>
      <w:bookmarkStart w:id="73" w:name="_Ref467378840"/>
      <w:r>
        <w:rPr>
          <w:rFonts w:hint="eastAsia" w:ascii="仿宋" w:hAnsi="仿宋" w:eastAsia="仿宋" w:cs="仿宋"/>
          <w:sz w:val="24"/>
        </w:rPr>
        <w:t>2.1.4 “甲方”系指与中标或成交供应商签署合同的采购人</w:t>
      </w:r>
      <w:bookmarkEnd w:id="73"/>
      <w:r>
        <w:rPr>
          <w:rFonts w:hint="eastAsia" w:ascii="仿宋" w:hAnsi="仿宋" w:eastAsia="仿宋" w:cs="仿宋"/>
          <w:sz w:val="24"/>
        </w:rPr>
        <w:t>；采购人委托采购代理机构代表其与乙方签订合同的，采购人的授权委托书作为合同附件。</w:t>
      </w:r>
    </w:p>
    <w:p>
      <w:pPr>
        <w:spacing w:line="560" w:lineRule="exact"/>
        <w:ind w:firstLine="480" w:firstLineChars="200"/>
        <w:rPr>
          <w:rFonts w:ascii="仿宋" w:hAnsi="仿宋" w:eastAsia="仿宋" w:cs="仿宋"/>
          <w:sz w:val="24"/>
        </w:rPr>
      </w:pPr>
      <w:bookmarkStart w:id="74" w:name="_Ref467379400"/>
      <w:r>
        <w:rPr>
          <w:rFonts w:hint="eastAsia" w:ascii="仿宋" w:hAnsi="仿宋" w:eastAsia="仿宋" w:cs="仿宋"/>
          <w:sz w:val="24"/>
        </w:rPr>
        <w:t>2.1.5 “乙方”系指根据合同约定交付货物的中标或成交供应商</w:t>
      </w:r>
      <w:bookmarkEnd w:id="74"/>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bookmarkStart w:id="75" w:name="_Ref467379436"/>
      <w:r>
        <w:rPr>
          <w:rFonts w:hint="eastAsia" w:ascii="仿宋" w:hAnsi="仿宋" w:eastAsia="仿宋" w:cs="仿宋"/>
          <w:sz w:val="24"/>
        </w:rPr>
        <w:t>2.1.6 “现场”系指合同约定货物将要运至或者安装的地点。</w:t>
      </w:r>
      <w:bookmarkEnd w:id="75"/>
    </w:p>
    <w:p>
      <w:pPr>
        <w:spacing w:line="560" w:lineRule="exact"/>
        <w:ind w:firstLine="482" w:firstLineChars="200"/>
        <w:outlineLvl w:val="0"/>
        <w:rPr>
          <w:rFonts w:ascii="仿宋" w:hAnsi="仿宋" w:eastAsia="仿宋" w:cs="仿宋"/>
          <w:b/>
          <w:sz w:val="24"/>
        </w:rPr>
      </w:pPr>
      <w:bookmarkStart w:id="76" w:name="_Toc27635"/>
      <w:bookmarkStart w:id="77" w:name="_Toc259093670"/>
      <w:bookmarkStart w:id="78" w:name="_Toc13336"/>
      <w:bookmarkStart w:id="79" w:name="_Toc487900350"/>
      <w:bookmarkStart w:id="80" w:name="_Toc32504"/>
      <w:bookmarkStart w:id="81" w:name="_Toc279701241"/>
      <w:r>
        <w:rPr>
          <w:rFonts w:hint="eastAsia" w:ascii="仿宋" w:hAnsi="仿宋" w:eastAsia="仿宋" w:cs="仿宋"/>
          <w:b/>
          <w:sz w:val="24"/>
        </w:rPr>
        <w:t>2.2 技术规范</w:t>
      </w:r>
      <w:bookmarkEnd w:id="76"/>
      <w:bookmarkEnd w:id="77"/>
      <w:bookmarkEnd w:id="78"/>
      <w:bookmarkEnd w:id="79"/>
      <w:bookmarkEnd w:id="80"/>
      <w:bookmarkEnd w:id="81"/>
    </w:p>
    <w:p>
      <w:pPr>
        <w:spacing w:line="560" w:lineRule="exact"/>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82" w:name="_Toc9829"/>
      <w:bookmarkStart w:id="83" w:name="_Toc279701242"/>
      <w:bookmarkStart w:id="84" w:name="_Toc31634"/>
      <w:bookmarkStart w:id="85" w:name="_Toc487900351"/>
      <w:bookmarkStart w:id="86" w:name="_Toc259093671"/>
      <w:bookmarkStart w:id="87" w:name="_Toc27853"/>
      <w:r>
        <w:rPr>
          <w:rFonts w:hint="eastAsia" w:ascii="仿宋" w:hAnsi="仿宋" w:eastAsia="仿宋" w:cs="仿宋"/>
          <w:b/>
          <w:sz w:val="24"/>
        </w:rPr>
        <w:t>2.3 知识产权</w:t>
      </w:r>
      <w:bookmarkEnd w:id="82"/>
      <w:bookmarkEnd w:id="83"/>
      <w:bookmarkEnd w:id="84"/>
      <w:bookmarkEnd w:id="85"/>
      <w:bookmarkEnd w:id="86"/>
      <w:bookmarkEnd w:id="87"/>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88" w:name="_Toc4194"/>
      <w:bookmarkStart w:id="89" w:name="_Toc29149"/>
      <w:bookmarkStart w:id="90" w:name="_Toc11932"/>
      <w:r>
        <w:rPr>
          <w:rFonts w:hint="eastAsia" w:ascii="仿宋" w:hAnsi="仿宋" w:eastAsia="仿宋" w:cs="仿宋"/>
          <w:b/>
          <w:sz w:val="24"/>
        </w:rPr>
        <w:t>2.4 包装和装运</w:t>
      </w:r>
      <w:bookmarkEnd w:id="88"/>
      <w:bookmarkEnd w:id="89"/>
      <w:bookmarkEnd w:id="90"/>
    </w:p>
    <w:p>
      <w:pPr>
        <w:spacing w:line="560" w:lineRule="exact"/>
        <w:ind w:firstLine="480" w:firstLineChars="200"/>
        <w:rPr>
          <w:rFonts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91" w:name="_Toc487900354"/>
      <w:bookmarkStart w:id="92" w:name="_Ref467378541"/>
      <w:bookmarkStart w:id="93" w:name="_Toc259093674"/>
      <w:bookmarkStart w:id="94" w:name="_Toc279701245"/>
      <w:bookmarkStart w:id="95" w:name="_Ref467379542"/>
      <w:bookmarkStart w:id="96" w:name="_Ref467378591"/>
      <w:bookmarkStart w:id="97" w:name="_Ref467379527"/>
      <w:bookmarkStart w:id="98" w:name="_Ref467379536"/>
      <w:bookmarkStart w:id="99" w:name="_Toc30272"/>
      <w:bookmarkStart w:id="100" w:name="_Toc26182"/>
      <w:bookmarkStart w:id="101" w:name="_Toc19074"/>
      <w:r>
        <w:rPr>
          <w:rFonts w:hint="eastAsia" w:ascii="仿宋" w:hAnsi="仿宋" w:eastAsia="仿宋" w:cs="仿宋"/>
          <w:b/>
          <w:sz w:val="24"/>
        </w:rPr>
        <w:t>2.</w:t>
      </w:r>
      <w:bookmarkEnd w:id="91"/>
      <w:bookmarkEnd w:id="92"/>
      <w:bookmarkEnd w:id="93"/>
      <w:bookmarkEnd w:id="94"/>
      <w:bookmarkEnd w:id="95"/>
      <w:bookmarkEnd w:id="96"/>
      <w:bookmarkEnd w:id="97"/>
      <w:bookmarkEnd w:id="98"/>
      <w:r>
        <w:rPr>
          <w:rFonts w:hint="eastAsia" w:ascii="仿宋" w:hAnsi="仿宋" w:eastAsia="仿宋" w:cs="仿宋"/>
          <w:b/>
          <w:sz w:val="24"/>
        </w:rPr>
        <w:t>5 履约检查和问题反馈</w:t>
      </w:r>
      <w:bookmarkEnd w:id="99"/>
      <w:bookmarkEnd w:id="100"/>
      <w:bookmarkEnd w:id="101"/>
    </w:p>
    <w:p>
      <w:pPr>
        <w:spacing w:line="560" w:lineRule="exact"/>
        <w:ind w:firstLine="480" w:firstLineChars="200"/>
        <w:rPr>
          <w:rFonts w:ascii="仿宋" w:hAnsi="仿宋" w:eastAsia="仿宋" w:cs="仿宋"/>
          <w:sz w:val="24"/>
        </w:rPr>
      </w:pPr>
      <w:bookmarkStart w:id="102" w:name="_Ref467379657"/>
      <w:r>
        <w:rPr>
          <w:rFonts w:hint="eastAsia" w:ascii="仿宋" w:hAnsi="仿宋" w:eastAsia="仿宋" w:cs="仿宋"/>
          <w:sz w:val="24"/>
        </w:rPr>
        <w:t>2.5.1</w:t>
      </w:r>
      <w:bookmarkEnd w:id="102"/>
      <w:bookmarkStart w:id="103" w:name="_Toc186431854"/>
      <w:bookmarkStart w:id="104" w:name="_Toc279701247"/>
      <w:bookmarkStart w:id="105" w:name="_Toc259093676"/>
      <w:bookmarkStart w:id="106" w:name="_Toc487900357"/>
      <w:bookmarkStart w:id="107" w:name="_Ref467379807"/>
      <w:bookmarkStart w:id="108" w:name="_Ref467379793"/>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103"/>
      <w:bookmarkStart w:id="109" w:name="_Toc186431855"/>
      <w:r>
        <w:rPr>
          <w:rFonts w:hint="eastAsia" w:ascii="仿宋" w:hAnsi="仿宋" w:eastAsia="仿宋" w:cs="仿宋"/>
          <w:sz w:val="24"/>
        </w:rPr>
        <w:t>。</w:t>
      </w:r>
    </w:p>
    <w:bookmarkEnd w:id="104"/>
    <w:bookmarkEnd w:id="105"/>
    <w:bookmarkEnd w:id="106"/>
    <w:bookmarkEnd w:id="107"/>
    <w:bookmarkEnd w:id="108"/>
    <w:bookmarkEnd w:id="109"/>
    <w:p>
      <w:pPr>
        <w:spacing w:line="560" w:lineRule="exact"/>
        <w:ind w:firstLine="482" w:firstLineChars="200"/>
        <w:outlineLvl w:val="0"/>
        <w:rPr>
          <w:rFonts w:ascii="仿宋" w:hAnsi="仿宋" w:eastAsia="仿宋" w:cs="仿宋"/>
          <w:b/>
          <w:sz w:val="24"/>
        </w:rPr>
      </w:pPr>
      <w:bookmarkStart w:id="110" w:name="_Ref467379863"/>
      <w:bookmarkStart w:id="111" w:name="_Toc259093677"/>
      <w:bookmarkStart w:id="112" w:name="_Toc487900358"/>
      <w:bookmarkStart w:id="113" w:name="_Ref467379852"/>
      <w:bookmarkStart w:id="114" w:name="_Ref467379923"/>
      <w:bookmarkStart w:id="115" w:name="_Toc279701248"/>
      <w:bookmarkStart w:id="116" w:name="_Toc774"/>
      <w:bookmarkStart w:id="117" w:name="_Toc3225"/>
      <w:bookmarkStart w:id="118" w:name="_Toc16110"/>
      <w:r>
        <w:rPr>
          <w:rFonts w:hint="eastAsia" w:ascii="仿宋" w:hAnsi="仿宋" w:eastAsia="仿宋" w:cs="仿宋"/>
          <w:b/>
          <w:sz w:val="24"/>
        </w:rPr>
        <w:t>2.6 技术资料</w:t>
      </w:r>
      <w:bookmarkEnd w:id="110"/>
      <w:bookmarkEnd w:id="111"/>
      <w:bookmarkEnd w:id="112"/>
      <w:bookmarkEnd w:id="113"/>
      <w:bookmarkEnd w:id="114"/>
      <w:bookmarkEnd w:id="115"/>
      <w:r>
        <w:rPr>
          <w:rFonts w:hint="eastAsia" w:ascii="仿宋" w:hAnsi="仿宋" w:eastAsia="仿宋" w:cs="仿宋"/>
          <w:b/>
          <w:sz w:val="24"/>
        </w:rPr>
        <w:t>和保密义务</w:t>
      </w:r>
      <w:bookmarkEnd w:id="116"/>
      <w:bookmarkEnd w:id="117"/>
      <w:bookmarkEnd w:id="118"/>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19" w:name="_Toc7860"/>
      <w:r>
        <w:rPr>
          <w:rFonts w:hint="eastAsia" w:ascii="仿宋" w:hAnsi="仿宋" w:eastAsia="仿宋" w:cs="仿宋"/>
          <w:b/>
          <w:sz w:val="24"/>
        </w:rPr>
        <w:t>2.7 质量保证</w:t>
      </w:r>
      <w:bookmarkEnd w:id="119"/>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20" w:name="_Toc17244"/>
      <w:bookmarkStart w:id="121" w:name="_Toc259093681"/>
      <w:bookmarkStart w:id="122" w:name="_Toc279701252"/>
      <w:bookmarkStart w:id="123" w:name="_Toc487900362"/>
      <w:r>
        <w:rPr>
          <w:rFonts w:hint="eastAsia" w:ascii="仿宋" w:hAnsi="仿宋" w:eastAsia="仿宋" w:cs="仿宋"/>
          <w:b/>
          <w:sz w:val="24"/>
        </w:rPr>
        <w:t>2.8 货物的风险负担</w:t>
      </w:r>
      <w:bookmarkEnd w:id="120"/>
    </w:p>
    <w:p>
      <w:pPr>
        <w:spacing w:line="560" w:lineRule="exact"/>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24" w:name="_Toc14055"/>
      <w:r>
        <w:rPr>
          <w:rFonts w:hint="eastAsia" w:ascii="仿宋" w:hAnsi="仿宋" w:eastAsia="仿宋" w:cs="仿宋"/>
          <w:b/>
          <w:sz w:val="24"/>
        </w:rPr>
        <w:t>2.9 延迟交货</w:t>
      </w:r>
      <w:bookmarkEnd w:id="121"/>
      <w:bookmarkEnd w:id="122"/>
      <w:bookmarkEnd w:id="123"/>
      <w:bookmarkEnd w:id="124"/>
    </w:p>
    <w:p>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sz w:val="24"/>
        </w:rPr>
      </w:pPr>
      <w:bookmarkStart w:id="125" w:name="_Toc7502"/>
      <w:bookmarkStart w:id="126" w:name="_Ref467378121"/>
      <w:bookmarkStart w:id="127" w:name="_Toc259093683"/>
      <w:bookmarkStart w:id="128" w:name="_Toc487900364"/>
      <w:bookmarkStart w:id="129" w:name="_Toc279701254"/>
      <w:r>
        <w:rPr>
          <w:rFonts w:hint="eastAsia" w:ascii="仿宋" w:hAnsi="仿宋" w:eastAsia="仿宋" w:cs="仿宋"/>
          <w:b/>
          <w:sz w:val="24"/>
        </w:rPr>
        <w:t>2.10 合同变更</w:t>
      </w:r>
      <w:bookmarkEnd w:id="125"/>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30" w:name="_Toc279701259"/>
      <w:bookmarkStart w:id="131" w:name="_Toc487900369"/>
      <w:bookmarkStart w:id="132" w:name="_Toc259093688"/>
    </w:p>
    <w:p>
      <w:pPr>
        <w:spacing w:line="560" w:lineRule="exact"/>
        <w:ind w:firstLine="482" w:firstLineChars="200"/>
        <w:outlineLvl w:val="0"/>
        <w:rPr>
          <w:rFonts w:ascii="仿宋" w:hAnsi="仿宋" w:eastAsia="仿宋" w:cs="仿宋"/>
          <w:b/>
          <w:sz w:val="24"/>
        </w:rPr>
      </w:pPr>
      <w:bookmarkStart w:id="133" w:name="_Toc10366"/>
      <w:bookmarkStart w:id="134" w:name="_Toc22955"/>
      <w:bookmarkStart w:id="135" w:name="_Toc15237"/>
      <w:r>
        <w:rPr>
          <w:rFonts w:hint="eastAsia" w:ascii="仿宋" w:hAnsi="仿宋" w:eastAsia="仿宋" w:cs="仿宋"/>
          <w:b/>
          <w:sz w:val="24"/>
        </w:rPr>
        <w:t>2.11 合同转让</w:t>
      </w:r>
      <w:bookmarkEnd w:id="130"/>
      <w:bookmarkEnd w:id="131"/>
      <w:bookmarkEnd w:id="132"/>
      <w:r>
        <w:rPr>
          <w:rFonts w:hint="eastAsia" w:ascii="仿宋" w:hAnsi="仿宋" w:eastAsia="仿宋" w:cs="仿宋"/>
          <w:b/>
          <w:sz w:val="24"/>
        </w:rPr>
        <w:t>和分包</w:t>
      </w:r>
      <w:bookmarkEnd w:id="133"/>
      <w:bookmarkEnd w:id="134"/>
      <w:bookmarkEnd w:id="135"/>
    </w:p>
    <w:p>
      <w:pPr>
        <w:spacing w:line="560" w:lineRule="exact"/>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rPr>
      </w:pPr>
      <w:bookmarkStart w:id="136" w:name="_Toc13566"/>
      <w:bookmarkStart w:id="137" w:name="_Toc14066"/>
      <w:bookmarkStart w:id="138" w:name="_Toc16508"/>
      <w:r>
        <w:rPr>
          <w:rFonts w:hint="eastAsia" w:ascii="仿宋" w:hAnsi="仿宋" w:eastAsia="仿宋" w:cs="仿宋"/>
          <w:b/>
          <w:sz w:val="24"/>
        </w:rPr>
        <w:t>2.12 不可抗力</w:t>
      </w:r>
      <w:bookmarkEnd w:id="136"/>
      <w:bookmarkEnd w:id="137"/>
      <w:bookmarkEnd w:id="138"/>
    </w:p>
    <w:p>
      <w:pPr>
        <w:spacing w:line="560" w:lineRule="exact"/>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39" w:name="_Toc259093684"/>
      <w:bookmarkStart w:id="140" w:name="_Toc6969"/>
      <w:bookmarkStart w:id="141" w:name="_Toc689"/>
      <w:bookmarkStart w:id="142" w:name="_Toc30676"/>
      <w:bookmarkStart w:id="143" w:name="_Toc279701255"/>
      <w:bookmarkStart w:id="144" w:name="_Toc487900365"/>
      <w:r>
        <w:rPr>
          <w:rFonts w:hint="eastAsia" w:ascii="仿宋" w:hAnsi="仿宋" w:eastAsia="仿宋" w:cs="仿宋"/>
          <w:b/>
          <w:sz w:val="24"/>
        </w:rPr>
        <w:t>2.13 税费</w:t>
      </w:r>
      <w:bookmarkEnd w:id="139"/>
      <w:bookmarkEnd w:id="140"/>
      <w:bookmarkEnd w:id="141"/>
      <w:bookmarkEnd w:id="142"/>
      <w:bookmarkEnd w:id="143"/>
      <w:bookmarkEnd w:id="144"/>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ascii="仿宋" w:hAnsi="仿宋" w:eastAsia="仿宋" w:cs="仿宋"/>
          <w:b/>
          <w:sz w:val="24"/>
        </w:rPr>
      </w:pPr>
      <w:bookmarkStart w:id="145" w:name="_Toc8298"/>
      <w:bookmarkStart w:id="146" w:name="_Toc259093687"/>
      <w:bookmarkStart w:id="147" w:name="_Toc16959"/>
      <w:bookmarkStart w:id="148" w:name="_Toc7102"/>
      <w:bookmarkStart w:id="149" w:name="_Toc487900368"/>
      <w:bookmarkStart w:id="150" w:name="_Toc279701258"/>
      <w:r>
        <w:rPr>
          <w:rFonts w:hint="eastAsia" w:ascii="仿宋" w:hAnsi="仿宋" w:eastAsia="仿宋" w:cs="仿宋"/>
          <w:b/>
          <w:sz w:val="24"/>
        </w:rPr>
        <w:t>2.14乙方破产</w:t>
      </w:r>
      <w:bookmarkEnd w:id="145"/>
      <w:bookmarkEnd w:id="146"/>
      <w:bookmarkEnd w:id="147"/>
      <w:bookmarkEnd w:id="148"/>
      <w:bookmarkEnd w:id="149"/>
      <w:bookmarkEnd w:id="150"/>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51" w:name="_Toc6134"/>
      <w:bookmarkStart w:id="152" w:name="_Toc29333"/>
      <w:bookmarkStart w:id="153" w:name="_Toc15387"/>
      <w:r>
        <w:rPr>
          <w:rFonts w:hint="eastAsia" w:ascii="仿宋" w:hAnsi="仿宋" w:eastAsia="仿宋" w:cs="仿宋"/>
          <w:b/>
          <w:sz w:val="24"/>
        </w:rPr>
        <w:t>2.15 合同中止、终止</w:t>
      </w:r>
      <w:bookmarkEnd w:id="151"/>
      <w:bookmarkEnd w:id="152"/>
      <w:bookmarkEnd w:id="153"/>
    </w:p>
    <w:p>
      <w:pPr>
        <w:spacing w:line="560" w:lineRule="exact"/>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54" w:name="_Toc1125"/>
      <w:bookmarkStart w:id="155" w:name="_Toc6596"/>
      <w:bookmarkStart w:id="156" w:name="_Toc14563"/>
      <w:r>
        <w:rPr>
          <w:rFonts w:hint="eastAsia" w:ascii="仿宋" w:hAnsi="仿宋" w:eastAsia="仿宋" w:cs="仿宋"/>
          <w:b/>
          <w:sz w:val="24"/>
        </w:rPr>
        <w:t>2.16检验和验收</w:t>
      </w:r>
      <w:bookmarkEnd w:id="154"/>
      <w:bookmarkEnd w:id="155"/>
      <w:bookmarkEnd w:id="156"/>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26"/>
    <w:bookmarkEnd w:id="127"/>
    <w:bookmarkEnd w:id="128"/>
    <w:bookmarkEnd w:id="129"/>
    <w:p>
      <w:pPr>
        <w:spacing w:line="560" w:lineRule="exact"/>
        <w:ind w:firstLine="482" w:firstLineChars="200"/>
        <w:outlineLvl w:val="0"/>
        <w:rPr>
          <w:rFonts w:ascii="仿宋" w:hAnsi="仿宋" w:eastAsia="仿宋" w:cs="仿宋"/>
          <w:b/>
          <w:sz w:val="24"/>
        </w:rPr>
      </w:pPr>
      <w:bookmarkStart w:id="157" w:name="_Toc279701261"/>
      <w:bookmarkStart w:id="158" w:name="_Toc259093690"/>
      <w:bookmarkStart w:id="159" w:name="_Toc487900371"/>
      <w:bookmarkStart w:id="160" w:name="_Toc11284"/>
      <w:bookmarkStart w:id="161" w:name="_Toc25182"/>
      <w:bookmarkStart w:id="162" w:name="_Toc19604"/>
      <w:r>
        <w:rPr>
          <w:rFonts w:hint="eastAsia" w:ascii="仿宋" w:hAnsi="仿宋" w:eastAsia="仿宋" w:cs="仿宋"/>
          <w:b/>
          <w:sz w:val="24"/>
        </w:rPr>
        <w:t>2.17 通知</w:t>
      </w:r>
      <w:bookmarkEnd w:id="157"/>
      <w:bookmarkEnd w:id="158"/>
      <w:bookmarkEnd w:id="159"/>
      <w:r>
        <w:rPr>
          <w:rFonts w:hint="eastAsia" w:ascii="仿宋" w:hAnsi="仿宋" w:eastAsia="仿宋" w:cs="仿宋"/>
          <w:b/>
          <w:sz w:val="24"/>
        </w:rPr>
        <w:t>和送达</w:t>
      </w:r>
      <w:bookmarkEnd w:id="160"/>
      <w:bookmarkEnd w:id="161"/>
      <w:bookmarkEnd w:id="162"/>
    </w:p>
    <w:p>
      <w:pPr>
        <w:spacing w:line="560" w:lineRule="exact"/>
        <w:ind w:firstLine="480" w:firstLineChars="200"/>
        <w:rPr>
          <w:rFonts w:ascii="仿宋" w:hAnsi="仿宋" w:eastAsia="仿宋" w:cs="仿宋"/>
          <w:sz w:val="24"/>
        </w:rPr>
      </w:pPr>
      <w:bookmarkStart w:id="163" w:name="_Toc6698"/>
      <w:bookmarkStart w:id="164" w:name="_Toc3135"/>
      <w:bookmarkStart w:id="165" w:name="_Toc259093691"/>
      <w:bookmarkStart w:id="166" w:name="_Toc487900372"/>
      <w:bookmarkStart w:id="167" w:name="_Toc279701262"/>
      <w:r>
        <w:rPr>
          <w:rFonts w:hint="eastAsia" w:ascii="仿宋" w:hAnsi="仿宋" w:eastAsia="仿宋" w:cs="仿宋"/>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63"/>
      <w:bookmarkEnd w:id="164"/>
    </w:p>
    <w:p>
      <w:pPr>
        <w:spacing w:line="560" w:lineRule="exact"/>
        <w:ind w:firstLine="480" w:firstLineChars="200"/>
        <w:rPr>
          <w:rFonts w:ascii="仿宋" w:hAnsi="仿宋" w:eastAsia="仿宋" w:cs="仿宋"/>
          <w:sz w:val="24"/>
        </w:rPr>
      </w:pPr>
      <w:bookmarkStart w:id="168" w:name="_Toc23128"/>
      <w:bookmarkStart w:id="169"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8"/>
      <w:bookmarkEnd w:id="169"/>
    </w:p>
    <w:p>
      <w:pPr>
        <w:spacing w:line="560" w:lineRule="exact"/>
        <w:ind w:firstLine="482" w:firstLineChars="200"/>
        <w:outlineLvl w:val="0"/>
        <w:rPr>
          <w:rFonts w:ascii="仿宋" w:hAnsi="仿宋" w:eastAsia="仿宋" w:cs="仿宋"/>
          <w:b/>
          <w:sz w:val="24"/>
        </w:rPr>
      </w:pPr>
      <w:bookmarkStart w:id="170" w:name="_Toc30599"/>
      <w:bookmarkStart w:id="171" w:name="_Toc18540"/>
      <w:bookmarkStart w:id="172" w:name="_Toc4355"/>
      <w:r>
        <w:rPr>
          <w:rFonts w:hint="eastAsia" w:ascii="仿宋" w:hAnsi="仿宋" w:eastAsia="仿宋" w:cs="仿宋"/>
          <w:b/>
          <w:sz w:val="24"/>
        </w:rPr>
        <w:t>2.18 计量单位</w:t>
      </w:r>
      <w:bookmarkEnd w:id="165"/>
      <w:bookmarkEnd w:id="166"/>
      <w:bookmarkEnd w:id="167"/>
      <w:bookmarkEnd w:id="170"/>
      <w:bookmarkEnd w:id="171"/>
      <w:bookmarkEnd w:id="172"/>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73" w:name="_Toc10330"/>
      <w:bookmarkStart w:id="174" w:name="_Toc18567"/>
      <w:bookmarkStart w:id="175" w:name="_Toc487900373"/>
      <w:bookmarkStart w:id="176" w:name="_Toc12773"/>
      <w:bookmarkStart w:id="177" w:name="_Toc279701263"/>
      <w:bookmarkStart w:id="178" w:name="_Toc259093692"/>
      <w:r>
        <w:rPr>
          <w:rFonts w:hint="eastAsia" w:ascii="仿宋" w:hAnsi="仿宋" w:eastAsia="仿宋" w:cs="仿宋"/>
          <w:b/>
          <w:sz w:val="24"/>
        </w:rPr>
        <w:t>2.19 合同使用的文字和适用的法律</w:t>
      </w:r>
      <w:bookmarkEnd w:id="173"/>
      <w:bookmarkEnd w:id="174"/>
      <w:bookmarkEnd w:id="175"/>
      <w:bookmarkEnd w:id="176"/>
      <w:bookmarkEnd w:id="177"/>
      <w:bookmarkEnd w:id="178"/>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ascii="仿宋" w:hAnsi="仿宋" w:eastAsia="仿宋" w:cs="仿宋"/>
          <w:b/>
          <w:sz w:val="24"/>
        </w:rPr>
      </w:pPr>
      <w:bookmarkStart w:id="179" w:name="_Toc19890"/>
      <w:bookmarkStart w:id="180" w:name="_Toc14001"/>
      <w:bookmarkStart w:id="181" w:name="_Toc6885"/>
      <w:r>
        <w:rPr>
          <w:rFonts w:hint="eastAsia" w:ascii="仿宋" w:hAnsi="仿宋" w:eastAsia="仿宋" w:cs="仿宋"/>
          <w:b/>
          <w:sz w:val="24"/>
        </w:rPr>
        <w:t>2.20 合同份数</w:t>
      </w:r>
      <w:bookmarkEnd w:id="179"/>
      <w:bookmarkEnd w:id="180"/>
      <w:bookmarkEnd w:id="181"/>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adjustRightInd/>
        <w:spacing w:line="360" w:lineRule="auto"/>
        <w:ind w:firstLine="480" w:firstLineChars="200"/>
        <w:jc w:val="center"/>
        <w:outlineLvl w:val="0"/>
        <w:rPr>
          <w:rFonts w:ascii="仿宋" w:hAnsi="仿宋" w:eastAsia="仿宋" w:cs="仿宋"/>
          <w:b/>
        </w:rPr>
      </w:pPr>
      <w:r>
        <w:rPr>
          <w:rFonts w:hint="eastAsia" w:ascii="仿宋" w:hAnsi="仿宋" w:eastAsia="仿宋" w:cs="仿宋"/>
          <w:sz w:val="24"/>
        </w:rPr>
        <w:br w:type="page"/>
      </w:r>
      <w:r>
        <w:rPr>
          <w:rFonts w:hint="eastAsia" w:ascii="仿宋" w:hAnsi="仿宋" w:eastAsia="仿宋" w:cs="仿宋"/>
          <w:b/>
          <w:sz w:val="24"/>
        </w:rPr>
        <w:t>第三部分  合同专用条款</w:t>
      </w:r>
    </w:p>
    <w:p>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5"/>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76"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1.4.2</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1.5.1</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1.5.2 </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1.6.2</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1.7.1</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1.7.2</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1.8.6</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8176"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2.4.1</w:t>
            </w:r>
          </w:p>
        </w:tc>
        <w:tc>
          <w:tcPr>
            <w:tcW w:w="8176"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2.8 </w:t>
            </w:r>
          </w:p>
        </w:tc>
        <w:tc>
          <w:tcPr>
            <w:tcW w:w="8176"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2.12.4</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2.16.1</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 xml:space="preserve">2.20 </w:t>
            </w:r>
          </w:p>
        </w:tc>
        <w:tc>
          <w:tcPr>
            <w:tcW w:w="8176" w:type="dxa"/>
            <w:vAlign w:val="center"/>
          </w:tcPr>
          <w:p>
            <w:pPr>
              <w:spacing w:line="360" w:lineRule="auto"/>
              <w:rPr>
                <w:rFonts w:ascii="仿宋" w:hAnsi="仿宋" w:eastAsia="仿宋" w:cs="仿宋"/>
                <w:sz w:val="24"/>
              </w:rPr>
            </w:pPr>
          </w:p>
        </w:tc>
      </w:tr>
    </w:tbl>
    <w:p>
      <w:pPr>
        <w:rPr>
          <w:rFonts w:ascii="仿宋" w:hAnsi="仿宋" w:eastAsia="仿宋" w:cs="仿宋"/>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b/>
          <w:sz w:val="36"/>
          <w:szCs w:val="20"/>
        </w:rPr>
      </w:pPr>
      <w:r>
        <w:rPr>
          <w:rFonts w:hint="eastAsia" w:ascii="仿宋" w:hAnsi="仿宋" w:eastAsia="仿宋" w:cs="仿宋"/>
          <w:b/>
          <w:sz w:val="24"/>
        </w:rPr>
        <w:t>2.评分标准：</w:t>
      </w:r>
      <w:r>
        <w:rPr>
          <w:rFonts w:hint="eastAsia" w:ascii="仿宋" w:hAnsi="仿宋" w:eastAsia="仿宋" w:cs="仿宋"/>
          <w:sz w:val="24"/>
        </w:rPr>
        <w:t>总分100分，其中标商务技术分60分，价格分40分。下述所列为评分依据，分值如下（计算分值时，按其算术平均值保留小数2位）。</w:t>
      </w:r>
    </w:p>
    <w:p>
      <w:pPr>
        <w:widowControl/>
        <w:snapToGrid w:val="0"/>
        <w:spacing w:line="480" w:lineRule="exact"/>
        <w:rPr>
          <w:rFonts w:ascii="仿宋" w:hAnsi="仿宋" w:eastAsia="仿宋" w:cs="仿宋"/>
          <w:b/>
          <w:bCs/>
          <w:kern w:val="0"/>
          <w:sz w:val="24"/>
        </w:rPr>
      </w:pPr>
      <w:r>
        <w:rPr>
          <w:rFonts w:hint="eastAsia" w:ascii="仿宋" w:hAnsi="仿宋" w:eastAsia="仿宋" w:cs="仿宋"/>
          <w:b/>
          <w:bCs/>
          <w:iCs/>
          <w:sz w:val="24"/>
        </w:rPr>
        <w:t xml:space="preserve">2.1 </w:t>
      </w:r>
      <w:r>
        <w:rPr>
          <w:rFonts w:hint="eastAsia" w:ascii="仿宋" w:hAnsi="仿宋" w:eastAsia="仿宋" w:cs="仿宋"/>
          <w:b/>
          <w:bCs/>
          <w:kern w:val="0"/>
          <w:sz w:val="24"/>
        </w:rPr>
        <w:t>商务技术分：60分</w:t>
      </w:r>
    </w:p>
    <w:tbl>
      <w:tblPr>
        <w:tblStyle w:val="65"/>
        <w:tblW w:w="8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6945"/>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134" w:type="dxa"/>
            <w:shd w:val="clear" w:color="auto" w:fill="auto"/>
            <w:vAlign w:val="center"/>
          </w:tcPr>
          <w:p>
            <w:pPr>
              <w:snapToGrid w:val="0"/>
              <w:spacing w:line="360" w:lineRule="exact"/>
              <w:jc w:val="center"/>
              <w:rPr>
                <w:rFonts w:ascii="仿宋" w:hAnsi="仿宋" w:eastAsia="仿宋" w:cs="仿宋"/>
                <w:b/>
                <w:color w:val="000000"/>
                <w:szCs w:val="21"/>
              </w:rPr>
            </w:pPr>
            <w:r>
              <w:rPr>
                <w:rFonts w:hint="eastAsia" w:ascii="仿宋" w:hAnsi="仿宋" w:eastAsia="仿宋" w:cs="仿宋"/>
                <w:b/>
                <w:color w:val="000000"/>
                <w:szCs w:val="21"/>
              </w:rPr>
              <w:t>评审内容</w:t>
            </w:r>
          </w:p>
        </w:tc>
        <w:tc>
          <w:tcPr>
            <w:tcW w:w="6945" w:type="dxa"/>
            <w:shd w:val="clear" w:color="auto" w:fill="auto"/>
            <w:noWrap/>
            <w:vAlign w:val="center"/>
          </w:tcPr>
          <w:p>
            <w:pPr>
              <w:snapToGrid w:val="0"/>
              <w:spacing w:line="360" w:lineRule="exact"/>
              <w:jc w:val="center"/>
              <w:rPr>
                <w:rFonts w:ascii="仿宋" w:hAnsi="仿宋" w:eastAsia="仿宋" w:cs="仿宋"/>
                <w:b/>
                <w:color w:val="000000"/>
                <w:szCs w:val="21"/>
              </w:rPr>
            </w:pPr>
            <w:r>
              <w:rPr>
                <w:rFonts w:hint="eastAsia" w:ascii="仿宋" w:hAnsi="仿宋" w:eastAsia="仿宋" w:cs="仿宋"/>
                <w:b/>
                <w:color w:val="000000"/>
                <w:szCs w:val="21"/>
              </w:rPr>
              <w:t>评分标准</w:t>
            </w:r>
          </w:p>
        </w:tc>
        <w:tc>
          <w:tcPr>
            <w:tcW w:w="709" w:type="dxa"/>
            <w:shd w:val="clear" w:color="auto" w:fill="auto"/>
            <w:noWrap/>
            <w:vAlign w:val="center"/>
          </w:tcPr>
          <w:p>
            <w:pPr>
              <w:snapToGrid w:val="0"/>
              <w:spacing w:line="360" w:lineRule="exact"/>
              <w:jc w:val="center"/>
              <w:rPr>
                <w:rFonts w:ascii="仿宋" w:hAnsi="仿宋" w:eastAsia="仿宋" w:cs="仿宋"/>
                <w:b/>
                <w:color w:val="000000"/>
                <w:szCs w:val="21"/>
              </w:rPr>
            </w:pPr>
            <w:r>
              <w:rPr>
                <w:rFonts w:hint="eastAsia" w:ascii="仿宋" w:hAnsi="仿宋" w:eastAsia="仿宋" w:cs="仿宋"/>
                <w:b/>
                <w:color w:val="00000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34" w:type="dxa"/>
            <w:vMerge w:val="restart"/>
            <w:shd w:val="clear" w:color="auto" w:fill="auto"/>
            <w:vAlign w:val="center"/>
          </w:tcPr>
          <w:p>
            <w:pPr>
              <w:widowControl/>
              <w:snapToGrid w:val="0"/>
              <w:spacing w:line="360" w:lineRule="exact"/>
              <w:jc w:val="center"/>
              <w:textAlignment w:val="center"/>
              <w:rPr>
                <w:rFonts w:ascii="仿宋" w:hAnsi="仿宋" w:eastAsia="仿宋" w:cs="仿宋"/>
                <w:kern w:val="0"/>
                <w:sz w:val="24"/>
              </w:rPr>
            </w:pPr>
            <w:r>
              <w:rPr>
                <w:rFonts w:hint="eastAsia" w:ascii="仿宋" w:hAnsi="仿宋" w:eastAsia="仿宋" w:cs="仿宋"/>
                <w:kern w:val="0"/>
                <w:sz w:val="24"/>
              </w:rPr>
              <w:t>资信实力</w:t>
            </w:r>
          </w:p>
        </w:tc>
        <w:tc>
          <w:tcPr>
            <w:tcW w:w="6945" w:type="dxa"/>
            <w:shd w:val="clear" w:color="auto" w:fill="auto"/>
            <w:noWrap/>
            <w:vAlign w:val="center"/>
          </w:tcPr>
          <w:p>
            <w:pPr>
              <w:widowControl/>
              <w:snapToGrid w:val="0"/>
              <w:spacing w:line="360" w:lineRule="exact"/>
              <w:jc w:val="left"/>
              <w:textAlignment w:val="center"/>
              <w:rPr>
                <w:rFonts w:ascii="仿宋" w:hAnsi="仿宋" w:eastAsia="仿宋" w:cs="仿宋"/>
                <w:kern w:val="0"/>
                <w:sz w:val="24"/>
              </w:rPr>
            </w:pPr>
            <w:r>
              <w:rPr>
                <w:rFonts w:hint="eastAsia" w:ascii="仿宋" w:hAnsi="仿宋" w:eastAsia="仿宋" w:cs="仿宋"/>
                <w:kern w:val="0"/>
                <w:sz w:val="24"/>
              </w:rPr>
              <w:t>提供所投的二氧化氯发生器取得近2年内具有CMA检测认证机构出具的关于产品性能的检测报告的得3分</w:t>
            </w:r>
          </w:p>
          <w:p>
            <w:pPr>
              <w:widowControl/>
              <w:snapToGrid w:val="0"/>
              <w:spacing w:line="360" w:lineRule="exact"/>
              <w:jc w:val="left"/>
              <w:textAlignment w:val="center"/>
              <w:rPr>
                <w:rFonts w:ascii="仿宋" w:hAnsi="仿宋" w:eastAsia="仿宋" w:cs="仿宋"/>
                <w:kern w:val="0"/>
                <w:sz w:val="24"/>
              </w:rPr>
            </w:pPr>
            <w:r>
              <w:rPr>
                <w:rFonts w:hint="eastAsia" w:ascii="仿宋" w:hAnsi="仿宋" w:eastAsia="仿宋" w:cs="仿宋"/>
                <w:kern w:val="0"/>
                <w:sz w:val="24"/>
              </w:rPr>
              <w:t>（提供检测报告复印件，并加投标单位的公章）。</w:t>
            </w:r>
          </w:p>
        </w:tc>
        <w:tc>
          <w:tcPr>
            <w:tcW w:w="709" w:type="dxa"/>
            <w:shd w:val="clear" w:color="auto" w:fill="auto"/>
            <w:noWrap/>
            <w:vAlign w:val="center"/>
          </w:tcPr>
          <w:p>
            <w:pPr>
              <w:widowControl/>
              <w:snapToGrid w:val="0"/>
              <w:spacing w:line="360" w:lineRule="exact"/>
              <w:jc w:val="center"/>
              <w:textAlignment w:val="center"/>
              <w:rPr>
                <w:rFonts w:ascii="仿宋" w:hAnsi="仿宋" w:eastAsia="仿宋" w:cs="仿宋"/>
                <w:sz w:val="24"/>
              </w:rPr>
            </w:pPr>
            <w:r>
              <w:rPr>
                <w:rFonts w:hint="eastAsia" w:ascii="仿宋" w:hAnsi="仿宋" w:eastAsia="仿宋" w:cs="仿宋"/>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34" w:type="dxa"/>
            <w:vMerge w:val="continue"/>
            <w:shd w:val="clear" w:color="auto" w:fill="auto"/>
            <w:vAlign w:val="center"/>
          </w:tcPr>
          <w:p>
            <w:pPr>
              <w:snapToGrid w:val="0"/>
              <w:spacing w:line="360" w:lineRule="exact"/>
              <w:jc w:val="center"/>
              <w:rPr>
                <w:rFonts w:ascii="仿宋" w:hAnsi="仿宋" w:eastAsia="仿宋" w:cs="仿宋"/>
                <w:sz w:val="24"/>
              </w:rPr>
            </w:pPr>
          </w:p>
        </w:tc>
        <w:tc>
          <w:tcPr>
            <w:tcW w:w="6945" w:type="dxa"/>
            <w:shd w:val="clear" w:color="auto" w:fill="auto"/>
            <w:noWrap/>
            <w:vAlign w:val="center"/>
          </w:tcPr>
          <w:p>
            <w:pPr>
              <w:widowControl/>
              <w:snapToGrid w:val="0"/>
              <w:spacing w:line="360" w:lineRule="exact"/>
              <w:jc w:val="left"/>
              <w:textAlignment w:val="center"/>
              <w:rPr>
                <w:rFonts w:ascii="仿宋" w:hAnsi="仿宋" w:eastAsia="仿宋" w:cs="仿宋"/>
                <w:kern w:val="0"/>
                <w:sz w:val="24"/>
              </w:rPr>
            </w:pPr>
            <w:r>
              <w:rPr>
                <w:rFonts w:hint="eastAsia" w:ascii="仿宋" w:hAnsi="仿宋" w:eastAsia="仿宋" w:cs="仿宋"/>
                <w:kern w:val="0"/>
                <w:sz w:val="24"/>
              </w:rPr>
              <w:t>提供所投的二氧化氯发生器系列产品在全国消毒产品网上备案，且使用范围为：医院污水消毒的得2分（提供“全国消毒产品网上备案信息服务平台”网上查询截图，并加投标单位的公章）。</w:t>
            </w:r>
          </w:p>
        </w:tc>
        <w:tc>
          <w:tcPr>
            <w:tcW w:w="709" w:type="dxa"/>
            <w:shd w:val="clear" w:color="auto" w:fill="auto"/>
            <w:noWrap/>
            <w:vAlign w:val="center"/>
          </w:tcPr>
          <w:p>
            <w:pPr>
              <w:widowControl/>
              <w:snapToGrid w:val="0"/>
              <w:spacing w:line="360" w:lineRule="exact"/>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34" w:type="dxa"/>
            <w:vMerge w:val="continue"/>
            <w:shd w:val="clear" w:color="auto" w:fill="auto"/>
            <w:vAlign w:val="center"/>
          </w:tcPr>
          <w:p>
            <w:pPr>
              <w:snapToGrid w:val="0"/>
              <w:spacing w:line="360" w:lineRule="exact"/>
              <w:jc w:val="center"/>
              <w:rPr>
                <w:rFonts w:ascii="仿宋" w:hAnsi="仿宋" w:eastAsia="仿宋" w:cs="仿宋"/>
                <w:sz w:val="24"/>
              </w:rPr>
            </w:pPr>
          </w:p>
        </w:tc>
        <w:tc>
          <w:tcPr>
            <w:tcW w:w="6945" w:type="dxa"/>
            <w:shd w:val="clear" w:color="auto" w:fill="auto"/>
            <w:noWrap/>
            <w:vAlign w:val="center"/>
          </w:tcPr>
          <w:p>
            <w:pPr>
              <w:widowControl/>
              <w:snapToGrid w:val="0"/>
              <w:spacing w:line="360" w:lineRule="exact"/>
              <w:jc w:val="left"/>
              <w:textAlignment w:val="center"/>
              <w:rPr>
                <w:rFonts w:ascii="仿宋" w:hAnsi="仿宋" w:eastAsia="仿宋" w:cs="仿宋"/>
                <w:kern w:val="0"/>
                <w:sz w:val="24"/>
              </w:rPr>
            </w:pPr>
            <w:r>
              <w:rPr>
                <w:rFonts w:hint="eastAsia" w:ascii="仿宋" w:hAnsi="仿宋" w:eastAsia="仿宋" w:cs="仿宋"/>
                <w:sz w:val="24"/>
              </w:rPr>
              <w:t>投标人拟担任本改造项目负责人有环境工程施工企业项目经理证书（废水）的得2分，投标文件中提供职称证书复印件加盖公章并提供社保证明；</w:t>
            </w:r>
          </w:p>
        </w:tc>
        <w:tc>
          <w:tcPr>
            <w:tcW w:w="709" w:type="dxa"/>
            <w:shd w:val="clear" w:color="auto" w:fill="auto"/>
            <w:noWrap/>
            <w:vAlign w:val="center"/>
          </w:tcPr>
          <w:p>
            <w:pPr>
              <w:widowControl/>
              <w:snapToGrid w:val="0"/>
              <w:spacing w:line="360" w:lineRule="exact"/>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134" w:type="dxa"/>
            <w:vMerge w:val="restart"/>
            <w:shd w:val="clear" w:color="auto" w:fill="auto"/>
            <w:vAlign w:val="center"/>
          </w:tcPr>
          <w:p>
            <w:pPr>
              <w:widowControl/>
              <w:snapToGrid w:val="0"/>
              <w:spacing w:line="360" w:lineRule="exact"/>
              <w:jc w:val="center"/>
              <w:textAlignment w:val="center"/>
              <w:rPr>
                <w:rFonts w:ascii="仿宋" w:hAnsi="仿宋" w:eastAsia="仿宋" w:cs="仿宋"/>
                <w:sz w:val="24"/>
              </w:rPr>
            </w:pPr>
            <w:r>
              <w:rPr>
                <w:rFonts w:hint="eastAsia" w:ascii="仿宋" w:hAnsi="仿宋" w:eastAsia="仿宋" w:cs="仿宋"/>
                <w:kern w:val="0"/>
                <w:sz w:val="24"/>
              </w:rPr>
              <w:t>产品和质量响应情况</w:t>
            </w:r>
          </w:p>
        </w:tc>
        <w:tc>
          <w:tcPr>
            <w:tcW w:w="6945" w:type="dxa"/>
            <w:shd w:val="clear" w:color="auto" w:fill="auto"/>
            <w:vAlign w:val="center"/>
          </w:tcPr>
          <w:p>
            <w:pPr>
              <w:widowControl/>
              <w:snapToGrid w:val="0"/>
              <w:spacing w:line="360" w:lineRule="exact"/>
              <w:jc w:val="left"/>
              <w:textAlignment w:val="center"/>
              <w:rPr>
                <w:rFonts w:ascii="仿宋" w:hAnsi="仿宋" w:eastAsia="仿宋" w:cs="仿宋"/>
                <w:sz w:val="24"/>
              </w:rPr>
            </w:pPr>
            <w:r>
              <w:rPr>
                <w:rFonts w:hint="eastAsia" w:ascii="仿宋" w:hAnsi="仿宋" w:eastAsia="仿宋" w:cs="仿宋"/>
                <w:kern w:val="0"/>
                <w:sz w:val="24"/>
              </w:rPr>
              <w:t>根据供应商所投产品的技术性能描述，针对设备技术性能，安全性能，经济性能，操作性能等方面综合评价0-6分。</w:t>
            </w:r>
          </w:p>
        </w:tc>
        <w:tc>
          <w:tcPr>
            <w:tcW w:w="709" w:type="dxa"/>
            <w:shd w:val="clear" w:color="auto" w:fill="auto"/>
            <w:noWrap/>
            <w:vAlign w:val="center"/>
          </w:tcPr>
          <w:p>
            <w:pPr>
              <w:widowControl/>
              <w:snapToGrid w:val="0"/>
              <w:spacing w:line="360" w:lineRule="exact"/>
              <w:jc w:val="center"/>
              <w:textAlignment w:val="center"/>
              <w:rPr>
                <w:rFonts w:ascii="仿宋" w:hAnsi="仿宋" w:eastAsia="仿宋" w:cs="仿宋"/>
                <w:sz w:val="24"/>
              </w:rPr>
            </w:pPr>
            <w:r>
              <w:rPr>
                <w:rFonts w:hint="eastAsia" w:ascii="仿宋" w:hAnsi="仿宋" w:eastAsia="仿宋" w:cs="仿宋"/>
                <w:kern w:val="0"/>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34" w:type="dxa"/>
            <w:vMerge w:val="continue"/>
            <w:shd w:val="clear" w:color="auto" w:fill="auto"/>
            <w:vAlign w:val="center"/>
          </w:tcPr>
          <w:p>
            <w:pPr>
              <w:snapToGrid w:val="0"/>
              <w:spacing w:line="360" w:lineRule="exact"/>
              <w:jc w:val="center"/>
              <w:rPr>
                <w:rFonts w:ascii="仿宋" w:hAnsi="仿宋" w:eastAsia="仿宋" w:cs="仿宋"/>
                <w:sz w:val="24"/>
              </w:rPr>
            </w:pPr>
          </w:p>
        </w:tc>
        <w:tc>
          <w:tcPr>
            <w:tcW w:w="6945" w:type="dxa"/>
            <w:shd w:val="clear" w:color="auto" w:fill="auto"/>
            <w:vAlign w:val="center"/>
          </w:tcPr>
          <w:p>
            <w:pPr>
              <w:widowControl/>
              <w:snapToGrid w:val="0"/>
              <w:spacing w:line="360" w:lineRule="exact"/>
              <w:textAlignment w:val="center"/>
              <w:rPr>
                <w:rFonts w:ascii="仿宋" w:hAnsi="仿宋" w:eastAsia="仿宋" w:cs="仿宋"/>
                <w:sz w:val="24"/>
              </w:rPr>
            </w:pPr>
            <w:r>
              <w:rPr>
                <w:rFonts w:hint="eastAsia" w:ascii="仿宋" w:hAnsi="仿宋" w:eastAsia="仿宋" w:cs="仿宋"/>
                <w:kern w:val="0"/>
                <w:sz w:val="24"/>
              </w:rPr>
              <w:t>根据供应商针对本项目的质量管理（工作流程、计划安排、质量控制程序、安全保证措施等）综合评价0-6分。</w:t>
            </w:r>
          </w:p>
        </w:tc>
        <w:tc>
          <w:tcPr>
            <w:tcW w:w="709" w:type="dxa"/>
            <w:shd w:val="clear" w:color="auto" w:fill="auto"/>
            <w:noWrap/>
            <w:vAlign w:val="center"/>
          </w:tcPr>
          <w:p>
            <w:pPr>
              <w:widowControl/>
              <w:snapToGrid w:val="0"/>
              <w:spacing w:line="360" w:lineRule="exact"/>
              <w:jc w:val="center"/>
              <w:textAlignment w:val="center"/>
              <w:rPr>
                <w:rFonts w:ascii="仿宋" w:hAnsi="仿宋" w:eastAsia="仿宋" w:cs="仿宋"/>
                <w:sz w:val="24"/>
              </w:rPr>
            </w:pPr>
            <w:r>
              <w:rPr>
                <w:rFonts w:hint="eastAsia" w:ascii="仿宋" w:hAnsi="仿宋" w:eastAsia="仿宋" w:cs="仿宋"/>
                <w:kern w:val="0"/>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4" w:type="dxa"/>
            <w:shd w:val="clear" w:color="auto" w:fill="auto"/>
            <w:vAlign w:val="center"/>
          </w:tcPr>
          <w:p>
            <w:pPr>
              <w:widowControl/>
              <w:snapToGrid w:val="0"/>
              <w:spacing w:line="360" w:lineRule="exact"/>
              <w:jc w:val="center"/>
              <w:textAlignment w:val="center"/>
              <w:rPr>
                <w:rFonts w:ascii="仿宋" w:hAnsi="仿宋" w:eastAsia="仿宋" w:cs="仿宋"/>
                <w:sz w:val="24"/>
              </w:rPr>
            </w:pPr>
            <w:r>
              <w:rPr>
                <w:rFonts w:hint="eastAsia" w:ascii="仿宋" w:hAnsi="仿宋" w:eastAsia="仿宋" w:cs="仿宋"/>
                <w:kern w:val="0"/>
                <w:sz w:val="24"/>
              </w:rPr>
              <w:t>产品性能和技术参数</w:t>
            </w:r>
          </w:p>
        </w:tc>
        <w:tc>
          <w:tcPr>
            <w:tcW w:w="6945" w:type="dxa"/>
            <w:shd w:val="clear" w:color="auto" w:fill="auto"/>
            <w:noWrap/>
            <w:vAlign w:val="center"/>
          </w:tcPr>
          <w:p>
            <w:pPr>
              <w:snapToGrid w:val="0"/>
              <w:rPr>
                <w:rFonts w:ascii="仿宋" w:hAnsi="仿宋" w:eastAsia="仿宋" w:cs="仿宋"/>
                <w:kern w:val="0"/>
                <w:sz w:val="24"/>
              </w:rPr>
            </w:pPr>
            <w:r>
              <w:rPr>
                <w:rFonts w:hint="eastAsia" w:ascii="仿宋" w:hAnsi="仿宋" w:eastAsia="仿宋" w:cs="仿宋"/>
                <w:kern w:val="0"/>
                <w:sz w:val="24"/>
              </w:rPr>
              <w:t>根据招标文件第三部分中招标项目范围及要求—五、产品性能和技术参数进行评审：完全满足招标文件要求得24分：打“★”的指标为实质性要求，负偏离的作无效投标处理；打“▲”的指标为主要功能、配置，每偏离一项扣4分；一般指标每偏离一项的扣2分。扣完为止。</w:t>
            </w:r>
          </w:p>
        </w:tc>
        <w:tc>
          <w:tcPr>
            <w:tcW w:w="709" w:type="dxa"/>
            <w:shd w:val="clear" w:color="auto" w:fill="auto"/>
            <w:noWrap/>
            <w:vAlign w:val="center"/>
          </w:tcPr>
          <w:p>
            <w:pPr>
              <w:widowControl/>
              <w:snapToGrid w:val="0"/>
              <w:spacing w:line="360" w:lineRule="exact"/>
              <w:jc w:val="center"/>
              <w:textAlignment w:val="center"/>
              <w:rPr>
                <w:rFonts w:ascii="仿宋" w:hAnsi="仿宋" w:eastAsia="仿宋" w:cs="仿宋"/>
                <w:sz w:val="24"/>
              </w:rPr>
            </w:pPr>
            <w:r>
              <w:rPr>
                <w:rFonts w:hint="eastAsia" w:ascii="仿宋" w:hAnsi="仿宋" w:eastAsia="仿宋" w:cs="仿宋"/>
                <w:sz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134" w:type="dxa"/>
            <w:vMerge w:val="restart"/>
            <w:shd w:val="clear" w:color="auto" w:fill="auto"/>
            <w:vAlign w:val="center"/>
          </w:tcPr>
          <w:p>
            <w:pPr>
              <w:snapToGrid w:val="0"/>
              <w:spacing w:line="360" w:lineRule="exact"/>
              <w:jc w:val="center"/>
              <w:rPr>
                <w:rFonts w:ascii="仿宋" w:hAnsi="仿宋" w:eastAsia="仿宋" w:cs="仿宋"/>
                <w:sz w:val="24"/>
              </w:rPr>
            </w:pPr>
            <w:r>
              <w:rPr>
                <w:rFonts w:hint="eastAsia" w:ascii="仿宋" w:hAnsi="仿宋" w:eastAsia="仿宋" w:cs="仿宋"/>
                <w:kern w:val="0"/>
                <w:sz w:val="24"/>
              </w:rPr>
              <w:t>商务服务和类似业绩能力</w:t>
            </w:r>
          </w:p>
        </w:tc>
        <w:tc>
          <w:tcPr>
            <w:tcW w:w="6945" w:type="dxa"/>
            <w:shd w:val="clear" w:color="auto" w:fill="auto"/>
            <w:vAlign w:val="center"/>
          </w:tcPr>
          <w:p>
            <w:pPr>
              <w:snapToGrid w:val="0"/>
              <w:rPr>
                <w:rFonts w:ascii="仿宋" w:hAnsi="仿宋" w:eastAsia="仿宋" w:cs="仿宋"/>
                <w:kern w:val="0"/>
                <w:sz w:val="24"/>
              </w:rPr>
            </w:pPr>
            <w:r>
              <w:rPr>
                <w:rFonts w:hint="eastAsia" w:ascii="仿宋" w:hAnsi="仿宋" w:eastAsia="仿宋" w:cs="仿宋"/>
                <w:kern w:val="0"/>
                <w:sz w:val="24"/>
              </w:rPr>
              <w:t>根据供应商提供相应设备的安装调试培训（方案、时间、内容、地点、人员数等方面）情况综合评价0-6分。</w:t>
            </w:r>
          </w:p>
        </w:tc>
        <w:tc>
          <w:tcPr>
            <w:tcW w:w="709" w:type="dxa"/>
            <w:shd w:val="clear" w:color="auto" w:fill="auto"/>
            <w:noWrap/>
            <w:vAlign w:val="center"/>
          </w:tcPr>
          <w:p>
            <w:pPr>
              <w:widowControl/>
              <w:snapToGrid w:val="0"/>
              <w:spacing w:line="360" w:lineRule="exact"/>
              <w:jc w:val="center"/>
              <w:textAlignment w:val="center"/>
              <w:rPr>
                <w:rFonts w:ascii="仿宋" w:hAnsi="仿宋" w:eastAsia="仿宋" w:cs="仿宋"/>
                <w:sz w:val="24"/>
              </w:rPr>
            </w:pPr>
            <w:r>
              <w:rPr>
                <w:rFonts w:hint="eastAsia" w:ascii="仿宋" w:hAnsi="仿宋" w:eastAsia="仿宋" w:cs="仿宋"/>
                <w:kern w:val="0"/>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134" w:type="dxa"/>
            <w:vMerge w:val="continue"/>
            <w:shd w:val="clear" w:color="auto" w:fill="auto"/>
            <w:vAlign w:val="center"/>
          </w:tcPr>
          <w:p>
            <w:pPr>
              <w:snapToGrid w:val="0"/>
              <w:spacing w:line="360" w:lineRule="exact"/>
              <w:jc w:val="center"/>
              <w:rPr>
                <w:rFonts w:ascii="仿宋" w:hAnsi="仿宋" w:eastAsia="仿宋" w:cs="仿宋"/>
                <w:kern w:val="0"/>
                <w:sz w:val="24"/>
              </w:rPr>
            </w:pPr>
          </w:p>
        </w:tc>
        <w:tc>
          <w:tcPr>
            <w:tcW w:w="6945" w:type="dxa"/>
            <w:shd w:val="clear" w:color="auto" w:fill="auto"/>
            <w:vAlign w:val="center"/>
          </w:tcPr>
          <w:p>
            <w:pPr>
              <w:widowControl/>
              <w:snapToGrid w:val="0"/>
              <w:spacing w:line="360" w:lineRule="exact"/>
              <w:jc w:val="left"/>
              <w:textAlignment w:val="center"/>
              <w:rPr>
                <w:rFonts w:ascii="仿宋" w:hAnsi="仿宋" w:eastAsia="仿宋" w:cs="仿宋"/>
                <w:kern w:val="0"/>
                <w:sz w:val="24"/>
              </w:rPr>
            </w:pPr>
            <w:r>
              <w:rPr>
                <w:rFonts w:hint="eastAsia" w:ascii="仿宋" w:hAnsi="仿宋" w:eastAsia="仿宋" w:cs="仿宋"/>
                <w:kern w:val="0"/>
                <w:sz w:val="24"/>
              </w:rPr>
              <w:t>根据供应商针对本项目提供的售后服务方案（服务能力、定期回访巡检、故障响应及时性等）及配件供应、优惠条件情况等综合评价0-6分。</w:t>
            </w:r>
          </w:p>
        </w:tc>
        <w:tc>
          <w:tcPr>
            <w:tcW w:w="709" w:type="dxa"/>
            <w:shd w:val="clear" w:color="auto" w:fill="auto"/>
            <w:noWrap/>
            <w:vAlign w:val="center"/>
          </w:tcPr>
          <w:p>
            <w:pPr>
              <w:widowControl/>
              <w:snapToGrid w:val="0"/>
              <w:spacing w:line="360" w:lineRule="exact"/>
              <w:jc w:val="center"/>
              <w:textAlignment w:val="center"/>
              <w:rPr>
                <w:rFonts w:ascii="仿宋" w:hAnsi="仿宋" w:eastAsia="仿宋" w:cs="仿宋"/>
                <w:kern w:val="0"/>
                <w:sz w:val="24"/>
              </w:rPr>
            </w:pPr>
            <w:r>
              <w:rPr>
                <w:rFonts w:hint="eastAsia" w:ascii="仿宋" w:hAnsi="仿宋" w:eastAsia="仿宋" w:cs="仿宋"/>
                <w:kern w:val="0"/>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134" w:type="dxa"/>
            <w:vMerge w:val="continue"/>
            <w:shd w:val="clear" w:color="auto" w:fill="auto"/>
            <w:vAlign w:val="center"/>
          </w:tcPr>
          <w:p>
            <w:pPr>
              <w:widowControl/>
              <w:snapToGrid w:val="0"/>
              <w:spacing w:line="360" w:lineRule="exact"/>
              <w:jc w:val="left"/>
              <w:textAlignment w:val="center"/>
              <w:rPr>
                <w:color w:val="auto"/>
              </w:rPr>
            </w:pPr>
          </w:p>
        </w:tc>
        <w:tc>
          <w:tcPr>
            <w:tcW w:w="6945" w:type="dxa"/>
            <w:shd w:val="clear" w:color="auto" w:fill="auto"/>
            <w:vAlign w:val="center"/>
          </w:tcPr>
          <w:p>
            <w:pPr>
              <w:widowControl/>
              <w:snapToGrid w:val="0"/>
              <w:spacing w:line="360" w:lineRule="exact"/>
              <w:jc w:val="left"/>
              <w:textAlignment w:val="center"/>
              <w:rPr>
                <w:rFonts w:ascii="仿宋" w:hAnsi="仿宋" w:eastAsia="仿宋" w:cs="仿宋"/>
                <w:color w:val="auto"/>
                <w:kern w:val="0"/>
                <w:sz w:val="24"/>
              </w:rPr>
            </w:pPr>
            <w:r>
              <w:rPr>
                <w:rFonts w:hint="eastAsia" w:ascii="仿宋" w:hAnsi="仿宋" w:eastAsia="仿宋" w:cs="仿宋"/>
                <w:color w:val="auto"/>
                <w:sz w:val="24"/>
                <w:lang w:val="zh-CN"/>
              </w:rPr>
              <w:t>根据投标人提供原厂延保服务</w:t>
            </w:r>
            <w:r>
              <w:rPr>
                <w:rFonts w:hint="eastAsia" w:ascii="仿宋" w:hAnsi="仿宋" w:eastAsia="仿宋" w:cs="仿宋"/>
                <w:color w:val="auto"/>
                <w:sz w:val="24"/>
              </w:rPr>
              <w:t>的</w:t>
            </w:r>
            <w:r>
              <w:rPr>
                <w:rFonts w:hint="eastAsia" w:ascii="仿宋" w:hAnsi="仿宋" w:eastAsia="仿宋" w:cs="仿宋"/>
                <w:color w:val="auto"/>
                <w:sz w:val="24"/>
                <w:lang w:val="zh-CN"/>
              </w:rPr>
              <w:t>承诺</w:t>
            </w:r>
            <w:r>
              <w:rPr>
                <w:rFonts w:hint="eastAsia" w:ascii="仿宋" w:hAnsi="仿宋" w:eastAsia="仿宋" w:cs="仿宋"/>
                <w:color w:val="auto"/>
                <w:sz w:val="24"/>
              </w:rPr>
              <w:t>进行打分，</w:t>
            </w:r>
            <w:r>
              <w:rPr>
                <w:rFonts w:hint="eastAsia" w:ascii="仿宋" w:hAnsi="仿宋" w:eastAsia="仿宋" w:cs="仿宋"/>
                <w:color w:val="auto"/>
                <w:sz w:val="24"/>
                <w:lang w:val="zh-CN"/>
              </w:rPr>
              <w:t>每增加1年加1分，最高</w:t>
            </w:r>
            <w:r>
              <w:rPr>
                <w:rFonts w:hint="eastAsia" w:ascii="仿宋" w:hAnsi="仿宋" w:eastAsia="仿宋" w:cs="仿宋"/>
                <w:color w:val="auto"/>
                <w:sz w:val="24"/>
              </w:rPr>
              <w:t>3</w:t>
            </w:r>
            <w:r>
              <w:rPr>
                <w:rFonts w:hint="eastAsia" w:ascii="仿宋" w:hAnsi="仿宋" w:eastAsia="仿宋" w:cs="仿宋"/>
                <w:color w:val="auto"/>
                <w:sz w:val="24"/>
                <w:lang w:val="zh-CN"/>
              </w:rPr>
              <w:t>分。</w:t>
            </w:r>
            <w:r>
              <w:rPr>
                <w:rFonts w:hint="eastAsia" w:ascii="仿宋" w:hAnsi="仿宋" w:eastAsia="仿宋" w:cs="仿宋"/>
                <w:color w:val="auto"/>
                <w:kern w:val="0"/>
                <w:sz w:val="24"/>
              </w:rPr>
              <w:t>(提供承诺函加盖投标单位的公章）。</w:t>
            </w:r>
          </w:p>
        </w:tc>
        <w:tc>
          <w:tcPr>
            <w:tcW w:w="709" w:type="dxa"/>
            <w:shd w:val="clear" w:color="auto" w:fill="auto"/>
            <w:noWrap/>
            <w:vAlign w:val="center"/>
          </w:tcPr>
          <w:p>
            <w:pPr>
              <w:widowControl/>
              <w:snapToGrid w:val="0"/>
              <w:spacing w:line="360" w:lineRule="exact"/>
              <w:ind w:firstLine="240" w:firstLineChars="100"/>
              <w:jc w:val="left"/>
              <w:textAlignment w:val="center"/>
              <w:rPr>
                <w:rFonts w:ascii="仿宋" w:hAnsi="仿宋" w:eastAsia="仿宋" w:cs="仿宋"/>
                <w:color w:val="auto"/>
                <w:kern w:val="0"/>
                <w:sz w:val="24"/>
              </w:rPr>
            </w:pPr>
            <w:r>
              <w:rPr>
                <w:rFonts w:hint="eastAsia" w:ascii="仿宋" w:hAnsi="仿宋" w:eastAsia="仿宋" w:cs="仿宋"/>
                <w:color w:val="auto"/>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134" w:type="dxa"/>
            <w:vMerge w:val="continue"/>
            <w:shd w:val="clear" w:color="auto" w:fill="auto"/>
            <w:vAlign w:val="center"/>
          </w:tcPr>
          <w:p>
            <w:pPr>
              <w:snapToGrid w:val="0"/>
              <w:spacing w:line="360" w:lineRule="exact"/>
              <w:jc w:val="center"/>
              <w:rPr>
                <w:rFonts w:ascii="仿宋" w:hAnsi="仿宋" w:eastAsia="仿宋" w:cs="仿宋"/>
                <w:kern w:val="0"/>
                <w:sz w:val="24"/>
              </w:rPr>
            </w:pPr>
          </w:p>
        </w:tc>
        <w:tc>
          <w:tcPr>
            <w:tcW w:w="6945" w:type="dxa"/>
            <w:shd w:val="clear" w:color="auto" w:fill="auto"/>
            <w:vAlign w:val="center"/>
          </w:tcPr>
          <w:p>
            <w:pPr>
              <w:widowControl/>
              <w:snapToGrid w:val="0"/>
              <w:spacing w:line="360" w:lineRule="exact"/>
              <w:jc w:val="left"/>
              <w:textAlignment w:val="center"/>
              <w:rPr>
                <w:rFonts w:ascii="仿宋" w:hAnsi="仿宋" w:eastAsia="仿宋" w:cs="仿宋"/>
                <w:kern w:val="0"/>
                <w:sz w:val="24"/>
              </w:rPr>
            </w:pPr>
            <w:r>
              <w:rPr>
                <w:rFonts w:hint="eastAsia" w:ascii="仿宋" w:hAnsi="仿宋" w:eastAsia="仿宋" w:cs="仿宋"/>
                <w:kern w:val="0"/>
                <w:sz w:val="24"/>
              </w:rPr>
              <w:t>投标单位每提供1个与本次招标项目类似业绩合同得1分,最多得2分(提供业绩合同复印件加盖投标单位的公章）。</w:t>
            </w:r>
          </w:p>
        </w:tc>
        <w:tc>
          <w:tcPr>
            <w:tcW w:w="709" w:type="dxa"/>
            <w:shd w:val="clear" w:color="auto" w:fill="auto"/>
            <w:noWrap/>
            <w:vAlign w:val="center"/>
          </w:tcPr>
          <w:p>
            <w:pPr>
              <w:widowControl/>
              <w:snapToGrid w:val="0"/>
              <w:spacing w:line="360" w:lineRule="exact"/>
              <w:jc w:val="center"/>
              <w:textAlignment w:val="center"/>
              <w:rPr>
                <w:rFonts w:ascii="仿宋" w:hAnsi="仿宋" w:eastAsia="仿宋" w:cs="仿宋"/>
                <w:kern w:val="0"/>
                <w:sz w:val="24"/>
              </w:rPr>
            </w:pPr>
            <w:r>
              <w:rPr>
                <w:rFonts w:hint="eastAsia" w:ascii="仿宋" w:hAnsi="仿宋" w:eastAsia="仿宋" w:cs="仿宋"/>
                <w:kern w:val="0"/>
                <w:sz w:val="24"/>
              </w:rPr>
              <w:t>2</w:t>
            </w:r>
          </w:p>
        </w:tc>
      </w:tr>
    </w:tbl>
    <w:p>
      <w:pPr>
        <w:snapToGrid w:val="0"/>
        <w:spacing w:line="440" w:lineRule="exact"/>
        <w:rPr>
          <w:rFonts w:ascii="仿宋" w:hAnsi="仿宋" w:eastAsia="仿宋" w:cs="仿宋"/>
          <w:b/>
          <w:bCs/>
          <w:kern w:val="0"/>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00" w:lineRule="exact"/>
        <w:rPr>
          <w:rFonts w:ascii="仿宋" w:hAnsi="仿宋" w:eastAsia="仿宋" w:cs="仿宋"/>
          <w:b/>
          <w:bCs/>
          <w:iCs/>
          <w:sz w:val="24"/>
        </w:rPr>
      </w:pPr>
      <w:r>
        <w:rPr>
          <w:rFonts w:hint="eastAsia" w:ascii="仿宋" w:hAnsi="仿宋" w:eastAsia="仿宋" w:cs="仿宋"/>
          <w:b/>
          <w:bCs/>
          <w:iCs/>
          <w:sz w:val="24"/>
        </w:rPr>
        <w:t>2.2价格分：40分</w:t>
      </w:r>
    </w:p>
    <w:p>
      <w:pPr>
        <w:spacing w:line="360" w:lineRule="auto"/>
        <w:outlineLvl w:val="0"/>
        <w:rPr>
          <w:rFonts w:ascii="仿宋" w:hAnsi="仿宋" w:eastAsia="仿宋" w:cs="仿宋"/>
          <w:kern w:val="0"/>
          <w:sz w:val="24"/>
        </w:rPr>
      </w:pPr>
      <w:r>
        <w:rPr>
          <w:rFonts w:hint="eastAsia" w:ascii="仿宋" w:hAnsi="仿宋" w:eastAsia="仿宋" w:cs="仿宋"/>
          <w:kern w:val="0"/>
          <w:sz w:val="24"/>
        </w:rPr>
        <w:t>2.2.1评标基准价：即满足招标文件要求且投标价格最低的投标报价为评标基准价，其价格分为满分。</w:t>
      </w:r>
    </w:p>
    <w:p>
      <w:pPr>
        <w:spacing w:line="360" w:lineRule="auto"/>
        <w:outlineLvl w:val="0"/>
        <w:rPr>
          <w:rFonts w:ascii="仿宋" w:hAnsi="仿宋" w:eastAsia="仿宋" w:cs="仿宋"/>
          <w:kern w:val="0"/>
          <w:sz w:val="24"/>
        </w:rPr>
      </w:pPr>
      <w:r>
        <w:rPr>
          <w:rFonts w:hint="eastAsia" w:ascii="仿宋" w:hAnsi="仿宋" w:eastAsia="仿宋" w:cs="仿宋"/>
          <w:kern w:val="0"/>
          <w:sz w:val="24"/>
        </w:rPr>
        <w:t>2.2.2其他投标人的价格分统一按照下列公式计算：</w:t>
      </w:r>
    </w:p>
    <w:p>
      <w:pPr>
        <w:spacing w:line="360" w:lineRule="auto"/>
        <w:outlineLvl w:val="0"/>
        <w:rPr>
          <w:rFonts w:ascii="仿宋" w:hAnsi="仿宋" w:eastAsia="仿宋" w:cs="仿宋"/>
          <w:kern w:val="0"/>
          <w:sz w:val="24"/>
        </w:rPr>
      </w:pPr>
      <w:r>
        <w:rPr>
          <w:rFonts w:hint="eastAsia" w:ascii="仿宋" w:hAnsi="仿宋" w:eastAsia="仿宋" w:cs="仿宋"/>
          <w:kern w:val="0"/>
          <w:sz w:val="24"/>
        </w:rPr>
        <w:t>投标报价得分=(评标基准价／投标报价)×价格权值×100</w:t>
      </w:r>
    </w:p>
    <w:p>
      <w:pPr>
        <w:spacing w:line="360" w:lineRule="auto"/>
        <w:outlineLvl w:val="0"/>
        <w:rPr>
          <w:rFonts w:ascii="仿宋" w:hAnsi="仿宋" w:eastAsia="仿宋" w:cs="仿宋"/>
          <w:b/>
          <w:sz w:val="36"/>
          <w:szCs w:val="20"/>
        </w:rPr>
      </w:pPr>
      <w:r>
        <w:rPr>
          <w:rFonts w:hint="eastAsia" w:ascii="仿宋" w:hAnsi="仿宋" w:eastAsia="仿宋" w:cs="仿宋"/>
          <w:kern w:val="0"/>
          <w:sz w:val="24"/>
        </w:rPr>
        <w:t>即：投标报价得分=(评标基准价／投标报价)×40</w:t>
      </w:r>
    </w:p>
    <w:bookmarkEnd w:id="30"/>
    <w:bookmarkEnd w:id="31"/>
    <w:p>
      <w:pPr>
        <w:rPr>
          <w:rFonts w:ascii="仿宋" w:hAnsi="仿宋" w:eastAsia="仿宋" w:cs="仿宋"/>
          <w:b/>
          <w:sz w:val="36"/>
          <w:szCs w:val="20"/>
        </w:rPr>
      </w:pPr>
      <w:r>
        <w:rPr>
          <w:rFonts w:hint="eastAsia" w:ascii="仿宋" w:hAnsi="仿宋" w:eastAsia="仿宋" w:cs="仿宋"/>
          <w:b/>
          <w:sz w:val="36"/>
          <w:szCs w:val="20"/>
        </w:rPr>
        <w:br w:type="page"/>
      </w: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5"/>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绍兴市人民医院、华诚工程咨询集团有限公司：</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w:t>
      </w:r>
      <w:r>
        <w:rPr>
          <w:rFonts w:hint="eastAsia" w:ascii="仿宋" w:hAnsi="仿宋" w:eastAsia="仿宋" w:cs="仿宋"/>
          <w:sz w:val="24"/>
          <w:u w:val="single"/>
        </w:rPr>
        <w:t>（项目名称）【招标编号：（采购编号）】</w:t>
      </w:r>
      <w:r>
        <w:rPr>
          <w:rFonts w:hint="eastAsia" w:ascii="仿宋" w:hAnsi="仿宋" w:eastAsia="仿宋" w:cs="仿宋"/>
          <w:sz w:val="24"/>
        </w:rPr>
        <w:t>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jc w:val="right"/>
        <w:rPr>
          <w:rFonts w:ascii="仿宋" w:hAnsi="仿宋" w:eastAsia="仿宋" w:cs="仿宋"/>
          <w:kern w:val="0"/>
          <w:sz w:val="24"/>
          <w:lang w:val="zh-CN"/>
        </w:rPr>
      </w:pPr>
    </w:p>
    <w:p>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6360" w:firstLineChars="26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napToGrid w:val="0"/>
        <w:spacing w:line="360" w:lineRule="auto"/>
        <w:ind w:right="480"/>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2"/>
        <w:rPr>
          <w:rFonts w:ascii="仿宋" w:hAnsi="仿宋" w:eastAsia="仿宋" w:cs="仿宋"/>
          <w:color w:val="auto"/>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6"/>
        <w:spacing w:line="336" w:lineRule="auto"/>
        <w:ind w:left="0" w:firstLine="0" w:firstLineChars="0"/>
        <w:rPr>
          <w:rFonts w:ascii="仿宋" w:eastAsia="仿宋" w:cs="仿宋"/>
        </w:rPr>
      </w:pPr>
      <w:r>
        <w:rPr>
          <w:rFonts w:hint="eastAsia" w:ascii="仿宋" w:eastAsia="仿宋" w:cs="仿宋"/>
        </w:rPr>
        <w:t>（1）投标函…………………………………………………………………………（页码）</w:t>
      </w:r>
    </w:p>
    <w:p>
      <w:pPr>
        <w:pStyle w:val="906"/>
        <w:spacing w:line="336" w:lineRule="auto"/>
        <w:ind w:left="0" w:firstLine="0" w:firstLineChars="0"/>
        <w:rPr>
          <w:rFonts w:ascii="仿宋" w:eastAsia="仿宋" w:cs="仿宋"/>
        </w:rPr>
      </w:pPr>
      <w:r>
        <w:rPr>
          <w:rFonts w:hint="eastAsia" w:ascii="仿宋" w:eastAsia="仿宋" w:cs="仿宋"/>
        </w:rPr>
        <w:t>（2）法定代表人授权书 ………………………………………………………… （页码）</w:t>
      </w:r>
    </w:p>
    <w:p>
      <w:pPr>
        <w:pStyle w:val="906"/>
        <w:spacing w:line="360" w:lineRule="auto"/>
        <w:ind w:left="0" w:firstLine="0" w:firstLineChars="0"/>
        <w:rPr>
          <w:rFonts w:ascii="仿宋" w:eastAsia="仿宋" w:cs="仿宋"/>
        </w:rPr>
      </w:pPr>
      <w:r>
        <w:rPr>
          <w:rFonts w:hint="eastAsia" w:ascii="仿宋" w:eastAsia="仿宋" w:cs="仿宋"/>
        </w:rPr>
        <w:t>（3）授权代表社保证明复印件……………………………………………………（页码）</w:t>
      </w:r>
    </w:p>
    <w:p>
      <w:pPr>
        <w:pStyle w:val="906"/>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pPr>
        <w:pStyle w:val="906"/>
        <w:spacing w:line="336" w:lineRule="auto"/>
        <w:ind w:left="0" w:firstLine="0" w:firstLineChars="0"/>
        <w:rPr>
          <w:rFonts w:ascii="仿宋" w:eastAsia="仿宋" w:cs="仿宋"/>
        </w:rPr>
      </w:pPr>
      <w:r>
        <w:rPr>
          <w:rFonts w:hint="eastAsia" w:ascii="仿宋" w:eastAsia="仿宋" w:cs="仿宋"/>
        </w:rPr>
        <w:t>（5）法定代表人身份证明书……………………………………………………… （页码）</w:t>
      </w:r>
    </w:p>
    <w:p>
      <w:pPr>
        <w:pStyle w:val="906"/>
        <w:spacing w:line="336" w:lineRule="auto"/>
        <w:ind w:left="0" w:firstLine="0" w:firstLineChars="0"/>
        <w:rPr>
          <w:rFonts w:ascii="仿宋" w:eastAsia="仿宋" w:cs="仿宋"/>
        </w:rPr>
      </w:pPr>
      <w:r>
        <w:rPr>
          <w:rFonts w:hint="eastAsia" w:ascii="仿宋" w:eastAsia="仿宋" w:cs="仿宋"/>
        </w:rPr>
        <w:t>（6）商务技术偏离表……………………………………………………………… （页码）</w:t>
      </w:r>
    </w:p>
    <w:p>
      <w:pPr>
        <w:pStyle w:val="906"/>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7"/>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rPr>
        <w:t>绍兴市人民医院、华诚工程咨询集团有限公司</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5"/>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5"/>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电话：                              传真：</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投标人(公章)：　　　　　　　　　日期：  </w:t>
      </w:r>
    </w:p>
    <w:p>
      <w:pPr>
        <w:snapToGrid w:val="0"/>
        <w:spacing w:line="360" w:lineRule="auto"/>
        <w:jc w:val="center"/>
        <w:rPr>
          <w:rFonts w:ascii="仿宋" w:hAnsi="仿宋" w:eastAsia="仿宋" w:cs="仿宋"/>
          <w:b/>
          <w:kern w:val="0"/>
          <w:sz w:val="32"/>
          <w:szCs w:val="32"/>
        </w:rPr>
      </w:pPr>
    </w:p>
    <w:p>
      <w:pPr>
        <w:snapToGrid w:val="0"/>
        <w:spacing w:line="360" w:lineRule="auto"/>
        <w:rPr>
          <w:rFonts w:ascii="仿宋" w:hAnsi="仿宋" w:eastAsia="仿宋" w:cs="仿宋"/>
          <w:sz w:val="24"/>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投标人（公章）：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pPr>
        <w:spacing w:line="800" w:lineRule="exact"/>
        <w:jc w:val="center"/>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pStyle w:val="82"/>
        <w:rPr>
          <w:rFonts w:ascii="仿宋" w:hAnsi="仿宋" w:eastAsia="仿宋" w:cs="仿宋"/>
          <w:b/>
        </w:rPr>
      </w:pPr>
    </w:p>
    <w:p>
      <w:pPr>
        <w:pStyle w:val="82"/>
        <w:rPr>
          <w:rFonts w:ascii="仿宋" w:hAnsi="仿宋" w:eastAsia="仿宋" w:cs="仿宋"/>
          <w:b/>
        </w:rPr>
      </w:pPr>
    </w:p>
    <w:p>
      <w:pPr>
        <w:pStyle w:val="82"/>
        <w:rPr>
          <w:rFonts w:ascii="仿宋" w:hAnsi="仿宋" w:eastAsia="仿宋" w:cs="仿宋"/>
          <w:b/>
        </w:rPr>
      </w:pPr>
    </w:p>
    <w:p>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（公章）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jc w:val="center"/>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right"/>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napToGrid w:val="0"/>
        <w:spacing w:line="360" w:lineRule="auto"/>
        <w:ind w:firstLine="6480" w:firstLineChars="27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jc w:val="center"/>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Style w:val="649"/>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1pt;width:443.2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1pt;width:440.9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jc w:val="center"/>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640" w:firstLineChars="23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2"/>
        <w:rPr>
          <w:rFonts w:ascii="仿宋" w:hAnsi="仿宋" w:eastAsia="仿宋" w:cs="仿宋"/>
          <w:color w:val="auto"/>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napToGrid w:val="0"/>
        <w:spacing w:line="360" w:lineRule="auto"/>
        <w:ind w:firstLine="5760" w:firstLineChars="2400"/>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ascii="仿宋" w:hAnsi="仿宋" w:eastAsia="仿宋" w:cs="仿宋"/>
          <w:kern w:val="0"/>
          <w:sz w:val="24"/>
        </w:rPr>
      </w:pPr>
    </w:p>
    <w:p>
      <w:pPr>
        <w:spacing w:line="360" w:lineRule="auto"/>
        <w:jc w:val="center"/>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2"/>
        <w:rPr>
          <w:rFonts w:ascii="仿宋" w:hAnsi="仿宋" w:eastAsia="仿宋" w:cs="仿宋"/>
          <w:color w:val="auto"/>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2"/>
        <w:rPr>
          <w:rFonts w:ascii="仿宋" w:hAnsi="仿宋" w:eastAsia="仿宋" w:cs="仿宋"/>
          <w:color w:val="auto"/>
        </w:rPr>
      </w:pPr>
    </w:p>
    <w:p>
      <w:pPr>
        <w:spacing w:line="336" w:lineRule="auto"/>
        <w:ind w:firstLine="3600" w:firstLineChars="1500"/>
        <w:rPr>
          <w:rFonts w:ascii="仿宋" w:hAnsi="仿宋" w:eastAsia="仿宋" w:cs="仿宋"/>
          <w:sz w:val="24"/>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2"/>
        <w:rPr>
          <w:rFonts w:ascii="仿宋" w:hAnsi="仿宋" w:eastAsia="仿宋" w:cs="仿宋"/>
          <w:color w:val="auto"/>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2"/>
        <w:rPr>
          <w:rFonts w:ascii="仿宋" w:hAnsi="仿宋" w:eastAsia="仿宋" w:cs="仿宋"/>
          <w:color w:val="auto"/>
        </w:rPr>
      </w:pPr>
    </w:p>
    <w:p>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rPr>
          <w:rFonts w:ascii="仿宋" w:hAnsi="仿宋" w:eastAsia="仿宋" w:cs="仿宋"/>
          <w:kern w:val="0"/>
          <w:sz w:val="24"/>
          <w:lang w:val="zh-CN"/>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napToGrid w:val="0"/>
        <w:spacing w:line="360" w:lineRule="auto"/>
        <w:ind w:firstLine="5760" w:firstLineChars="2400"/>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2"/>
        <w:rPr>
          <w:rFonts w:ascii="仿宋" w:hAnsi="仿宋" w:eastAsia="仿宋" w:cs="仿宋"/>
          <w:color w:val="auto"/>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36" w:lineRule="auto"/>
        <w:jc w:val="center"/>
        <w:rPr>
          <w:rFonts w:ascii="仿宋" w:hAnsi="仿宋" w:eastAsia="仿宋" w:cs="仿宋"/>
          <w:sz w:val="24"/>
        </w:rPr>
      </w:pPr>
    </w:p>
    <w:p>
      <w:pPr>
        <w:pStyle w:val="3"/>
        <w:rPr>
          <w:rFonts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（2）中小企业声明函（如有）……………………………………………………（页码）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（3）残疾人福利性单位声明函（如有）…………………………………………（页码）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pPr>
        <w:pStyle w:val="397"/>
        <w:spacing w:afterLines="0" w:line="440" w:lineRule="exact"/>
        <w:ind w:firstLine="480"/>
        <w:rPr>
          <w:rFonts w:ascii="仿宋" w:hAnsi="仿宋" w:eastAsia="仿宋" w:cs="仿宋"/>
          <w:lang w:val="zh-CN"/>
        </w:rPr>
      </w:pPr>
      <w:r>
        <w:rPr>
          <w:rFonts w:hint="eastAsia" w:ascii="仿宋" w:hAnsi="仿宋" w:eastAsia="仿宋" w:cs="仿宋"/>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Cs w:val="24"/>
        </w:rPr>
        <w:t>（项目名称）</w:t>
      </w:r>
      <w:r>
        <w:rPr>
          <w:rFonts w:hint="eastAsia" w:ascii="仿宋" w:hAnsi="仿宋" w:eastAsia="仿宋" w:cs="仿宋"/>
          <w:lang w:val="zh-CN"/>
        </w:rPr>
        <w:t>【招标编号：</w:t>
      </w:r>
      <w:r>
        <w:rPr>
          <w:rFonts w:hint="eastAsia" w:ascii="仿宋" w:hAnsi="仿宋" w:eastAsia="仿宋" w:cs="仿宋"/>
          <w:szCs w:val="24"/>
        </w:rPr>
        <w:t>（项目编号）</w:t>
      </w:r>
      <w:r>
        <w:rPr>
          <w:rFonts w:hint="eastAsia" w:ascii="仿宋" w:hAnsi="仿宋" w:eastAsia="仿宋" w:cs="仿宋"/>
        </w:rPr>
        <w:t>】的实施</w:t>
      </w:r>
      <w:r>
        <w:rPr>
          <w:rFonts w:hint="eastAsia" w:ascii="仿宋" w:hAnsi="仿宋" w:eastAsia="仿宋" w:cs="仿宋"/>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w:t>
      </w:r>
      <w:r>
        <w:rPr>
          <w:rFonts w:hint="eastAsia" w:ascii="仿宋" w:hAnsi="仿宋" w:eastAsia="仿宋" w:cs="仿宋"/>
          <w:b/>
          <w:kern w:val="0"/>
          <w:sz w:val="24"/>
        </w:rPr>
        <w:t>价格</w:t>
      </w:r>
      <w:r>
        <w:rPr>
          <w:rFonts w:hint="eastAsia" w:ascii="仿宋" w:hAnsi="仿宋" w:eastAsia="仿宋" w:cs="仿宋"/>
          <w:b/>
          <w:kern w:val="0"/>
          <w:sz w:val="24"/>
          <w:lang w:val="zh-CN"/>
        </w:rPr>
        <w:t>单位均为人民币元)</w:t>
      </w:r>
    </w:p>
    <w:tbl>
      <w:tblPr>
        <w:tblW w:w="1288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32"/>
        <w:gridCol w:w="2505"/>
        <w:gridCol w:w="2007"/>
        <w:gridCol w:w="1560"/>
        <w:gridCol w:w="936"/>
        <w:gridCol w:w="936"/>
        <w:gridCol w:w="1608"/>
        <w:gridCol w:w="1236"/>
        <w:gridCol w:w="13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40" w:hRule="atLeast"/>
        </w:trPr>
        <w:tc>
          <w:tcPr>
            <w:tcW w:w="7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none" w:color="auto" w:sz="0" w:space="0"/>
                <w:lang w:val="en-US" w:eastAsia="zh-CN" w:bidi="ar"/>
              </w:rPr>
              <w:t>序号</w:t>
            </w:r>
          </w:p>
        </w:tc>
        <w:tc>
          <w:tcPr>
            <w:tcW w:w="250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none" w:color="auto" w:sz="0" w:space="0"/>
                <w:lang w:val="en-US" w:eastAsia="zh-CN" w:bidi="ar"/>
              </w:rPr>
              <w:t>设备名称</w:t>
            </w:r>
          </w:p>
        </w:tc>
        <w:tc>
          <w:tcPr>
            <w:tcW w:w="2007"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none" w:color="auto" w:sz="0" w:space="0"/>
                <w:lang w:val="en-US" w:eastAsia="zh-CN" w:bidi="ar"/>
              </w:rPr>
              <w:t>品牌（如果有）</w:t>
            </w:r>
          </w:p>
        </w:tc>
        <w:tc>
          <w:tcPr>
            <w:tcW w:w="156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none" w:color="auto" w:sz="0" w:space="0"/>
                <w:lang w:val="en-US" w:eastAsia="zh-CN" w:bidi="ar"/>
              </w:rPr>
              <w:t>规格型号</w:t>
            </w:r>
          </w:p>
        </w:tc>
        <w:tc>
          <w:tcPr>
            <w:tcW w:w="93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none" w:color="auto" w:sz="0" w:space="0"/>
                <w:lang w:val="en-US" w:eastAsia="zh-CN" w:bidi="ar"/>
              </w:rPr>
              <w:t>单位</w:t>
            </w:r>
          </w:p>
        </w:tc>
        <w:tc>
          <w:tcPr>
            <w:tcW w:w="93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none" w:color="auto" w:sz="0" w:space="0"/>
                <w:lang w:val="en-US" w:eastAsia="zh-CN" w:bidi="ar"/>
              </w:rPr>
              <w:t>数量</w:t>
            </w:r>
          </w:p>
        </w:tc>
        <w:tc>
          <w:tcPr>
            <w:tcW w:w="160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none" w:color="auto" w:sz="0" w:space="0"/>
                <w:lang w:val="en-US" w:eastAsia="zh-CN" w:bidi="ar"/>
              </w:rPr>
              <w:t>上限单价</w:t>
            </w:r>
          </w:p>
        </w:tc>
        <w:tc>
          <w:tcPr>
            <w:tcW w:w="1236"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none" w:color="auto" w:sz="0" w:space="0"/>
                <w:lang w:val="en-US" w:eastAsia="zh-CN" w:bidi="ar"/>
              </w:rPr>
              <w:t>合计</w:t>
            </w:r>
          </w:p>
        </w:tc>
        <w:tc>
          <w:tcPr>
            <w:tcW w:w="136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24" w:hRule="atLeast"/>
        </w:trPr>
        <w:tc>
          <w:tcPr>
            <w:tcW w:w="7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250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二氧化氯发生器主机</w:t>
            </w:r>
            <w:r>
              <w:rPr>
                <w:rFonts w:hint="eastAsia" w:ascii="仿宋" w:hAnsi="仿宋" w:eastAsia="仿宋" w:cs="仿宋"/>
                <w:i w:val="0"/>
                <w:iCs w:val="0"/>
                <w:color w:val="FF0000"/>
                <w:kern w:val="0"/>
                <w:sz w:val="24"/>
                <w:szCs w:val="24"/>
                <w:u w:val="none"/>
                <w:bdr w:val="none" w:color="auto" w:sz="0" w:space="0"/>
                <w:lang w:val="en-US" w:eastAsia="zh-CN" w:bidi="ar"/>
              </w:rPr>
              <w:t>（核心产品）</w:t>
            </w:r>
          </w:p>
        </w:tc>
        <w:tc>
          <w:tcPr>
            <w:tcW w:w="2007"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c>
          <w:tcPr>
            <w:tcW w:w="93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w:t>
            </w:r>
          </w:p>
        </w:tc>
        <w:tc>
          <w:tcPr>
            <w:tcW w:w="93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160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97250</w:t>
            </w:r>
          </w:p>
        </w:tc>
        <w:tc>
          <w:tcPr>
            <w:tcW w:w="12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c>
          <w:tcPr>
            <w:tcW w:w="1368"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7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w:t>
            </w:r>
          </w:p>
        </w:tc>
        <w:tc>
          <w:tcPr>
            <w:tcW w:w="250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反应器</w:t>
            </w:r>
          </w:p>
        </w:tc>
        <w:tc>
          <w:tcPr>
            <w:tcW w:w="2007"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c>
          <w:tcPr>
            <w:tcW w:w="93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只</w:t>
            </w:r>
          </w:p>
        </w:tc>
        <w:tc>
          <w:tcPr>
            <w:tcW w:w="93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160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28500</w:t>
            </w:r>
          </w:p>
        </w:tc>
        <w:tc>
          <w:tcPr>
            <w:tcW w:w="12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c>
          <w:tcPr>
            <w:tcW w:w="1368"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7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w:t>
            </w:r>
          </w:p>
        </w:tc>
        <w:tc>
          <w:tcPr>
            <w:tcW w:w="250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加热温控系统</w:t>
            </w:r>
          </w:p>
        </w:tc>
        <w:tc>
          <w:tcPr>
            <w:tcW w:w="2007"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c>
          <w:tcPr>
            <w:tcW w:w="93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套</w:t>
            </w:r>
          </w:p>
        </w:tc>
        <w:tc>
          <w:tcPr>
            <w:tcW w:w="93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160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9790</w:t>
            </w:r>
          </w:p>
        </w:tc>
        <w:tc>
          <w:tcPr>
            <w:tcW w:w="12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7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w:t>
            </w:r>
          </w:p>
        </w:tc>
        <w:tc>
          <w:tcPr>
            <w:tcW w:w="250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计量泵</w:t>
            </w:r>
          </w:p>
        </w:tc>
        <w:tc>
          <w:tcPr>
            <w:tcW w:w="2007"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c>
          <w:tcPr>
            <w:tcW w:w="93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w:t>
            </w:r>
          </w:p>
        </w:tc>
        <w:tc>
          <w:tcPr>
            <w:tcW w:w="93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2</w:t>
            </w:r>
          </w:p>
        </w:tc>
        <w:tc>
          <w:tcPr>
            <w:tcW w:w="160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12650</w:t>
            </w:r>
          </w:p>
        </w:tc>
        <w:tc>
          <w:tcPr>
            <w:tcW w:w="12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c>
          <w:tcPr>
            <w:tcW w:w="1368"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7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5</w:t>
            </w:r>
          </w:p>
        </w:tc>
        <w:tc>
          <w:tcPr>
            <w:tcW w:w="25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氯酸钠储罐</w:t>
            </w:r>
          </w:p>
        </w:tc>
        <w:tc>
          <w:tcPr>
            <w:tcW w:w="2007" w:type="dxa"/>
            <w:tcBorders>
              <w:top w:val="single" w:color="000000" w:sz="4" w:space="0"/>
              <w:left w:val="single" w:color="000000" w:sz="4" w:space="0"/>
              <w:bottom w:val="single" w:color="000000" w:sz="4" w:space="0"/>
              <w:right w:val="single" w:color="000000" w:sz="4" w:space="0"/>
            </w:tcBorders>
            <w:shd w:val="clear"/>
            <w:vAlign w:val="top"/>
          </w:tcPr>
          <w:p>
            <w:pPr>
              <w:jc w:val="center"/>
              <w:rPr>
                <w:rFonts w:hint="eastAsia" w:ascii="仿宋" w:hAnsi="仿宋" w:eastAsia="仿宋" w:cs="仿宋"/>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vAlign w:val="top"/>
          </w:tcPr>
          <w:p>
            <w:pPr>
              <w:jc w:val="center"/>
              <w:rPr>
                <w:rFonts w:hint="eastAsia" w:ascii="仿宋" w:hAnsi="仿宋" w:eastAsia="仿宋" w:cs="仿宋"/>
                <w:i w:val="0"/>
                <w:iCs w:val="0"/>
                <w:color w:val="000000"/>
                <w:sz w:val="24"/>
                <w:szCs w:val="24"/>
                <w:u w:val="none"/>
              </w:rPr>
            </w:pPr>
          </w:p>
        </w:tc>
        <w:tc>
          <w:tcPr>
            <w:tcW w:w="9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只</w:t>
            </w:r>
          </w:p>
        </w:tc>
        <w:tc>
          <w:tcPr>
            <w:tcW w:w="9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160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4950</w:t>
            </w:r>
          </w:p>
        </w:tc>
        <w:tc>
          <w:tcPr>
            <w:tcW w:w="1236" w:type="dxa"/>
            <w:tcBorders>
              <w:top w:val="single" w:color="000000" w:sz="4" w:space="0"/>
              <w:left w:val="single" w:color="000000" w:sz="4" w:space="0"/>
              <w:bottom w:val="single" w:color="000000" w:sz="4" w:space="0"/>
              <w:right w:val="single" w:color="000000" w:sz="4" w:space="0"/>
            </w:tcBorders>
            <w:shd w:val="clear"/>
            <w:vAlign w:val="top"/>
          </w:tcPr>
          <w:p>
            <w:pPr>
              <w:jc w:val="center"/>
              <w:rPr>
                <w:rFonts w:hint="eastAsia" w:ascii="仿宋" w:hAnsi="仿宋" w:eastAsia="仿宋" w:cs="仿宋"/>
                <w:i w:val="0"/>
                <w:iCs w:val="0"/>
                <w:color w:val="000000"/>
                <w:sz w:val="24"/>
                <w:szCs w:val="24"/>
                <w:u w:val="none"/>
              </w:rPr>
            </w:pPr>
          </w:p>
        </w:tc>
        <w:tc>
          <w:tcPr>
            <w:tcW w:w="1368" w:type="dxa"/>
            <w:tcBorders>
              <w:top w:val="single" w:color="000000" w:sz="4" w:space="0"/>
              <w:left w:val="single" w:color="000000" w:sz="4" w:space="0"/>
              <w:bottom w:val="single" w:color="000000" w:sz="4" w:space="0"/>
              <w:right w:val="single" w:color="000000" w:sz="4" w:space="0"/>
            </w:tcBorders>
            <w:shd w:val="clear"/>
            <w:vAlign w:val="top"/>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7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w:t>
            </w:r>
          </w:p>
        </w:tc>
        <w:tc>
          <w:tcPr>
            <w:tcW w:w="25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氯酸钠化料器</w:t>
            </w:r>
          </w:p>
        </w:tc>
        <w:tc>
          <w:tcPr>
            <w:tcW w:w="2007" w:type="dxa"/>
            <w:tcBorders>
              <w:top w:val="single" w:color="000000" w:sz="4" w:space="0"/>
              <w:left w:val="single" w:color="000000" w:sz="4" w:space="0"/>
              <w:bottom w:val="single" w:color="000000" w:sz="4" w:space="0"/>
              <w:right w:val="single" w:color="000000" w:sz="4" w:space="0"/>
            </w:tcBorders>
            <w:shd w:val="clear"/>
            <w:vAlign w:val="top"/>
          </w:tcPr>
          <w:p>
            <w:pPr>
              <w:jc w:val="center"/>
              <w:rPr>
                <w:rFonts w:hint="eastAsia" w:ascii="仿宋" w:hAnsi="仿宋" w:eastAsia="仿宋" w:cs="仿宋"/>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vAlign w:val="top"/>
          </w:tcPr>
          <w:p>
            <w:pPr>
              <w:jc w:val="center"/>
              <w:rPr>
                <w:rFonts w:hint="eastAsia" w:ascii="仿宋" w:hAnsi="仿宋" w:eastAsia="仿宋" w:cs="仿宋"/>
                <w:i w:val="0"/>
                <w:iCs w:val="0"/>
                <w:color w:val="000000"/>
                <w:sz w:val="24"/>
                <w:szCs w:val="24"/>
                <w:u w:val="none"/>
              </w:rPr>
            </w:pPr>
          </w:p>
        </w:tc>
        <w:tc>
          <w:tcPr>
            <w:tcW w:w="9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w:t>
            </w:r>
          </w:p>
        </w:tc>
        <w:tc>
          <w:tcPr>
            <w:tcW w:w="9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160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7150</w:t>
            </w:r>
          </w:p>
        </w:tc>
        <w:tc>
          <w:tcPr>
            <w:tcW w:w="1236" w:type="dxa"/>
            <w:tcBorders>
              <w:top w:val="single" w:color="000000" w:sz="4" w:space="0"/>
              <w:left w:val="single" w:color="000000" w:sz="4" w:space="0"/>
              <w:bottom w:val="single" w:color="000000" w:sz="4" w:space="0"/>
              <w:right w:val="single" w:color="000000" w:sz="4" w:space="0"/>
            </w:tcBorders>
            <w:shd w:val="clear"/>
            <w:vAlign w:val="top"/>
          </w:tcPr>
          <w:p>
            <w:pPr>
              <w:jc w:val="center"/>
              <w:rPr>
                <w:rFonts w:hint="eastAsia" w:ascii="仿宋" w:hAnsi="仿宋" w:eastAsia="仿宋" w:cs="仿宋"/>
                <w:i w:val="0"/>
                <w:iCs w:val="0"/>
                <w:color w:val="000000"/>
                <w:sz w:val="24"/>
                <w:szCs w:val="24"/>
                <w:u w:val="none"/>
              </w:rPr>
            </w:pPr>
          </w:p>
        </w:tc>
        <w:tc>
          <w:tcPr>
            <w:tcW w:w="1368" w:type="dxa"/>
            <w:tcBorders>
              <w:top w:val="single" w:color="000000" w:sz="4" w:space="0"/>
              <w:left w:val="single" w:color="000000" w:sz="4" w:space="0"/>
              <w:bottom w:val="single" w:color="000000" w:sz="4" w:space="0"/>
              <w:right w:val="single" w:color="000000" w:sz="4" w:space="0"/>
            </w:tcBorders>
            <w:shd w:val="clear"/>
            <w:vAlign w:val="top"/>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7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w:t>
            </w:r>
          </w:p>
        </w:tc>
        <w:tc>
          <w:tcPr>
            <w:tcW w:w="25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盐酸储罐</w:t>
            </w:r>
          </w:p>
        </w:tc>
        <w:tc>
          <w:tcPr>
            <w:tcW w:w="2007" w:type="dxa"/>
            <w:tcBorders>
              <w:top w:val="single" w:color="000000" w:sz="4" w:space="0"/>
              <w:left w:val="single" w:color="000000" w:sz="4" w:space="0"/>
              <w:bottom w:val="single" w:color="000000" w:sz="4" w:space="0"/>
              <w:right w:val="single" w:color="000000" w:sz="4" w:space="0"/>
            </w:tcBorders>
            <w:shd w:val="clear"/>
            <w:vAlign w:val="top"/>
          </w:tcPr>
          <w:p>
            <w:pPr>
              <w:jc w:val="center"/>
              <w:rPr>
                <w:rFonts w:hint="eastAsia" w:ascii="仿宋" w:hAnsi="仿宋" w:eastAsia="仿宋" w:cs="仿宋"/>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vAlign w:val="top"/>
          </w:tcPr>
          <w:p>
            <w:pPr>
              <w:jc w:val="center"/>
              <w:rPr>
                <w:rFonts w:hint="eastAsia" w:ascii="仿宋" w:hAnsi="仿宋" w:eastAsia="仿宋" w:cs="仿宋"/>
                <w:i w:val="0"/>
                <w:iCs w:val="0"/>
                <w:color w:val="000000"/>
                <w:sz w:val="24"/>
                <w:szCs w:val="24"/>
                <w:u w:val="none"/>
              </w:rPr>
            </w:pPr>
          </w:p>
        </w:tc>
        <w:tc>
          <w:tcPr>
            <w:tcW w:w="9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只</w:t>
            </w:r>
          </w:p>
        </w:tc>
        <w:tc>
          <w:tcPr>
            <w:tcW w:w="9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160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6850</w:t>
            </w:r>
          </w:p>
        </w:tc>
        <w:tc>
          <w:tcPr>
            <w:tcW w:w="1236" w:type="dxa"/>
            <w:tcBorders>
              <w:top w:val="single" w:color="000000" w:sz="4" w:space="0"/>
              <w:left w:val="single" w:color="000000" w:sz="4" w:space="0"/>
              <w:bottom w:val="single" w:color="000000" w:sz="4" w:space="0"/>
              <w:right w:val="single" w:color="000000" w:sz="4" w:space="0"/>
            </w:tcBorders>
            <w:shd w:val="clear"/>
            <w:vAlign w:val="top"/>
          </w:tcPr>
          <w:p>
            <w:pPr>
              <w:jc w:val="center"/>
              <w:rPr>
                <w:rFonts w:hint="eastAsia" w:ascii="仿宋" w:hAnsi="仿宋" w:eastAsia="仿宋" w:cs="仿宋"/>
                <w:i w:val="0"/>
                <w:iCs w:val="0"/>
                <w:color w:val="000000"/>
                <w:sz w:val="24"/>
                <w:szCs w:val="24"/>
                <w:u w:val="none"/>
              </w:rPr>
            </w:pPr>
          </w:p>
        </w:tc>
        <w:tc>
          <w:tcPr>
            <w:tcW w:w="1368" w:type="dxa"/>
            <w:tcBorders>
              <w:top w:val="single" w:color="000000" w:sz="4" w:space="0"/>
              <w:left w:val="single" w:color="000000" w:sz="4" w:space="0"/>
              <w:bottom w:val="single" w:color="000000" w:sz="4" w:space="0"/>
              <w:right w:val="single" w:color="000000" w:sz="4" w:space="0"/>
            </w:tcBorders>
            <w:shd w:val="clear"/>
            <w:vAlign w:val="top"/>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7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w:t>
            </w:r>
          </w:p>
        </w:tc>
        <w:tc>
          <w:tcPr>
            <w:tcW w:w="2505"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卸酸泵</w:t>
            </w:r>
          </w:p>
        </w:tc>
        <w:tc>
          <w:tcPr>
            <w:tcW w:w="2007" w:type="dxa"/>
            <w:tcBorders>
              <w:top w:val="single" w:color="000000" w:sz="4" w:space="0"/>
              <w:left w:val="single" w:color="000000" w:sz="4" w:space="0"/>
              <w:bottom w:val="single" w:color="000000" w:sz="4" w:space="0"/>
              <w:right w:val="single" w:color="000000" w:sz="4" w:space="0"/>
            </w:tcBorders>
            <w:shd w:val="clear"/>
            <w:vAlign w:val="top"/>
          </w:tcPr>
          <w:p>
            <w:pPr>
              <w:jc w:val="center"/>
              <w:rPr>
                <w:rFonts w:hint="eastAsia" w:ascii="仿宋" w:hAnsi="仿宋" w:eastAsia="仿宋" w:cs="仿宋"/>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vAlign w:val="top"/>
          </w:tcPr>
          <w:p>
            <w:pPr>
              <w:jc w:val="center"/>
              <w:rPr>
                <w:rFonts w:hint="eastAsia" w:ascii="仿宋" w:hAnsi="仿宋" w:eastAsia="仿宋" w:cs="仿宋"/>
                <w:i w:val="0"/>
                <w:iCs w:val="0"/>
                <w:color w:val="000000"/>
                <w:sz w:val="24"/>
                <w:szCs w:val="24"/>
                <w:u w:val="none"/>
              </w:rPr>
            </w:pPr>
          </w:p>
        </w:tc>
        <w:tc>
          <w:tcPr>
            <w:tcW w:w="9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台</w:t>
            </w:r>
          </w:p>
        </w:tc>
        <w:tc>
          <w:tcPr>
            <w:tcW w:w="936"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1608" w:type="dxa"/>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3850</w:t>
            </w:r>
          </w:p>
        </w:tc>
        <w:tc>
          <w:tcPr>
            <w:tcW w:w="1236" w:type="dxa"/>
            <w:tcBorders>
              <w:top w:val="single" w:color="000000" w:sz="4" w:space="0"/>
              <w:left w:val="single" w:color="000000" w:sz="4" w:space="0"/>
              <w:bottom w:val="single" w:color="000000" w:sz="4" w:space="0"/>
              <w:right w:val="single" w:color="000000" w:sz="4" w:space="0"/>
            </w:tcBorders>
            <w:shd w:val="clear"/>
            <w:vAlign w:val="top"/>
          </w:tcPr>
          <w:p>
            <w:pPr>
              <w:jc w:val="center"/>
              <w:rPr>
                <w:rFonts w:hint="eastAsia" w:ascii="仿宋" w:hAnsi="仿宋" w:eastAsia="仿宋" w:cs="仿宋"/>
                <w:i w:val="0"/>
                <w:iCs w:val="0"/>
                <w:color w:val="000000"/>
                <w:sz w:val="24"/>
                <w:szCs w:val="24"/>
                <w:u w:val="none"/>
              </w:rPr>
            </w:pPr>
          </w:p>
        </w:tc>
        <w:tc>
          <w:tcPr>
            <w:tcW w:w="1368" w:type="dxa"/>
            <w:tcBorders>
              <w:top w:val="single" w:color="000000" w:sz="4" w:space="0"/>
              <w:left w:val="single" w:color="000000" w:sz="4" w:space="0"/>
              <w:bottom w:val="single" w:color="000000" w:sz="4" w:space="0"/>
              <w:right w:val="single" w:color="000000" w:sz="4" w:space="0"/>
            </w:tcBorders>
            <w:shd w:val="clear"/>
            <w:vAlign w:val="top"/>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7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9</w:t>
            </w:r>
          </w:p>
        </w:tc>
        <w:tc>
          <w:tcPr>
            <w:tcW w:w="250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投加附件</w:t>
            </w:r>
          </w:p>
        </w:tc>
        <w:tc>
          <w:tcPr>
            <w:tcW w:w="2007"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c>
          <w:tcPr>
            <w:tcW w:w="93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套</w:t>
            </w:r>
          </w:p>
        </w:tc>
        <w:tc>
          <w:tcPr>
            <w:tcW w:w="93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160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7480</w:t>
            </w:r>
          </w:p>
        </w:tc>
        <w:tc>
          <w:tcPr>
            <w:tcW w:w="12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c>
          <w:tcPr>
            <w:tcW w:w="1368"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4" w:hRule="atLeast"/>
        </w:trPr>
        <w:tc>
          <w:tcPr>
            <w:tcW w:w="732"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10</w:t>
            </w:r>
          </w:p>
        </w:tc>
        <w:tc>
          <w:tcPr>
            <w:tcW w:w="250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管路管件阀门电线电缆等</w:t>
            </w:r>
          </w:p>
        </w:tc>
        <w:tc>
          <w:tcPr>
            <w:tcW w:w="2007"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c>
          <w:tcPr>
            <w:tcW w:w="15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c>
          <w:tcPr>
            <w:tcW w:w="93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套</w:t>
            </w:r>
          </w:p>
        </w:tc>
        <w:tc>
          <w:tcPr>
            <w:tcW w:w="93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1</w:t>
            </w:r>
          </w:p>
        </w:tc>
        <w:tc>
          <w:tcPr>
            <w:tcW w:w="160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none" w:color="auto" w:sz="0" w:space="0"/>
                <w:lang w:val="en-US" w:eastAsia="zh-CN" w:bidi="ar"/>
              </w:rPr>
              <w:t>8880</w:t>
            </w:r>
          </w:p>
        </w:tc>
        <w:tc>
          <w:tcPr>
            <w:tcW w:w="123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0" w:hRule="atLeast"/>
        </w:trPr>
        <w:tc>
          <w:tcPr>
            <w:tcW w:w="5244"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none" w:color="auto" w:sz="0" w:space="0"/>
                <w:lang w:val="en-US" w:eastAsia="zh-CN" w:bidi="ar"/>
              </w:rPr>
              <w:t>投标报价（小写）</w:t>
            </w:r>
          </w:p>
        </w:tc>
        <w:tc>
          <w:tcPr>
            <w:tcW w:w="0" w:type="auto"/>
            <w:gridSpan w:val="6"/>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0" w:hRule="atLeast"/>
        </w:trPr>
        <w:tc>
          <w:tcPr>
            <w:tcW w:w="5244"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none" w:color="auto" w:sz="0" w:space="0"/>
                <w:lang w:val="en-US" w:eastAsia="zh-CN" w:bidi="ar"/>
              </w:rPr>
              <w:t>投标报价（大写）</w:t>
            </w:r>
          </w:p>
        </w:tc>
        <w:tc>
          <w:tcPr>
            <w:tcW w:w="0" w:type="auto"/>
            <w:gridSpan w:val="6"/>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仿宋" w:hAnsi="仿宋" w:eastAsia="仿宋" w:cs="仿宋"/>
                <w:i w:val="0"/>
                <w:iCs w:val="0"/>
                <w:color w:val="000000"/>
                <w:sz w:val="24"/>
                <w:szCs w:val="24"/>
                <w:u w:val="none"/>
              </w:rPr>
            </w:pPr>
          </w:p>
        </w:tc>
      </w:tr>
    </w:tbl>
    <w:p>
      <w:pPr>
        <w:snapToGrid w:val="0"/>
        <w:spacing w:line="360" w:lineRule="auto"/>
        <w:ind w:left="480"/>
        <w:rPr>
          <w:rFonts w:ascii="仿宋" w:hAnsi="仿宋" w:eastAsia="仿宋" w:cs="仿宋"/>
          <w:b/>
          <w:kern w:val="0"/>
          <w:sz w:val="24"/>
          <w:lang w:val="zh-CN"/>
        </w:rPr>
      </w:pPr>
    </w:p>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9240" w:firstLineChars="38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82" w:name="_Hlk101259491"/>
      <w:r>
        <w:rPr>
          <w:rFonts w:hint="eastAsia" w:ascii="仿宋" w:hAnsi="仿宋" w:eastAsia="仿宋" w:cs="仿宋"/>
          <w:sz w:val="32"/>
          <w:szCs w:val="32"/>
        </w:rPr>
        <w:t>（如果有）</w:t>
      </w:r>
      <w:bookmarkEnd w:id="182"/>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
        <w:rPr>
          <w:rFonts w:ascii="仿宋" w:hAnsi="仿宋" w:eastAsia="仿宋" w:cs="仿宋"/>
          <w:b/>
          <w:color w:val="auto"/>
        </w:rPr>
      </w:pPr>
    </w:p>
    <w:p>
      <w:pPr>
        <w:pStyle w:val="3"/>
        <w:rPr>
          <w:rFonts w:ascii="仿宋" w:hAnsi="仿宋" w:eastAsia="仿宋" w:cs="仿宋"/>
          <w:b/>
          <w:sz w:val="24"/>
        </w:rPr>
      </w:pPr>
    </w:p>
    <w:p>
      <w:pPr>
        <w:rPr>
          <w:rFonts w:ascii="仿宋" w:hAnsi="仿宋" w:eastAsia="仿宋" w:cs="仿宋"/>
          <w:b/>
          <w:sz w:val="24"/>
        </w:rPr>
      </w:pPr>
    </w:p>
    <w:p>
      <w:pPr>
        <w:pStyle w:val="2"/>
        <w:rPr>
          <w:rFonts w:ascii="仿宋" w:hAnsi="仿宋" w:eastAsia="仿宋" w:cs="仿宋"/>
          <w:b/>
          <w:color w:val="auto"/>
        </w:rPr>
      </w:pPr>
    </w:p>
    <w:p>
      <w:pPr>
        <w:pStyle w:val="3"/>
        <w:rPr>
          <w:rFonts w:ascii="仿宋" w:hAnsi="仿宋" w:eastAsia="仿宋" w:cs="仿宋"/>
        </w:rPr>
      </w:pPr>
    </w:p>
    <w:p>
      <w:pPr>
        <w:pStyle w:val="3"/>
        <w:rPr>
          <w:rFonts w:ascii="仿宋" w:hAnsi="仿宋" w:eastAsia="仿宋" w:cs="仿宋"/>
        </w:rPr>
      </w:pPr>
    </w:p>
    <w:p>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2"/>
        <w:widowControl/>
        <w:spacing w:line="360" w:lineRule="auto"/>
        <w:ind w:firstLine="120" w:firstLineChars="50"/>
        <w:rPr>
          <w:rFonts w:ascii="仿宋" w:hAnsi="仿宋" w:eastAsia="仿宋" w:cs="仿宋"/>
          <w:b/>
          <w:color w:val="auto"/>
        </w:rPr>
      </w:pPr>
    </w:p>
    <w:p>
      <w:pPr>
        <w:pStyle w:val="3"/>
        <w:spacing w:line="360" w:lineRule="auto"/>
        <w:ind w:left="0" w:firstLine="120" w:firstLineChars="50"/>
        <w:jc w:val="left"/>
        <w:rPr>
          <w:rFonts w:ascii="仿宋" w:hAnsi="仿宋" w:eastAsia="仿宋" w:cs="仿宋"/>
          <w:b/>
          <w:sz w:val="24"/>
        </w:rPr>
      </w:pPr>
    </w:p>
    <w:p>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183" w:name="_Toc465665161"/>
      <w:r>
        <w:rPr>
          <w:rFonts w:hint="eastAsia" w:ascii="仿宋" w:hAnsi="仿宋" w:eastAsia="仿宋" w:cs="仿宋"/>
        </w:rPr>
        <w:t>附件</w:t>
      </w:r>
      <w:bookmarkEnd w:id="183"/>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sz w:val="24"/>
        </w:rPr>
      </w:pPr>
      <w:r>
        <w:rPr>
          <w:rFonts w:hint="eastAsia" w:ascii="仿宋" w:hAnsi="仿宋" w:eastAsia="仿宋" w:cs="仿宋"/>
          <w:sz w:val="24"/>
        </w:rPr>
        <w:t>联系人：联系电话：</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ascii="仿宋" w:hAnsi="仿宋" w:eastAsia="仿宋" w:cs="仿宋"/>
          <w:sz w:val="24"/>
        </w:rPr>
      </w:pPr>
      <w:r>
        <w:rPr>
          <w:rFonts w:hint="eastAsia" w:ascii="仿宋" w:hAnsi="仿宋" w:eastAsia="仿宋" w:cs="仿宋"/>
          <w:sz w:val="24"/>
        </w:rPr>
        <w:t>联系电话：</w:t>
      </w:r>
    </w:p>
    <w:p>
      <w:pPr>
        <w:snapToGrid w:val="0"/>
        <w:spacing w:line="360" w:lineRule="auto"/>
        <w:rPr>
          <w:rFonts w:ascii="仿宋" w:hAnsi="仿宋" w:eastAsia="仿宋" w:cs="仿宋"/>
          <w:sz w:val="24"/>
        </w:rPr>
      </w:pPr>
      <w:r>
        <w:rPr>
          <w:rFonts w:hint="eastAsia" w:ascii="仿宋" w:hAnsi="仿宋" w:eastAsia="仿宋" w:cs="仿宋"/>
          <w:sz w:val="24"/>
        </w:rPr>
        <w:t>地址： 邮编：</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p>
    <w:p>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ascii="仿宋" w:hAnsi="仿宋" w:eastAsia="仿宋" w:cs="仿宋"/>
          <w:sz w:val="24"/>
          <w:u w:val="dotted"/>
        </w:rPr>
      </w:pP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p>
    <w:p>
      <w:pPr>
        <w:spacing w:line="360" w:lineRule="auto"/>
        <w:rPr>
          <w:rFonts w:ascii="仿宋" w:hAnsi="仿宋" w:eastAsia="仿宋" w:cs="仿宋"/>
          <w:sz w:val="24"/>
          <w:u w:val="single"/>
        </w:rPr>
      </w:pPr>
      <w:r>
        <w:rPr>
          <w:rFonts w:hint="eastAsia" w:ascii="仿宋" w:hAnsi="仿宋" w:eastAsia="仿宋" w:cs="仿宋"/>
          <w:sz w:val="24"/>
        </w:rPr>
        <w:t>地     址：邮编：</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址：邮编：</w:t>
      </w:r>
    </w:p>
    <w:p>
      <w:pPr>
        <w:spacing w:line="360" w:lineRule="auto"/>
        <w:rPr>
          <w:rFonts w:ascii="仿宋" w:hAnsi="仿宋" w:eastAsia="仿宋" w:cs="仿宋"/>
          <w:sz w:val="24"/>
          <w:u w:val="single"/>
        </w:rPr>
      </w:pPr>
      <w:r>
        <w:rPr>
          <w:rFonts w:hint="eastAsia" w:ascii="仿宋" w:hAnsi="仿宋" w:eastAsia="仿宋" w:cs="仿宋"/>
          <w:sz w:val="24"/>
        </w:rPr>
        <w:t>被投诉人1：</w:t>
      </w:r>
    </w:p>
    <w:p>
      <w:pPr>
        <w:spacing w:line="360" w:lineRule="auto"/>
        <w:rPr>
          <w:rFonts w:ascii="仿宋" w:hAnsi="仿宋" w:eastAsia="仿宋" w:cs="仿宋"/>
          <w:sz w:val="24"/>
          <w:u w:val="single"/>
        </w:rPr>
      </w:pPr>
      <w:r>
        <w:rPr>
          <w:rFonts w:hint="eastAsia" w:ascii="仿宋" w:hAnsi="仿宋" w:eastAsia="仿宋" w:cs="仿宋"/>
          <w:sz w:val="24"/>
        </w:rPr>
        <w:t>地     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p>
    <w:p>
      <w:pPr>
        <w:spacing w:line="360" w:lineRule="auto"/>
        <w:rPr>
          <w:rFonts w:ascii="仿宋" w:hAnsi="仿宋" w:eastAsia="仿宋" w:cs="仿宋"/>
          <w:sz w:val="24"/>
          <w:u w:val="single"/>
        </w:rPr>
      </w:pPr>
      <w:r>
        <w:rPr>
          <w:rFonts w:hint="eastAsia" w:ascii="仿宋" w:hAnsi="仿宋" w:eastAsia="仿宋" w:cs="仿宋"/>
          <w:sz w:val="24"/>
        </w:rPr>
        <w:t>地     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p>
    <w:p>
      <w:pPr>
        <w:spacing w:line="360" w:lineRule="auto"/>
        <w:rPr>
          <w:rFonts w:ascii="仿宋" w:hAnsi="仿宋" w:eastAsia="仿宋" w:cs="仿宋"/>
          <w:sz w:val="24"/>
          <w:u w:val="single"/>
        </w:rPr>
      </w:pPr>
      <w:r>
        <w:rPr>
          <w:rFonts w:hint="eastAsia" w:ascii="仿宋" w:hAnsi="仿宋" w:eastAsia="仿宋" w:cs="仿宋"/>
          <w:sz w:val="24"/>
        </w:rPr>
        <w:t>采购项目编号：包号：</w:t>
      </w:r>
    </w:p>
    <w:p>
      <w:pPr>
        <w:spacing w:line="360" w:lineRule="auto"/>
        <w:rPr>
          <w:rFonts w:ascii="仿宋" w:hAnsi="仿宋" w:eastAsia="仿宋" w:cs="仿宋"/>
          <w:sz w:val="24"/>
        </w:rPr>
      </w:pPr>
      <w:r>
        <w:rPr>
          <w:rFonts w:hint="eastAsia" w:ascii="仿宋" w:hAnsi="仿宋" w:eastAsia="仿宋" w:cs="仿宋"/>
          <w:sz w:val="24"/>
        </w:rPr>
        <w:t>采购人名称：</w:t>
      </w:r>
    </w:p>
    <w:p>
      <w:pPr>
        <w:spacing w:line="360" w:lineRule="auto"/>
        <w:rPr>
          <w:rFonts w:ascii="仿宋" w:hAnsi="仿宋" w:eastAsia="仿宋" w:cs="仿宋"/>
          <w:sz w:val="24"/>
          <w:u w:val="single"/>
        </w:rPr>
      </w:pPr>
      <w:r>
        <w:rPr>
          <w:rFonts w:hint="eastAsia" w:ascii="仿宋" w:hAnsi="仿宋" w:eastAsia="仿宋" w:cs="仿宋"/>
          <w:sz w:val="24"/>
        </w:rPr>
        <w:t>代理机构名称：</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pPr>
        <w:spacing w:line="360" w:lineRule="auto"/>
        <w:rPr>
          <w:rFonts w:ascii="仿宋" w:hAnsi="仿宋" w:eastAsia="仿宋" w:cs="仿宋"/>
          <w:sz w:val="24"/>
          <w:u w:val="dotted"/>
        </w:rPr>
      </w:pP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p>
    <w:p>
      <w:pPr>
        <w:spacing w:line="360" w:lineRule="auto"/>
        <w:rPr>
          <w:rFonts w:ascii="仿宋" w:hAnsi="仿宋" w:eastAsia="仿宋" w:cs="仿宋"/>
          <w:sz w:val="24"/>
        </w:rPr>
      </w:pPr>
      <w:r>
        <w:rPr>
          <w:rFonts w:hint="eastAsia" w:ascii="仿宋" w:hAnsi="仿宋" w:eastAsia="仿宋" w:cs="仿宋"/>
          <w:sz w:val="24"/>
        </w:rPr>
        <w:t>事实依据：</w:t>
      </w:r>
    </w:p>
    <w:p>
      <w:pPr>
        <w:spacing w:line="360" w:lineRule="auto"/>
        <w:rPr>
          <w:rFonts w:ascii="仿宋" w:hAnsi="仿宋" w:eastAsia="仿宋" w:cs="仿宋"/>
          <w:sz w:val="24"/>
          <w:u w:val="dotted"/>
        </w:rPr>
      </w:pPr>
    </w:p>
    <w:p>
      <w:pPr>
        <w:spacing w:line="360" w:lineRule="auto"/>
        <w:rPr>
          <w:rFonts w:ascii="仿宋" w:hAnsi="仿宋" w:eastAsia="仿宋" w:cs="仿宋"/>
          <w:sz w:val="24"/>
          <w:u w:val="single"/>
        </w:rPr>
      </w:pPr>
      <w:r>
        <w:rPr>
          <w:rFonts w:hint="eastAsia" w:ascii="仿宋" w:hAnsi="仿宋" w:eastAsia="仿宋" w:cs="仿宋"/>
          <w:sz w:val="24"/>
        </w:rPr>
        <w:t>法律依据：</w:t>
      </w:r>
    </w:p>
    <w:p>
      <w:pPr>
        <w:spacing w:line="360" w:lineRule="auto"/>
        <w:rPr>
          <w:rFonts w:ascii="仿宋" w:hAnsi="仿宋" w:eastAsia="仿宋" w:cs="仿宋"/>
          <w:sz w:val="24"/>
          <w:u w:val="dotted"/>
        </w:rPr>
      </w:pP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pStyle w:val="2"/>
        <w:rPr>
          <w:rFonts w:ascii="仿宋" w:hAnsi="仿宋" w:eastAsia="仿宋" w:cs="仿宋"/>
          <w:color w:val="auto"/>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w:pict>
          <v:rect id="Rectangle 17" o:spid="_x0000_s1026" o:spt="1" style="position:absolute;left:0pt;margin-left:238.9pt;margin-top:28.05pt;height:177.45pt;width:212.95pt;z-index:-251656192;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path/>
            <v:fill focussize="0,0"/>
            <v:stroke/>
            <v:imagedata o:title=""/>
            <o:lock v:ext="edit"/>
          </v:rect>
        </w:pict>
      </w:r>
      <w:r>
        <w:rPr>
          <w:rFonts w:ascii="仿宋" w:hAnsi="仿宋" w:eastAsia="仿宋" w:cs="仿宋"/>
          <w:b/>
          <w:bCs/>
          <w:sz w:val="24"/>
        </w:rPr>
        <w:pict>
          <v:rect id="Rectangle 16" o:spid="_x0000_s1027" o:spt="1" style="position:absolute;left:0pt;margin-left:-7.2pt;margin-top:30.3pt;height:177.45pt;width:208.5pt;z-index:-251655168;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path/>
            <v:fill focussize="0,0"/>
            <v:stroke/>
            <v:imagedata o:title=""/>
            <o:lock v:ext="edit"/>
          </v:rect>
        </w:pic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63"/>
        <w:ind w:firstLine="0"/>
        <w:rPr>
          <w:rFonts w:ascii="仿宋" w:hAnsi="仿宋" w:eastAsia="仿宋" w:cs="仿宋"/>
        </w:rPr>
      </w:pPr>
    </w:p>
    <w:p>
      <w:pPr>
        <w:rPr>
          <w:rFonts w:ascii="仿宋" w:hAnsi="仿宋" w:eastAsia="仿宋" w:cs="仿宋"/>
        </w:rPr>
      </w:pPr>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ascii="仿宋" w:hAnsi="仿宋" w:eastAsia="仿宋" w:cs="仿宋"/>
          <w:kern w:val="0"/>
          <w:sz w:val="24"/>
          <w:lang w:val="zh-CN"/>
        </w:rPr>
      </w:pPr>
      <w:bookmarkStart w:id="184"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84"/>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5"/>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60" w:lineRule="auto"/>
        <w:ind w:firstLine="576"/>
        <w:rPr>
          <w:rFonts w:ascii="仿宋" w:hAnsi="仿宋" w:eastAsia="仿宋" w:cs="仿宋"/>
          <w:u w:val="single"/>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60" w:lineRule="auto"/>
        <w:ind w:left="573" w:leftChars="273"/>
        <w:rPr>
          <w:rFonts w:ascii="仿宋" w:hAnsi="仿宋" w:eastAsia="仿宋" w:cs="仿宋"/>
          <w:kern w:val="0"/>
          <w:sz w:val="24"/>
          <w:lang w:val="zh-CN"/>
        </w:rPr>
      </w:pP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60" w:lineRule="auto"/>
        <w:ind w:firstLine="576"/>
        <w:rPr>
          <w:rFonts w:ascii="仿宋" w:hAnsi="仿宋" w:eastAsia="仿宋" w:cs="仿宋"/>
          <w:kern w:val="0"/>
          <w:sz w:val="24"/>
          <w:lang w:val="zh-CN"/>
        </w:rPr>
      </w:pP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投标人名称(公章)：</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2"/>
        <w:rPr>
          <w:rFonts w:ascii="仿宋" w:hAnsi="仿宋" w:eastAsia="仿宋" w:cs="仿宋"/>
          <w:b/>
          <w:color w:val="auto"/>
          <w:spacing w:val="6"/>
          <w:sz w:val="32"/>
          <w:szCs w:val="32"/>
        </w:rPr>
      </w:pPr>
    </w:p>
    <w:p>
      <w:pPr>
        <w:pStyle w:val="3"/>
        <w:rPr>
          <w:rFonts w:ascii="仿宋" w:hAnsi="仿宋" w:eastAsia="仿宋" w:cs="仿宋"/>
          <w:b/>
          <w:spacing w:val="6"/>
          <w:sz w:val="32"/>
          <w:szCs w:val="32"/>
        </w:rPr>
      </w:pPr>
    </w:p>
    <w:p>
      <w:pPr>
        <w:rPr>
          <w:rFonts w:ascii="仿宋" w:hAnsi="仿宋" w:eastAsia="仿宋" w:cs="仿宋"/>
          <w:b/>
          <w:spacing w:val="6"/>
          <w:sz w:val="32"/>
          <w:szCs w:val="32"/>
        </w:rPr>
      </w:pPr>
    </w:p>
    <w:p>
      <w:pPr>
        <w:pStyle w:val="2"/>
        <w:rPr>
          <w:rFonts w:ascii="仿宋" w:hAnsi="仿宋" w:eastAsia="仿宋" w:cs="仿宋"/>
          <w:b/>
          <w:color w:val="auto"/>
          <w:spacing w:val="6"/>
          <w:sz w:val="32"/>
          <w:szCs w:val="32"/>
        </w:rPr>
      </w:pPr>
    </w:p>
    <w:p>
      <w:pPr>
        <w:pStyle w:val="3"/>
        <w:rPr>
          <w:rFonts w:ascii="仿宋" w:hAnsi="仿宋" w:eastAsia="仿宋" w:cs="仿宋"/>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投标人名称（公章）</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投标人名称(公章)：</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5"/>
        <w:rPr>
          <w:rFonts w:ascii="仿宋" w:hAnsi="仿宋" w:eastAsia="仿宋" w:cs="仿宋"/>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仿宋" w:hAnsi="仿宋" w:eastAsia="仿宋" w:cs="仿宋"/>
          <w:bCs/>
          <w:sz w:val="24"/>
        </w:rPr>
      </w:pPr>
    </w:p>
    <w:p>
      <w:pPr>
        <w:spacing w:line="360" w:lineRule="auto"/>
        <w:rPr>
          <w:rFonts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7MDR6ZQIAABEFAAAOAAAAAAAAAAAAAAAAAC4CAABkcnMvZTJvRG9j&#10;LnhtbFBLAQItABQABgAIAAAAIQBxqtG51wAAAAUBAAAPAAAAAAAAAAAAAAAAAL8EAABkcnMvZG93&#10;bnJldi54bWxQSwUGAAAAAAQABADzAAAAwwUAAAAA&#10;">
          <v:path/>
          <v:fill on="f" focussize="0,0"/>
          <v:stroke on="f" weight="0.5pt" joinstyle="miter"/>
          <v:imagedata o:title=""/>
          <o:lock v:ext="edit"/>
          <v:textbox inset="0mm,0mm,0mm,0mm" style="mso-fit-shape-to-text:t;">
            <w:txbxContent>
              <w:p>
                <w:pPr>
                  <w:pStyle w:val="42"/>
                </w:pPr>
                <w:r>
                  <w:fldChar w:fldCharType="begin"/>
                </w:r>
                <w:r>
                  <w:instrText xml:space="preserve"> PAGE  \* MERGEFORMAT </w:instrText>
                </w:r>
                <w:r>
                  <w:fldChar w:fldCharType="separate"/>
                </w:r>
                <w:r>
                  <w:t>36</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文本框 6" o:spid="_x0000_s2052" o:spt="202" type="#_x0000_t202" style="position:absolute;left:0pt;margin-top:0pt;height:144pt;width:144pt;mso-position-horizontal:center;mso-position-horizontal-relative:margin;mso-wrap-style:none;z-index:2516643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r2QPxkAgAAEQUAAA4AAAAAAAAAAAAAAAAALgIAAGRycy9lMm9Eb2Mu&#10;eG1sUEsBAi0AFAAGAAgAAAAhAHGq0bnXAAAABQEAAA8AAAAAAAAAAAAAAAAAvgQAAGRycy9kb3du&#10;cmV2LnhtbFBLBQYAAAAABAAEAPMAAADCBQAAAAA=&#10;">
          <v:path/>
          <v:fill on="f" focussize="0,0"/>
          <v:stroke on="f" weight="0.5pt" joinstyle="miter"/>
          <v:imagedata o:title=""/>
          <o:lock v:ext="edit"/>
          <v:textbox inset="0mm,0mm,0mm,0mm" style="mso-fit-shape-to-text:t;">
            <w:txbxContent>
              <w:p>
                <w:pPr>
                  <w:pStyle w:val="42"/>
                </w:pPr>
                <w:r>
                  <w:fldChar w:fldCharType="begin"/>
                </w:r>
                <w:r>
                  <w:instrText xml:space="preserve"> PAGE  \* MERGEFORMAT </w:instrText>
                </w:r>
                <w:r>
                  <w:fldChar w:fldCharType="separate"/>
                </w:r>
                <w:r>
                  <w:t>69</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文本框 7" o:spid="_x0000_s2051" o:spt="202" type="#_x0000_t202" style="position:absolute;left:0pt;margin-top:0pt;height:144pt;width:144pt;mso-position-horizontal:center;mso-position-horizontal-relative:margin;mso-wrap-style:none;z-index:2516654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7RMe2ZQIAABEFAAAOAAAAAAAAAAAAAAAAAC4CAABkcnMvZTJvRG9j&#10;LnhtbFBLAQItABQABgAIAAAAIQBxqtG51wAAAAUBAAAPAAAAAAAAAAAAAAAAAL8EAABkcnMvZG93&#10;bnJldi54bWxQSwUGAAAAAAQABADzAAAAwwUAAAAA&#10;">
          <v:path/>
          <v:fill on="f" focussize="0,0"/>
          <v:stroke on="f" weight="0.5pt" joinstyle="miter"/>
          <v:imagedata o:title=""/>
          <o:lock v:ext="edit"/>
          <v:textbox inset="0mm,0mm,0mm,0mm" style="mso-fit-shape-to-text:t;">
            <w:txbxContent>
              <w:p>
                <w:pPr>
                  <w:pStyle w:val="42"/>
                </w:pPr>
                <w:r>
                  <w:fldChar w:fldCharType="begin"/>
                </w:r>
                <w:r>
                  <w:instrText xml:space="preserve"> PAGE  \* MERGEFORMAT </w:instrText>
                </w:r>
                <w:r>
                  <w:fldChar w:fldCharType="separate"/>
                </w:r>
                <w:r>
                  <w:t>68</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pict>
        <v:shape id="文本框 8" o:spid="_x0000_s2050" o:spt="202" type="#_x0000_t202" style="position:absolute;left:0pt;margin-top:0pt;height:144pt;width:144pt;mso-position-horizontal:center;mso-position-horizontal-relative:margin;mso-wrap-style:none;z-index:25166643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CDx1kAgAAEQUAAA4AAAAAAAAAAAAAAAAALgIAAGRycy9lMm9Eb2Mu&#10;eG1sUEsBAi0AFAAGAAgAAAAhAHGq0bnXAAAABQEAAA8AAAAAAAAAAAAAAAAAvgQAAGRycy9kb3du&#10;cmV2LnhtbFBLBQYAAAAABAAEAPMAAADCBQAAAAA=&#10;">
          <v:path/>
          <v:fill on="f" focussize="0,0"/>
          <v:stroke on="f" weight="0.5pt" joinstyle="miter"/>
          <v:imagedata o:title=""/>
          <o:lock v:ext="edit"/>
          <v:textbox inset="0mm,0mm,0mm,0mm" style="mso-fit-shape-to-text:t;">
            <w:txbxContent>
              <w:p>
                <w:pPr>
                  <w:pStyle w:val="42"/>
                </w:pPr>
                <w:r>
                  <w:fldChar w:fldCharType="begin"/>
                </w:r>
                <w:r>
                  <w:instrText xml:space="preserve"> PAGE  \* MERGEFORMAT </w:instrText>
                </w:r>
                <w:r>
                  <w:fldChar w:fldCharType="separate"/>
                </w:r>
                <w:r>
                  <w:t>89</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5"/>
      </w:rPr>
    </w:pPr>
    <w:r>
      <w:fldChar w:fldCharType="begin"/>
    </w:r>
    <w:r>
      <w:rPr>
        <w:rStyle w:val="75"/>
      </w:rPr>
      <w:instrText xml:space="preserve">PAGE  </w:instrText>
    </w:r>
    <w:r>
      <w:fldChar w:fldCharType="end"/>
    </w:r>
  </w:p>
  <w:p>
    <w:pPr>
      <w:pStyle w:val="42"/>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r>
      <w:pict>
        <v:shape id="文本框 9" o:spid="_x0000_s2049" o:spt="202" type="#_x0000_t202" style="position:absolute;left:0pt;margin-top:0pt;height:144pt;width:144pt;mso-position-horizontal:center;mso-position-horizontal-relative:margin;mso-wrap-style:none;z-index:2516674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4Aoy9ZQIAABEFAAAOAAAAAAAAAAAAAAAAAC4CAABkcnMvZTJvRG9j&#10;LnhtbFBLAQItABQABgAIAAAAIQBxqtG51wAAAAUBAAAPAAAAAAAAAAAAAAAAAL8EAABkcnMvZG93&#10;bnJldi54bWxQSwUGAAAAAAQABADzAAAAwwUAAAAA&#10;">
          <v:path/>
          <v:fill on="f" focussize="0,0"/>
          <v:stroke on="f" weight="0.5pt" joinstyle="miter"/>
          <v:imagedata o:title=""/>
          <o:lock v:ext="edit"/>
          <v:textbox inset="0mm,0mm,0mm,0mm" style="mso-fit-shape-to-text:t;">
            <w:txbxContent>
              <w:p>
                <w:pPr>
                  <w:pStyle w:val="42"/>
                </w:pPr>
                <w:r>
                  <w:fldChar w:fldCharType="begin"/>
                </w:r>
                <w:r>
                  <w:instrText xml:space="preserve"> PAGE  \* MERGEFORMAT </w:instrText>
                </w:r>
                <w:r>
                  <w:fldChar w:fldCharType="separate"/>
                </w:r>
                <w:r>
                  <w:t>70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5"/>
      </w:rPr>
    </w:pPr>
    <w:r>
      <w:fldChar w:fldCharType="begin"/>
    </w:r>
    <w:r>
      <w:rPr>
        <w:rStyle w:val="75"/>
      </w:rPr>
      <w:instrText xml:space="preserve">PAGE  </w:instrText>
    </w:r>
    <w:r>
      <w:fldChar w:fldCharType="end"/>
    </w:r>
  </w:p>
  <w:p>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r>
      <w:pict>
        <v:shape id="文本框 1" o:spid="_x0000_s2057"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v:path/>
          <v:fill on="f" focussize="0,0"/>
          <v:stroke on="f" weight="0.5pt" joinstyle="miter"/>
          <v:imagedata o:title=""/>
          <o:lock v:ext="edit"/>
          <v:textbox inset="0mm,0mm,0mm,0mm" style="mso-fit-shape-to-text:t;">
            <w:txbxContent>
              <w:p>
                <w:pPr>
                  <w:pStyle w:val="42"/>
                </w:pPr>
                <w:r>
                  <w:fldChar w:fldCharType="begin"/>
                </w:r>
                <w:r>
                  <w:instrText xml:space="preserve"> PAGE  \* MERGEFORMAT </w:instrText>
                </w:r>
                <w:r>
                  <w:fldChar w:fldCharType="separate"/>
                </w:r>
                <w:r>
                  <w:t>31</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5"/>
      </w:rPr>
    </w:pPr>
    <w:r>
      <w:fldChar w:fldCharType="begin"/>
    </w:r>
    <w:r>
      <w:rPr>
        <w:rStyle w:val="75"/>
      </w:rPr>
      <w:instrText xml:space="preserve">PAGE  </w:instrText>
    </w:r>
    <w:r>
      <w:fldChar w:fldCharType="end"/>
    </w:r>
  </w:p>
  <w:p>
    <w:pPr>
      <w:pStyle w:val="42"/>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r>
      <w:pict>
        <v:shape id="文本框 2" o:spid="_x0000_s2056"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v:path/>
          <v:fill on="f" focussize="0,0"/>
          <v:stroke on="f" weight="0.5pt" joinstyle="miter"/>
          <v:imagedata o:title=""/>
          <o:lock v:ext="edit"/>
          <v:textbox inset="0mm,0mm,0mm,0mm" style="mso-fit-shape-to-text:t;">
            <w:txbxContent>
              <w:p>
                <w:pPr>
                  <w:pStyle w:val="42"/>
                </w:pPr>
                <w:r>
                  <w:fldChar w:fldCharType="begin"/>
                </w:r>
                <w:r>
                  <w:instrText xml:space="preserve"> PAGE  \* MERGEFORMAT </w:instrText>
                </w:r>
                <w:r>
                  <w:fldChar w:fldCharType="separate"/>
                </w:r>
                <w:r>
                  <w:t>2</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r>
      <w:pict>
        <v:shape id="文本框 3" o:spid="_x0000_s2055" o:spt="202" type="#_x0000_t202" style="position:absolute;left:0pt;margin-top:0pt;height:144pt;width:144pt;mso-position-horizontal:center;mso-position-horizontal-relative:margin;mso-wrap-style:non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D0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qqUPRkAgAAEQUAAA4AAAAAAAAAAAAAAAAALgIAAGRycy9lMm9Eb2Mu&#10;eG1sUEsBAi0AFAAGAAgAAAAhAHGq0bnXAAAABQEAAA8AAAAAAAAAAAAAAAAAvgQAAGRycy9kb3du&#10;cmV2LnhtbFBLBQYAAAAABAAEAPMAAADCBQAAAAA=&#10;">
          <v:path/>
          <v:fill on="f" focussize="0,0"/>
          <v:stroke on="f" weight="0.5pt" joinstyle="miter"/>
          <v:imagedata o:title=""/>
          <o:lock v:ext="edit"/>
          <v:textbox inset="0mm,0mm,0mm,0mm" style="mso-fit-shape-to-text:t;">
            <w:txbxContent>
              <w:p>
                <w:pPr>
                  <w:pStyle w:val="42"/>
                </w:pPr>
                <w:r>
                  <w:fldChar w:fldCharType="begin"/>
                </w:r>
                <w:r>
                  <w:instrText xml:space="preserve"> PAGE  \* MERGEFORMAT </w:instrText>
                </w:r>
                <w:r>
                  <w:fldChar w:fldCharType="separate"/>
                </w:r>
                <w:r>
                  <w:t>34</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文本框 4" o:spid="_x0000_s2054" o:spt="202" type="#_x0000_t202" style="position:absolute;left:0pt;margin-top:0pt;height:144pt;width:144pt;mso-position-horizontal:center;mso-position-horizontal-relative:margin;mso-wrap-style:none;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4k09pZQIAABEFAAAOAAAAAAAAAAAAAAAAAC4CAABkcnMvZTJvRG9j&#10;LnhtbFBLAQItABQABgAIAAAAIQBxqtG51wAAAAUBAAAPAAAAAAAAAAAAAAAAAL8EAABkcnMvZG93&#10;bnJldi54bWxQSwUGAAAAAAQABADzAAAAwwUAAAAA&#10;">
          <v:path/>
          <v:fill on="f" focussize="0,0"/>
          <v:stroke on="f" weight="0.5pt" joinstyle="miter"/>
          <v:imagedata o:title=""/>
          <o:lock v:ext="edit"/>
          <v:textbox inset="0mm,0mm,0mm,0mm" style="mso-fit-shape-to-text:t;">
            <w:txbxContent>
              <w:p>
                <w:pPr>
                  <w:pStyle w:val="42"/>
                </w:pPr>
                <w:r>
                  <w:fldChar w:fldCharType="begin"/>
                </w:r>
                <w:r>
                  <w:instrText xml:space="preserve"> PAGE  \* MERGEFORMAT </w:instrText>
                </w:r>
                <w:r>
                  <w:fldChar w:fldCharType="separate"/>
                </w:r>
                <w:r>
                  <w:t>66</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0D6D8A"/>
    <w:multiLevelType w:val="singleLevel"/>
    <w:tmpl w:val="880D6D8A"/>
    <w:lvl w:ilvl="0" w:tentative="0">
      <w:start w:val="4"/>
      <w:numFmt w:val="decimal"/>
      <w:lvlText w:val="%1."/>
      <w:lvlJc w:val="left"/>
      <w:pPr>
        <w:tabs>
          <w:tab w:val="left" w:pos="312"/>
        </w:tabs>
      </w:pPr>
    </w:lvl>
  </w:abstractNum>
  <w:abstractNum w:abstractNumId="1">
    <w:nsid w:val="ABC299A2"/>
    <w:multiLevelType w:val="singleLevel"/>
    <w:tmpl w:val="ABC299A2"/>
    <w:lvl w:ilvl="0" w:tentative="0">
      <w:start w:val="2"/>
      <w:numFmt w:val="decimal"/>
      <w:suff w:val="space"/>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Y4ZmY1MjRkOGQ4YThhNDg4MTRjODMyNGQyMTExYTQifQ=="/>
  </w:docVars>
  <w:rsids>
    <w:rsidRoot w:val="00FE19E4"/>
    <w:rsid w:val="000256C0"/>
    <w:rsid w:val="000270BF"/>
    <w:rsid w:val="00032B37"/>
    <w:rsid w:val="00035103"/>
    <w:rsid w:val="000E3E98"/>
    <w:rsid w:val="0011041C"/>
    <w:rsid w:val="00162876"/>
    <w:rsid w:val="001671B8"/>
    <w:rsid w:val="001D4E11"/>
    <w:rsid w:val="001E2DE4"/>
    <w:rsid w:val="001F0777"/>
    <w:rsid w:val="00265606"/>
    <w:rsid w:val="0029229B"/>
    <w:rsid w:val="002A6A79"/>
    <w:rsid w:val="002A7BA5"/>
    <w:rsid w:val="002F4C3C"/>
    <w:rsid w:val="00321467"/>
    <w:rsid w:val="00364E68"/>
    <w:rsid w:val="003726DD"/>
    <w:rsid w:val="003E5C09"/>
    <w:rsid w:val="00427673"/>
    <w:rsid w:val="0045337C"/>
    <w:rsid w:val="00494E4D"/>
    <w:rsid w:val="004D3833"/>
    <w:rsid w:val="00544615"/>
    <w:rsid w:val="005449CB"/>
    <w:rsid w:val="005B0CAC"/>
    <w:rsid w:val="006065F2"/>
    <w:rsid w:val="00687AC7"/>
    <w:rsid w:val="00700B2A"/>
    <w:rsid w:val="007054EA"/>
    <w:rsid w:val="00730C2C"/>
    <w:rsid w:val="00762AFD"/>
    <w:rsid w:val="007A04FE"/>
    <w:rsid w:val="00813209"/>
    <w:rsid w:val="008240B3"/>
    <w:rsid w:val="0085667E"/>
    <w:rsid w:val="00874696"/>
    <w:rsid w:val="00874728"/>
    <w:rsid w:val="008A38A0"/>
    <w:rsid w:val="008B4D4D"/>
    <w:rsid w:val="008B6911"/>
    <w:rsid w:val="008C45E5"/>
    <w:rsid w:val="00903A68"/>
    <w:rsid w:val="00904BD1"/>
    <w:rsid w:val="00920656"/>
    <w:rsid w:val="00942094"/>
    <w:rsid w:val="00973001"/>
    <w:rsid w:val="009A6BD4"/>
    <w:rsid w:val="009D025B"/>
    <w:rsid w:val="00A12C64"/>
    <w:rsid w:val="00A2424F"/>
    <w:rsid w:val="00A745C1"/>
    <w:rsid w:val="00AD413D"/>
    <w:rsid w:val="00AE1647"/>
    <w:rsid w:val="00B0187B"/>
    <w:rsid w:val="00B419EB"/>
    <w:rsid w:val="00B5574D"/>
    <w:rsid w:val="00B74CF3"/>
    <w:rsid w:val="00BE3742"/>
    <w:rsid w:val="00C031F4"/>
    <w:rsid w:val="00C05635"/>
    <w:rsid w:val="00C21384"/>
    <w:rsid w:val="00C91197"/>
    <w:rsid w:val="00CA4324"/>
    <w:rsid w:val="00CA53A5"/>
    <w:rsid w:val="00CB7613"/>
    <w:rsid w:val="00CE345C"/>
    <w:rsid w:val="00D2728E"/>
    <w:rsid w:val="00D524B4"/>
    <w:rsid w:val="00D7341A"/>
    <w:rsid w:val="00D94FBC"/>
    <w:rsid w:val="00DD1240"/>
    <w:rsid w:val="00E73CAB"/>
    <w:rsid w:val="00EA5672"/>
    <w:rsid w:val="00EC760A"/>
    <w:rsid w:val="00EF14C4"/>
    <w:rsid w:val="00F2132B"/>
    <w:rsid w:val="00FC17F3"/>
    <w:rsid w:val="00FC307C"/>
    <w:rsid w:val="00FD0A27"/>
    <w:rsid w:val="00FE19E4"/>
    <w:rsid w:val="00FF1EFC"/>
    <w:rsid w:val="00FF3A25"/>
    <w:rsid w:val="010827C0"/>
    <w:rsid w:val="01537FD5"/>
    <w:rsid w:val="01B14C06"/>
    <w:rsid w:val="01F929B7"/>
    <w:rsid w:val="02A3745B"/>
    <w:rsid w:val="032D650E"/>
    <w:rsid w:val="033E089E"/>
    <w:rsid w:val="04017E38"/>
    <w:rsid w:val="04115E30"/>
    <w:rsid w:val="04557590"/>
    <w:rsid w:val="04B62840"/>
    <w:rsid w:val="05162868"/>
    <w:rsid w:val="053032E4"/>
    <w:rsid w:val="066869DC"/>
    <w:rsid w:val="06D74677"/>
    <w:rsid w:val="06F23CF7"/>
    <w:rsid w:val="0983157E"/>
    <w:rsid w:val="0BEB4F2B"/>
    <w:rsid w:val="0C4C7CDE"/>
    <w:rsid w:val="0D0F4090"/>
    <w:rsid w:val="0DAD7286"/>
    <w:rsid w:val="0E8C70FC"/>
    <w:rsid w:val="0F050A8A"/>
    <w:rsid w:val="0F057540"/>
    <w:rsid w:val="0FA0239A"/>
    <w:rsid w:val="10086339"/>
    <w:rsid w:val="109A0D5B"/>
    <w:rsid w:val="12475A60"/>
    <w:rsid w:val="12577104"/>
    <w:rsid w:val="127E544A"/>
    <w:rsid w:val="12AE59C4"/>
    <w:rsid w:val="133236CD"/>
    <w:rsid w:val="135D09A6"/>
    <w:rsid w:val="14127BE9"/>
    <w:rsid w:val="14326521"/>
    <w:rsid w:val="14EC7D9D"/>
    <w:rsid w:val="15867C80"/>
    <w:rsid w:val="158D1A3D"/>
    <w:rsid w:val="15B047E5"/>
    <w:rsid w:val="169111F3"/>
    <w:rsid w:val="169E17AF"/>
    <w:rsid w:val="16DD023B"/>
    <w:rsid w:val="18264F79"/>
    <w:rsid w:val="195210FF"/>
    <w:rsid w:val="198427F4"/>
    <w:rsid w:val="198E0D0C"/>
    <w:rsid w:val="1BD9038B"/>
    <w:rsid w:val="1C4D7462"/>
    <w:rsid w:val="1EC07DE8"/>
    <w:rsid w:val="1F290ADE"/>
    <w:rsid w:val="1F4629DA"/>
    <w:rsid w:val="1FDE6C98"/>
    <w:rsid w:val="20F3093F"/>
    <w:rsid w:val="21135BBB"/>
    <w:rsid w:val="22162278"/>
    <w:rsid w:val="23B50848"/>
    <w:rsid w:val="245C1F8C"/>
    <w:rsid w:val="24B6122F"/>
    <w:rsid w:val="25081377"/>
    <w:rsid w:val="26AD1590"/>
    <w:rsid w:val="26D0457E"/>
    <w:rsid w:val="27A21E1E"/>
    <w:rsid w:val="27FC597F"/>
    <w:rsid w:val="287C1968"/>
    <w:rsid w:val="2AA84549"/>
    <w:rsid w:val="2C6426F1"/>
    <w:rsid w:val="2CDA6E57"/>
    <w:rsid w:val="2D087520"/>
    <w:rsid w:val="30970224"/>
    <w:rsid w:val="30F37B28"/>
    <w:rsid w:val="315E204E"/>
    <w:rsid w:val="32BC7E5B"/>
    <w:rsid w:val="32F7500C"/>
    <w:rsid w:val="33AF4B9A"/>
    <w:rsid w:val="356B2D42"/>
    <w:rsid w:val="367C5855"/>
    <w:rsid w:val="36A57737"/>
    <w:rsid w:val="374E6F28"/>
    <w:rsid w:val="3A5B1792"/>
    <w:rsid w:val="3AA677BB"/>
    <w:rsid w:val="3B434284"/>
    <w:rsid w:val="3B800935"/>
    <w:rsid w:val="3C4576D8"/>
    <w:rsid w:val="3CFA6AA9"/>
    <w:rsid w:val="3D3D64C1"/>
    <w:rsid w:val="3E385286"/>
    <w:rsid w:val="3F326AC0"/>
    <w:rsid w:val="3F4A70F7"/>
    <w:rsid w:val="3F862F37"/>
    <w:rsid w:val="405F34A4"/>
    <w:rsid w:val="4143614B"/>
    <w:rsid w:val="41A156F1"/>
    <w:rsid w:val="41B65345"/>
    <w:rsid w:val="42F0276F"/>
    <w:rsid w:val="44D530D8"/>
    <w:rsid w:val="49CA5C58"/>
    <w:rsid w:val="4B73193A"/>
    <w:rsid w:val="4BC5328A"/>
    <w:rsid w:val="4DB82445"/>
    <w:rsid w:val="4DE4148C"/>
    <w:rsid w:val="4DFA2A5E"/>
    <w:rsid w:val="4F0819E0"/>
    <w:rsid w:val="4FAE554B"/>
    <w:rsid w:val="4FAE58AE"/>
    <w:rsid w:val="505D2275"/>
    <w:rsid w:val="50606EB4"/>
    <w:rsid w:val="50C301CB"/>
    <w:rsid w:val="51031C29"/>
    <w:rsid w:val="54071A30"/>
    <w:rsid w:val="55C71A95"/>
    <w:rsid w:val="56312D95"/>
    <w:rsid w:val="57D40F58"/>
    <w:rsid w:val="57DAE6E1"/>
    <w:rsid w:val="58BF6D7E"/>
    <w:rsid w:val="59497D8A"/>
    <w:rsid w:val="5955323E"/>
    <w:rsid w:val="5B52600E"/>
    <w:rsid w:val="5C2E3077"/>
    <w:rsid w:val="5C3F52A6"/>
    <w:rsid w:val="5E343D6A"/>
    <w:rsid w:val="5EE81253"/>
    <w:rsid w:val="5F665FB3"/>
    <w:rsid w:val="5FED10F1"/>
    <w:rsid w:val="6110461A"/>
    <w:rsid w:val="61A06617"/>
    <w:rsid w:val="622F0AD0"/>
    <w:rsid w:val="63356B51"/>
    <w:rsid w:val="642152E2"/>
    <w:rsid w:val="64450875"/>
    <w:rsid w:val="65077AE2"/>
    <w:rsid w:val="65704A2A"/>
    <w:rsid w:val="66D134CA"/>
    <w:rsid w:val="68920AC1"/>
    <w:rsid w:val="68B52481"/>
    <w:rsid w:val="69125222"/>
    <w:rsid w:val="69F676D0"/>
    <w:rsid w:val="6A971908"/>
    <w:rsid w:val="6AEF1016"/>
    <w:rsid w:val="6B741C4A"/>
    <w:rsid w:val="6BA64A2E"/>
    <w:rsid w:val="6BEF1545"/>
    <w:rsid w:val="6C0B2A9F"/>
    <w:rsid w:val="6C2430E3"/>
    <w:rsid w:val="6C523BB1"/>
    <w:rsid w:val="6F595014"/>
    <w:rsid w:val="6FCF721E"/>
    <w:rsid w:val="70005FFB"/>
    <w:rsid w:val="70052E70"/>
    <w:rsid w:val="70227EC6"/>
    <w:rsid w:val="70FE657C"/>
    <w:rsid w:val="71400707"/>
    <w:rsid w:val="718974DC"/>
    <w:rsid w:val="729E74BD"/>
    <w:rsid w:val="73E52C5B"/>
    <w:rsid w:val="7440091B"/>
    <w:rsid w:val="75426B57"/>
    <w:rsid w:val="75CD7146"/>
    <w:rsid w:val="79A7721D"/>
    <w:rsid w:val="7A165815"/>
    <w:rsid w:val="7BF624EB"/>
    <w:rsid w:val="7C3450EB"/>
    <w:rsid w:val="7CAD7D9D"/>
    <w:rsid w:val="7D9B4D12"/>
    <w:rsid w:val="7DC65163"/>
    <w:rsid w:val="7DE71E07"/>
    <w:rsid w:val="7E9C13E9"/>
    <w:rsid w:val="7EB7B118"/>
    <w:rsid w:val="7EF017CD"/>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2">
    <w:name w:val="Default Paragraph Font"/>
    <w:semiHidden/>
    <w:unhideWhenUsed/>
    <w:uiPriority w:val="1"/>
  </w:style>
  <w:style w:type="table" w:default="1" w:styleId="65">
    <w:name w:val="Normal Table"/>
    <w:semiHidden/>
    <w:unhideWhenUsed/>
    <w:uiPriority w:val="99"/>
    <w:tblPr>
      <w:tblCellMar>
        <w:top w:w="0" w:type="dxa"/>
        <w:left w:w="108" w:type="dxa"/>
        <w:bottom w:w="0" w:type="dxa"/>
        <w:right w:w="108" w:type="dxa"/>
      </w:tblCellMar>
    </w:tblPr>
  </w:style>
  <w:style w:type="paragraph" w:customStyle="1" w:styleId="2">
    <w:name w:val="Default"/>
    <w:next w:val="3"/>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30"/>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3"/>
    <w:qFormat/>
    <w:uiPriority w:val="0"/>
    <w:pPr>
      <w:shd w:val="clear" w:color="auto" w:fill="000080"/>
    </w:pPr>
  </w:style>
  <w:style w:type="paragraph" w:styleId="21">
    <w:name w:val="annotation text"/>
    <w:basedOn w:val="1"/>
    <w:link w:val="344"/>
    <w:qFormat/>
    <w:uiPriority w:val="0"/>
    <w:pPr>
      <w:jc w:val="left"/>
    </w:pPr>
  </w:style>
  <w:style w:type="paragraph" w:styleId="22">
    <w:name w:val="Salutation"/>
    <w:basedOn w:val="1"/>
    <w:next w:val="1"/>
    <w:link w:val="298"/>
    <w:qFormat/>
    <w:uiPriority w:val="0"/>
    <w:rPr>
      <w:rFonts w:ascii="仿宋_GB2312" w:eastAsia="仿宋_GB2312"/>
      <w:sz w:val="28"/>
      <w:szCs w:val="20"/>
    </w:rPr>
  </w:style>
  <w:style w:type="paragraph" w:styleId="23">
    <w:name w:val="Body Text 3"/>
    <w:basedOn w:val="1"/>
    <w:link w:val="330"/>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1"/>
    <w:link w:val="430"/>
    <w:qFormat/>
    <w:uiPriority w:val="0"/>
    <w:pPr>
      <w:autoSpaceDE w:val="0"/>
      <w:autoSpaceDN w:val="0"/>
      <w:spacing w:line="360" w:lineRule="auto"/>
    </w:pPr>
    <w:rPr>
      <w:rFonts w:ascii="宋体" w:hAnsi="Arial" w:cs="Arial"/>
      <w:snapToGrid w:val="0"/>
      <w:sz w:val="24"/>
      <w:szCs w:val="21"/>
      <w:lang w:val="zh-CN"/>
    </w:rPr>
  </w:style>
  <w:style w:type="paragraph" w:styleId="26">
    <w:name w:val="Body Text Indent"/>
    <w:basedOn w:val="1"/>
    <w:next w:val="27"/>
    <w:link w:val="265"/>
    <w:qFormat/>
    <w:uiPriority w:val="0"/>
    <w:pPr>
      <w:spacing w:line="480" w:lineRule="exact"/>
      <w:ind w:firstLine="480" w:firstLineChars="200"/>
    </w:pPr>
    <w:rPr>
      <w:rFonts w:ascii="宋体" w:hAnsi="宋体"/>
      <w:sz w:val="24"/>
    </w:rPr>
  </w:style>
  <w:style w:type="paragraph" w:styleId="27">
    <w:name w:val="envelope return"/>
    <w:basedOn w:val="1"/>
    <w:qFormat/>
    <w:uiPriority w:val="0"/>
    <w:pPr>
      <w:snapToGrid w:val="0"/>
    </w:pPr>
    <w:rPr>
      <w:rFonts w:ascii="Arial" w:hAnsi="Arial"/>
    </w:rPr>
  </w:style>
  <w:style w:type="paragraph" w:styleId="28">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6"/>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2"/>
    <w:qFormat/>
    <w:uiPriority w:val="0"/>
    <w:pPr>
      <w:ind w:left="100" w:leftChars="2500"/>
    </w:pPr>
    <w:rPr>
      <w:rFonts w:ascii="宋体"/>
      <w:sz w:val="24"/>
      <w:szCs w:val="21"/>
      <w:lang w:val="zh-CN"/>
    </w:rPr>
  </w:style>
  <w:style w:type="paragraph" w:styleId="39">
    <w:name w:val="Body Text Indent 2"/>
    <w:basedOn w:val="1"/>
    <w:link w:val="308"/>
    <w:qFormat/>
    <w:uiPriority w:val="0"/>
    <w:pPr>
      <w:spacing w:line="360" w:lineRule="auto"/>
      <w:ind w:firstLine="601"/>
      <w:textAlignment w:val="baseline"/>
    </w:pPr>
    <w:rPr>
      <w:rFonts w:ascii="宋体"/>
      <w:kern w:val="0"/>
      <w:sz w:val="28"/>
      <w:szCs w:val="20"/>
    </w:rPr>
  </w:style>
  <w:style w:type="paragraph" w:styleId="40">
    <w:name w:val="endnote text"/>
    <w:basedOn w:val="1"/>
    <w:link w:val="932"/>
    <w:qFormat/>
    <w:uiPriority w:val="0"/>
    <w:rPr>
      <w:lang w:val="zh-CN"/>
    </w:rPr>
  </w:style>
  <w:style w:type="paragraph" w:styleId="41">
    <w:name w:val="Balloon Text"/>
    <w:basedOn w:val="1"/>
    <w:link w:val="189"/>
    <w:qFormat/>
    <w:uiPriority w:val="0"/>
    <w:rPr>
      <w:sz w:val="18"/>
      <w:szCs w:val="18"/>
    </w:rPr>
  </w:style>
  <w:style w:type="paragraph" w:styleId="42">
    <w:name w:val="footer"/>
    <w:basedOn w:val="1"/>
    <w:link w:val="383"/>
    <w:qFormat/>
    <w:uiPriority w:val="99"/>
    <w:pPr>
      <w:tabs>
        <w:tab w:val="center" w:pos="4153"/>
        <w:tab w:val="right" w:pos="8306"/>
      </w:tabs>
      <w:snapToGrid w:val="0"/>
      <w:jc w:val="left"/>
    </w:pPr>
    <w:rPr>
      <w:sz w:val="18"/>
      <w:szCs w:val="18"/>
    </w:rPr>
  </w:style>
  <w:style w:type="paragraph" w:styleId="43">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7"/>
    <w:link w:val="310"/>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5"/>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2"/>
    <w:qFormat/>
    <w:uiPriority w:val="0"/>
    <w:pPr>
      <w:spacing w:after="120" w:line="480" w:lineRule="auto"/>
    </w:pPr>
  </w:style>
  <w:style w:type="paragraph" w:styleId="59">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97"/>
    <w:qFormat/>
    <w:uiPriority w:val="0"/>
    <w:rPr>
      <w:b/>
      <w:bCs/>
    </w:rPr>
  </w:style>
  <w:style w:type="paragraph" w:styleId="63">
    <w:name w:val="Body Text First Indent"/>
    <w:basedOn w:val="25"/>
    <w:next w:val="1"/>
    <w:link w:val="321"/>
    <w:qFormat/>
    <w:uiPriority w:val="0"/>
    <w:pPr>
      <w:ind w:firstLine="420"/>
    </w:pPr>
    <w:rPr>
      <w:rFonts w:hAnsi="Calibri" w:cs="Times New Roman"/>
      <w:snapToGrid/>
      <w:szCs w:val="20"/>
    </w:rPr>
  </w:style>
  <w:style w:type="paragraph" w:styleId="64">
    <w:name w:val="Body Text First Indent 2"/>
    <w:basedOn w:val="26"/>
    <w:link w:val="122"/>
    <w:qFormat/>
    <w:uiPriority w:val="0"/>
    <w:pPr>
      <w:adjustRightInd/>
      <w:spacing w:after="120" w:line="240" w:lineRule="auto"/>
      <w:ind w:left="420" w:leftChars="200" w:firstLine="210"/>
    </w:pPr>
    <w:rPr>
      <w:sz w:val="21"/>
    </w:r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Theme"/>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Elegant"/>
    <w:basedOn w:val="6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qFormat/>
    <w:uiPriority w:val="22"/>
    <w:rPr>
      <w:b/>
      <w:bCs/>
    </w:rPr>
  </w:style>
  <w:style w:type="character" w:styleId="74">
    <w:name w:val="endnote reference"/>
    <w:qFormat/>
    <w:uiPriority w:val="0"/>
    <w:rPr>
      <w:vertAlign w:val="superscript"/>
    </w:rPr>
  </w:style>
  <w:style w:type="character" w:styleId="75">
    <w:name w:val="page number"/>
    <w:basedOn w:val="72"/>
    <w:qFormat/>
    <w:uiPriority w:val="0"/>
    <w:rPr>
      <w:rFonts w:ascii="Arial" w:hAnsi="Arial" w:eastAsia="黑体" w:cs="Arial"/>
      <w:snapToGrid w:val="0"/>
      <w:kern w:val="0"/>
      <w:szCs w:val="21"/>
    </w:rPr>
  </w:style>
  <w:style w:type="character" w:styleId="76">
    <w:name w:val="FollowedHyperlink"/>
    <w:qFormat/>
    <w:uiPriority w:val="99"/>
    <w:rPr>
      <w:rFonts w:ascii="Arial" w:hAnsi="Arial" w:eastAsia="黑体" w:cs="Arial"/>
      <w:snapToGrid w:val="0"/>
      <w:color w:val="000000"/>
      <w:kern w:val="0"/>
      <w:sz w:val="18"/>
      <w:szCs w:val="18"/>
      <w:u w:val="none"/>
    </w:rPr>
  </w:style>
  <w:style w:type="character" w:styleId="77">
    <w:name w:val="Emphasis"/>
    <w:qFormat/>
    <w:uiPriority w:val="20"/>
    <w:rPr>
      <w:color w:val="CC0033"/>
    </w:rPr>
  </w:style>
  <w:style w:type="character" w:styleId="78">
    <w:name w:val="line number"/>
    <w:basedOn w:val="72"/>
    <w:qFormat/>
    <w:uiPriority w:val="0"/>
    <w:rPr>
      <w:rFonts w:ascii="Arial" w:hAnsi="Arial" w:eastAsia="黑体" w:cs="Arial"/>
      <w:snapToGrid w:val="0"/>
      <w:kern w:val="0"/>
      <w:szCs w:val="21"/>
    </w:rPr>
  </w:style>
  <w:style w:type="character" w:styleId="79">
    <w:name w:val="Hyperlink"/>
    <w:qFormat/>
    <w:uiPriority w:val="99"/>
    <w:rPr>
      <w:rFonts w:ascii="Arial" w:hAnsi="Arial" w:eastAsia="黑体" w:cs="Arial"/>
      <w:snapToGrid w:val="0"/>
      <w:color w:val="000000"/>
      <w:kern w:val="0"/>
      <w:sz w:val="18"/>
      <w:szCs w:val="18"/>
      <w:u w:val="non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99"/>
    <w:rPr>
      <w:sz w:val="21"/>
      <w:szCs w:val="21"/>
    </w:rPr>
  </w:style>
  <w:style w:type="paragraph" w:customStyle="1" w:styleId="82">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2"/>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4"/>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2"/>
    <w:qFormat/>
    <w:uiPriority w:val="0"/>
    <w:rPr>
      <w:rFonts w:ascii="Arial" w:hAnsi="Arial" w:eastAsia="黑体" w:cs="Arial"/>
      <w:snapToGrid w:val="0"/>
      <w:kern w:val="0"/>
      <w:szCs w:val="21"/>
    </w:rPr>
  </w:style>
  <w:style w:type="character" w:customStyle="1" w:styleId="126">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9"/>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10"/>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5"/>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8"/>
    <w:qFormat/>
    <w:uiPriority w:val="0"/>
    <w:rPr>
      <w:rFonts w:ascii="宋体"/>
      <w:kern w:val="2"/>
      <w:sz w:val="24"/>
      <w:szCs w:val="21"/>
      <w:lang w:val="zh-CN"/>
    </w:rPr>
  </w:style>
  <w:style w:type="character" w:customStyle="1" w:styleId="183">
    <w:name w:val="标题 9 Char"/>
    <w:link w:val="13"/>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1"/>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7"/>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20"/>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2"/>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2"/>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8"/>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8"/>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2"/>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6"/>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4"/>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1"/>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9"/>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2"/>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9"/>
    <w:qFormat/>
    <w:uiPriority w:val="0"/>
    <w:rPr>
      <w:rFonts w:ascii="黑体" w:hAnsi="Courier New" w:eastAsia="黑体"/>
    </w:rPr>
  </w:style>
  <w:style w:type="character" w:customStyle="1" w:styleId="302">
    <w:name w:val="正文文本 2 Char1"/>
    <w:link w:val="58"/>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8"/>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1"/>
    <w:qFormat/>
    <w:uiPriority w:val="0"/>
    <w:rPr>
      <w:b/>
      <w:bCs/>
      <w:kern w:val="2"/>
      <w:sz w:val="24"/>
      <w:szCs w:val="24"/>
    </w:rPr>
  </w:style>
  <w:style w:type="character" w:customStyle="1" w:styleId="308">
    <w:name w:val="正文文本缩进 2 Char"/>
    <w:link w:val="39"/>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2"/>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3"/>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8"/>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3"/>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1"/>
    <w:qFormat/>
    <w:uiPriority w:val="0"/>
    <w:rPr>
      <w:kern w:val="2"/>
      <w:sz w:val="21"/>
      <w:szCs w:val="24"/>
    </w:rPr>
  </w:style>
  <w:style w:type="character" w:customStyle="1" w:styleId="345">
    <w:name w:val="签名 Char"/>
    <w:link w:val="44"/>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2"/>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5"/>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2"/>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3"/>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2"/>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7"/>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1">
    <w:name w:val="gray6"/>
    <w:basedOn w:val="72"/>
    <w:qFormat/>
    <w:uiPriority w:val="0"/>
    <w:rPr>
      <w:rFonts w:ascii="Arial" w:hAnsi="Arial" w:eastAsia="黑体" w:cs="Arial"/>
      <w:snapToGrid w:val="0"/>
      <w:kern w:val="0"/>
      <w:szCs w:val="21"/>
    </w:rPr>
  </w:style>
  <w:style w:type="character" w:customStyle="1" w:styleId="432">
    <w:name w:val="hui"/>
    <w:basedOn w:val="72"/>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8"/>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5"/>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6"/>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9"/>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6"/>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8"/>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
    <w:next w:val="2"/>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
    <w:next w:val="2"/>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8"/>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4"/>
    <w:qFormat/>
    <w:uiPriority w:val="0"/>
    <w:pPr>
      <w:tabs>
        <w:tab w:val="left" w:pos="840"/>
      </w:tabs>
      <w:adjustRightInd/>
      <w:ind w:left="840" w:hanging="420"/>
    </w:pPr>
  </w:style>
  <w:style w:type="paragraph" w:customStyle="1" w:styleId="626">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8"/>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9"/>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6"/>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6"/>
    <w:next w:val="55"/>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99"/>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0"/>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9"/>
    <w:next w:val="1"/>
    <w:qFormat/>
    <w:uiPriority w:val="0"/>
    <w:pPr>
      <w:tabs>
        <w:tab w:val="left" w:pos="1080"/>
      </w:tabs>
      <w:ind w:left="1080" w:hanging="1080"/>
    </w:pPr>
  </w:style>
  <w:style w:type="paragraph" w:customStyle="1" w:styleId="897">
    <w:name w:val="数字标题1"/>
    <w:basedOn w:val="4"/>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40"/>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2"/>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styleId="96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7"/>
    <customShpInfo spid="_x0000_s2056"/>
    <customShpInfo spid="_x0000_s2055"/>
    <customShpInfo spid="_x0000_s2054"/>
    <customShpInfo spid="_x0000_s2053"/>
    <customShpInfo spid="_x0000_s2052"/>
    <customShpInfo spid="_x0000_s2051"/>
    <customShpInfo spid="_x0000_s2050"/>
    <customShpInfo spid="_x0000_s2049"/>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44E2FC-C6C1-43C4-B497-878E7CC10131}">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7591</Words>
  <Characters>43272</Characters>
  <Lines>360</Lines>
  <Paragraphs>101</Paragraphs>
  <TotalTime>17</TotalTime>
  <ScaleCrop>false</ScaleCrop>
  <LinksUpToDate>false</LinksUpToDate>
  <CharactersWithSpaces>50762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2023-09-22T06:10:00Z</dcterms:created>
  <dc:creator>玥</dc:creator>
  <cp:lastModifiedBy>HC</cp:lastModifiedBy>
  <cp:lastPrinted>2023-11-07T05:58:00Z</cp:lastPrinted>
  <dcterms:modified xsi:type="dcterms:W3CDTF">2023-11-09T01:40:04Z</dcterms:modified>
  <dc:title>杭州市市民卡扩大发卡工程</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59A3CDD0645D48DCAAA4CE1C8608CF43</vt:lpwstr>
  </property>
</Properties>
</file>