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绍兴市人民医院双极射频消融笔等心胸外科类耗材采购项目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SXRMYY-2024-04</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w:t>
      </w:r>
      <w:r>
        <w:rPr>
          <w:rFonts w:ascii="仿宋" w:hAnsi="仿宋" w:eastAsia="仿宋" w:cs="仿宋"/>
          <w:sz w:val="28"/>
        </w:rPr>
        <w:t>3</w:t>
      </w:r>
      <w:r>
        <w:rPr>
          <w:rFonts w:hint="eastAsia" w:ascii="仿宋" w:hAnsi="仿宋" w:eastAsia="仿宋" w:cs="仿宋"/>
          <w:sz w:val="28"/>
        </w:rPr>
        <w:t>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SXRMYY-2024-04</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888"/>
        <w:gridCol w:w="955"/>
        <w:gridCol w:w="790"/>
        <w:gridCol w:w="1256"/>
        <w:gridCol w:w="126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17" w:type="pct"/>
            <w:vAlign w:val="center"/>
          </w:tcPr>
          <w:p>
            <w:pPr>
              <w:jc w:val="center"/>
              <w:rPr>
                <w:rFonts w:ascii="仿宋" w:hAnsi="仿宋" w:eastAsia="仿宋" w:cs="Arial"/>
                <w:szCs w:val="21"/>
              </w:rPr>
            </w:pPr>
            <w:r>
              <w:rPr>
                <w:rFonts w:hint="eastAsia" w:ascii="仿宋" w:hAnsi="仿宋" w:eastAsia="仿宋" w:cs="Arial"/>
                <w:szCs w:val="21"/>
              </w:rPr>
              <w:t>标段</w:t>
            </w:r>
          </w:p>
        </w:tc>
        <w:tc>
          <w:tcPr>
            <w:tcW w:w="1004" w:type="pct"/>
            <w:vAlign w:val="center"/>
          </w:tcPr>
          <w:p>
            <w:pPr>
              <w:jc w:val="center"/>
              <w:rPr>
                <w:rFonts w:ascii="仿宋" w:hAnsi="仿宋" w:eastAsia="仿宋" w:cs="Arial"/>
                <w:szCs w:val="21"/>
              </w:rPr>
            </w:pPr>
            <w:r>
              <w:rPr>
                <w:rFonts w:hint="eastAsia" w:ascii="仿宋" w:hAnsi="仿宋" w:eastAsia="仿宋" w:cs="Arial"/>
                <w:szCs w:val="21"/>
              </w:rPr>
              <w:t>产品名称</w:t>
            </w:r>
          </w:p>
        </w:tc>
        <w:tc>
          <w:tcPr>
            <w:tcW w:w="508"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420"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6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70"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81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7" w:type="pct"/>
            <w:vMerge w:val="restart"/>
            <w:vAlign w:val="center"/>
          </w:tcPr>
          <w:p>
            <w:pPr>
              <w:jc w:val="center"/>
              <w:rPr>
                <w:rFonts w:ascii="仿宋" w:hAnsi="仿宋" w:eastAsia="仿宋"/>
                <w:szCs w:val="21"/>
              </w:rPr>
            </w:pPr>
            <w:r>
              <w:rPr>
                <w:rFonts w:hint="eastAsia" w:ascii="仿宋" w:hAnsi="仿宋" w:eastAsia="仿宋" w:cs="宋体"/>
                <w:kern w:val="0"/>
                <w:szCs w:val="21"/>
                <w:lang w:bidi="ar"/>
              </w:rPr>
              <w:t>1.双极射频消融笔等</w:t>
            </w:r>
            <w:r>
              <w:rPr>
                <w:rFonts w:hint="eastAsia" w:ascii="仿宋" w:hAnsi="仿宋" w:eastAsia="仿宋" w:cs="宋体"/>
                <w:kern w:val="0"/>
                <w:szCs w:val="21"/>
              </w:rPr>
              <w:t>心胸外科类耗材</w:t>
            </w:r>
          </w:p>
        </w:tc>
        <w:tc>
          <w:tcPr>
            <w:tcW w:w="1004" w:type="pct"/>
            <w:vAlign w:val="center"/>
          </w:tcPr>
          <w:p>
            <w:pPr>
              <w:jc w:val="center"/>
              <w:rPr>
                <w:rFonts w:ascii="仿宋" w:hAnsi="仿宋" w:eastAsia="仿宋" w:cs="Arial"/>
                <w:szCs w:val="21"/>
              </w:rPr>
            </w:pPr>
            <w:r>
              <w:rPr>
                <w:rFonts w:hint="eastAsia" w:ascii="仿宋" w:hAnsi="仿宋" w:eastAsia="仿宋" w:cs="Arial"/>
                <w:szCs w:val="21"/>
              </w:rPr>
              <w:t>双极射频消融笔</w:t>
            </w:r>
          </w:p>
        </w:tc>
        <w:tc>
          <w:tcPr>
            <w:tcW w:w="508" w:type="pct"/>
            <w:vAlign w:val="center"/>
          </w:tcPr>
          <w:p>
            <w:pPr>
              <w:jc w:val="center"/>
              <w:rPr>
                <w:rFonts w:ascii="仿宋" w:hAnsi="仿宋" w:eastAsia="仿宋" w:cs="宋体"/>
                <w:kern w:val="0"/>
                <w:szCs w:val="21"/>
                <w:lang w:bidi="ar"/>
              </w:rPr>
            </w:pPr>
            <w:r>
              <w:rPr>
                <w:rFonts w:hint="eastAsia" w:ascii="仿宋" w:hAnsi="仿宋" w:eastAsia="仿宋" w:cs="仿宋"/>
                <w:kern w:val="0"/>
                <w:szCs w:val="21"/>
              </w:rPr>
              <w:t>/</w:t>
            </w:r>
          </w:p>
        </w:tc>
        <w:tc>
          <w:tcPr>
            <w:tcW w:w="420" w:type="pct"/>
            <w:vAlign w:val="center"/>
          </w:tcPr>
          <w:p>
            <w:pPr>
              <w:jc w:val="center"/>
              <w:rPr>
                <w:rFonts w:ascii="仿宋" w:hAnsi="仿宋" w:eastAsia="仿宋" w:cs="仿宋"/>
                <w:szCs w:val="21"/>
              </w:rPr>
            </w:pPr>
            <w:r>
              <w:rPr>
                <w:rFonts w:hint="eastAsia" w:ascii="仿宋" w:hAnsi="仿宋" w:eastAsia="仿宋" w:cs="宋体"/>
                <w:color w:val="000000"/>
                <w:kern w:val="0"/>
                <w:szCs w:val="21"/>
                <w:lang w:bidi="ar"/>
              </w:rPr>
              <w:t>支</w:t>
            </w:r>
          </w:p>
        </w:tc>
        <w:tc>
          <w:tcPr>
            <w:tcW w:w="668" w:type="pct"/>
            <w:vAlign w:val="center"/>
          </w:tcPr>
          <w:p>
            <w:pPr>
              <w:jc w:val="center"/>
              <w:rPr>
                <w:rFonts w:ascii="仿宋" w:hAnsi="仿宋" w:eastAsia="仿宋" w:cs="仿宋"/>
                <w:szCs w:val="21"/>
              </w:rPr>
            </w:pPr>
            <w:r>
              <w:rPr>
                <w:rFonts w:ascii="仿宋" w:hAnsi="仿宋" w:eastAsia="仿宋" w:cs="Arial"/>
                <w:color w:val="000000"/>
                <w:kern w:val="0"/>
                <w:szCs w:val="21"/>
                <w:lang w:bidi="ar"/>
              </w:rPr>
              <w:t xml:space="preserve">13000 </w:t>
            </w:r>
          </w:p>
        </w:tc>
        <w:tc>
          <w:tcPr>
            <w:tcW w:w="670" w:type="pct"/>
            <w:vAlign w:val="center"/>
          </w:tcPr>
          <w:p>
            <w:pPr>
              <w:jc w:val="center"/>
              <w:rPr>
                <w:rFonts w:ascii="仿宋" w:hAnsi="仿宋" w:eastAsia="仿宋" w:cs="仿宋"/>
                <w:szCs w:val="21"/>
              </w:rPr>
            </w:pPr>
            <w:r>
              <w:rPr>
                <w:rFonts w:hint="eastAsia" w:ascii="仿宋" w:hAnsi="仿宋" w:eastAsia="仿宋" w:cs="Arial"/>
                <w:color w:val="000000"/>
                <w:szCs w:val="21"/>
              </w:rPr>
              <w:t>22</w:t>
            </w:r>
          </w:p>
        </w:tc>
        <w:tc>
          <w:tcPr>
            <w:tcW w:w="812" w:type="pct"/>
            <w:vAlign w:val="center"/>
          </w:tcPr>
          <w:p>
            <w:pPr>
              <w:jc w:val="center"/>
              <w:rPr>
                <w:rFonts w:ascii="仿宋" w:hAnsi="仿宋" w:eastAsia="仿宋"/>
                <w:szCs w:val="21"/>
              </w:rPr>
            </w:pPr>
            <w:r>
              <w:rPr>
                <w:rFonts w:hint="eastAsia" w:ascii="仿宋" w:hAnsi="仿宋" w:eastAsia="仿宋" w:cs="Arial"/>
                <w:color w:val="000000"/>
                <w:szCs w:val="21"/>
              </w:rPr>
              <w:t>286000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7" w:type="pct"/>
            <w:vMerge w:val="continue"/>
            <w:vAlign w:val="center"/>
          </w:tcPr>
          <w:p>
            <w:pPr>
              <w:jc w:val="center"/>
              <w:rPr>
                <w:rFonts w:ascii="仿宋" w:hAnsi="仿宋" w:eastAsia="仿宋"/>
                <w:szCs w:val="21"/>
              </w:rPr>
            </w:pPr>
          </w:p>
        </w:tc>
        <w:tc>
          <w:tcPr>
            <w:tcW w:w="1004" w:type="pct"/>
            <w:vAlign w:val="center"/>
          </w:tcPr>
          <w:p>
            <w:pPr>
              <w:jc w:val="center"/>
              <w:rPr>
                <w:rFonts w:ascii="仿宋" w:hAnsi="仿宋" w:eastAsia="仿宋" w:cs="Arial"/>
                <w:kern w:val="0"/>
                <w:szCs w:val="21"/>
                <w:lang w:bidi="ar"/>
              </w:rPr>
            </w:pPr>
            <w:r>
              <w:rPr>
                <w:rFonts w:hint="eastAsia" w:ascii="仿宋" w:hAnsi="仿宋" w:eastAsia="仿宋" w:cs="Arial"/>
                <w:szCs w:val="21"/>
              </w:rPr>
              <w:t>双极射频消融隔离钳及连接带</w:t>
            </w:r>
          </w:p>
        </w:tc>
        <w:tc>
          <w:tcPr>
            <w:tcW w:w="508" w:type="pct"/>
            <w:vAlign w:val="center"/>
          </w:tcPr>
          <w:p>
            <w:pPr>
              <w:jc w:val="center"/>
              <w:rPr>
                <w:rFonts w:ascii="仿宋" w:hAnsi="仿宋" w:eastAsia="仿宋"/>
                <w:szCs w:val="21"/>
              </w:rPr>
            </w:pPr>
            <w:r>
              <w:rPr>
                <w:rFonts w:hint="eastAsia" w:ascii="仿宋" w:hAnsi="仿宋" w:eastAsia="仿宋" w:cs="仿宋"/>
                <w:kern w:val="0"/>
                <w:szCs w:val="21"/>
              </w:rPr>
              <w:t>/</w:t>
            </w:r>
          </w:p>
        </w:tc>
        <w:tc>
          <w:tcPr>
            <w:tcW w:w="420"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支</w:t>
            </w:r>
          </w:p>
        </w:tc>
        <w:tc>
          <w:tcPr>
            <w:tcW w:w="668" w:type="pct"/>
            <w:vAlign w:val="center"/>
          </w:tcPr>
          <w:p>
            <w:pPr>
              <w:jc w:val="center"/>
              <w:rPr>
                <w:rFonts w:ascii="仿宋" w:hAnsi="仿宋" w:eastAsia="仿宋"/>
                <w:szCs w:val="21"/>
              </w:rPr>
            </w:pPr>
            <w:r>
              <w:rPr>
                <w:rFonts w:ascii="仿宋" w:hAnsi="仿宋" w:eastAsia="仿宋" w:cs="Arial"/>
                <w:color w:val="000000"/>
                <w:kern w:val="0"/>
                <w:szCs w:val="21"/>
                <w:lang w:bidi="ar"/>
              </w:rPr>
              <w:t>19900</w:t>
            </w:r>
          </w:p>
        </w:tc>
        <w:tc>
          <w:tcPr>
            <w:tcW w:w="670" w:type="pct"/>
            <w:vAlign w:val="center"/>
          </w:tcPr>
          <w:p>
            <w:pPr>
              <w:jc w:val="center"/>
              <w:rPr>
                <w:rFonts w:ascii="仿宋" w:hAnsi="仿宋" w:eastAsia="仿宋"/>
                <w:szCs w:val="21"/>
              </w:rPr>
            </w:pPr>
            <w:r>
              <w:rPr>
                <w:rFonts w:hint="eastAsia" w:ascii="仿宋" w:hAnsi="仿宋" w:eastAsia="仿宋" w:cs="Arial"/>
                <w:color w:val="000000"/>
                <w:szCs w:val="21"/>
              </w:rPr>
              <w:t>22</w:t>
            </w:r>
          </w:p>
        </w:tc>
        <w:tc>
          <w:tcPr>
            <w:tcW w:w="812" w:type="pct"/>
            <w:vAlign w:val="center"/>
          </w:tcPr>
          <w:p>
            <w:pPr>
              <w:jc w:val="center"/>
              <w:rPr>
                <w:rFonts w:ascii="仿宋" w:hAnsi="仿宋" w:eastAsia="仿宋" w:cs="Tahoma"/>
                <w:szCs w:val="21"/>
              </w:rPr>
            </w:pPr>
            <w:r>
              <w:rPr>
                <w:rFonts w:hint="eastAsia" w:ascii="仿宋" w:hAnsi="仿宋" w:eastAsia="仿宋" w:cs="Arial"/>
                <w:color w:val="000000"/>
                <w:szCs w:val="21"/>
              </w:rPr>
              <w:t>437800</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1.所有标段：均要求提供样品，未提供样品或提供样品不满足采购需求实质性条件的供应商，投标无效。</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2.用于对心脏组织进行消融，需提供配套设备(须提供说明书、注册证、合格证等相关证明材料)</w:t>
      </w:r>
      <w:r>
        <w:rPr>
          <w:rFonts w:hint="eastAsia" w:ascii="仿宋" w:hAnsi="仿宋" w:eastAsia="仿宋" w:cs="仿宋"/>
          <w:sz w:val="24"/>
          <w:szCs w:val="24"/>
          <w:lang w:eastAsia="zh-CN"/>
        </w:rPr>
        <w:t>，</w:t>
      </w:r>
      <w:bookmarkStart w:id="39" w:name="_GoBack"/>
      <w:bookmarkEnd w:id="39"/>
      <w:r>
        <w:rPr>
          <w:rFonts w:hint="eastAsia" w:ascii="仿宋" w:hAnsi="仿宋" w:eastAsia="仿宋" w:cs="仿宋"/>
          <w:sz w:val="24"/>
          <w:szCs w:val="24"/>
          <w:lang w:val="en-US" w:eastAsia="zh-CN"/>
        </w:rPr>
        <w:t>不单独报价。</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w:t>
      </w:r>
      <w:r>
        <w:rPr>
          <w:rFonts w:ascii="仿宋" w:hAnsi="仿宋" w:eastAsia="仿宋" w:cs="仿宋"/>
          <w:bCs/>
          <w:sz w:val="24"/>
          <w:highlight w:val="yellow"/>
        </w:rPr>
        <w:t>3</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w:t>
      </w:r>
      <w:r>
        <w:rPr>
          <w:rFonts w:ascii="仿宋" w:hAnsi="仿宋" w:eastAsia="仿宋" w:cs="仿宋"/>
          <w:sz w:val="24"/>
          <w:highlight w:val="yellow"/>
          <w:u w:val="single"/>
        </w:rPr>
        <w:t>3</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时</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6"/>
      <w:bookmarkEnd w:id="6"/>
      <w:bookmarkStart w:id="7" w:name="_Hlt10553107"/>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年3月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绍兴市人民医院双极射频消融笔等心胸外科类耗材采购项目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对投标人运营情况及效率，如经营能力和水平、经营产品的优异性、投入产出比、人均业务收入等进行评价打分，0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根据投标人提供的合同票据、产品情况、收益情况、社保缴纳情况等材料进行认定，无材料的，不得分。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ascii="仿宋" w:hAnsi="仿宋" w:eastAsia="仿宋"/>
                <w:szCs w:val="21"/>
              </w:rPr>
              <w:t>5</w:t>
            </w:r>
            <w:r>
              <w:rPr>
                <w:rFonts w:hint="eastAsia" w:ascii="仿宋" w:hAnsi="仿宋" w:eastAsia="仿宋"/>
                <w:szCs w:val="21"/>
              </w:rPr>
              <w:t>.提供样品，根据样品品质比较打分，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能满足应急或突发事件的需要得1分，不提供相关承诺不得分。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04"/>
      <w:bookmarkEnd w:id="26"/>
      <w:bookmarkStart w:id="27" w:name="_Toc64369809"/>
      <w:bookmarkEnd w:id="27"/>
      <w:bookmarkStart w:id="28" w:name="_Toc64369808"/>
      <w:bookmarkEnd w:id="28"/>
      <w:bookmarkStart w:id="29" w:name="_Toc64369812"/>
      <w:bookmarkEnd w:id="29"/>
      <w:bookmarkStart w:id="30" w:name="_Toc64369807"/>
      <w:bookmarkEnd w:id="30"/>
      <w:bookmarkStart w:id="31" w:name="_Toc64369813"/>
      <w:bookmarkEnd w:id="31"/>
      <w:bookmarkStart w:id="32" w:name="_Toc64369810"/>
      <w:bookmarkEnd w:id="32"/>
      <w:bookmarkStart w:id="33" w:name="_Toc64369805"/>
      <w:bookmarkEnd w:id="33"/>
      <w:bookmarkStart w:id="34" w:name="_Toc64369806"/>
      <w:bookmarkEnd w:id="34"/>
      <w:bookmarkStart w:id="35" w:name="_Toc64369814"/>
      <w:bookmarkEnd w:id="35"/>
      <w:bookmarkStart w:id="36" w:name="_Toc64369811"/>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1129"/>
        <w:gridCol w:w="1701"/>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1129"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cs="宋体"/>
                <w:kern w:val="0"/>
                <w:szCs w:val="21"/>
                <w:lang w:bidi="ar"/>
              </w:rPr>
              <w:t>1.双极射频消融笔等</w:t>
            </w:r>
            <w:r>
              <w:rPr>
                <w:rFonts w:hint="eastAsia" w:ascii="仿宋" w:hAnsi="仿宋" w:eastAsia="仿宋" w:cs="宋体"/>
                <w:kern w:val="0"/>
                <w:szCs w:val="21"/>
              </w:rPr>
              <w:t>心胸外科类耗材</w:t>
            </w:r>
          </w:p>
        </w:tc>
        <w:tc>
          <w:tcPr>
            <w:tcW w:w="1701"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cs="Arial"/>
                <w:szCs w:val="21"/>
              </w:rPr>
              <w:t>双极射频消融笔</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Arial"/>
                <w:color w:val="000000"/>
                <w:kern w:val="0"/>
                <w:szCs w:val="21"/>
                <w:lang w:bidi="ar"/>
              </w:rPr>
              <w:t xml:space="preserve">13000 </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Arial"/>
                <w:color w:val="000000"/>
                <w:szCs w:val="21"/>
              </w:rPr>
              <w:t>22</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1129" w:type="dxa"/>
            <w:vMerge w:val="continue"/>
            <w:tcBorders>
              <w:left w:val="single" w:color="auto" w:sz="4" w:space="0"/>
              <w:right w:val="single" w:color="auto" w:sz="4" w:space="0"/>
            </w:tcBorders>
            <w:noWrap/>
            <w:vAlign w:val="center"/>
          </w:tcPr>
          <w:p>
            <w:pPr>
              <w:jc w:val="center"/>
              <w:rPr>
                <w:rFonts w:ascii="仿宋" w:hAnsi="仿宋" w:eastAsia="仿宋" w:cs="Arial"/>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cs="Arial"/>
                <w:szCs w:val="21"/>
              </w:rPr>
              <w:t>双极射频消融隔离钳及连接带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19900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szCs w:val="21"/>
              </w:rPr>
              <w:t>22</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w:t>
      </w:r>
      <w:r>
        <w:rPr>
          <w:rFonts w:ascii="仿宋_GB2312" w:hAnsi="宋体" w:eastAsia="仿宋_GB2312"/>
          <w:sz w:val="24"/>
        </w:rPr>
        <w:t xml:space="preserve"> </w:t>
      </w:r>
      <w:r>
        <w:rPr>
          <w:rFonts w:ascii="仿宋" w:hAnsi="仿宋" w:eastAsia="仿宋"/>
          <w:sz w:val="24"/>
        </w:rPr>
        <w:t>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绍兴市人民医院双极射频消融笔等心胸外科类耗材采购项目（</w:t>
    </w:r>
    <w:r>
      <w:t>SXRMYY-2024-04</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绍兴市人民医院双极射频消融笔等心胸外科类耗材采购项目（</w:t>
    </w:r>
    <w:r>
      <w:t>SXRMYY-2024-04</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绍兴市人民医院双极射频消融笔等心胸外科类耗材采购项目（</w:t>
    </w:r>
    <w:r>
      <w:t>SXRMYY-2024-04</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3AA"/>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6722"/>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158"/>
    <w:rsid w:val="004A16B6"/>
    <w:rsid w:val="004A4591"/>
    <w:rsid w:val="004A79CE"/>
    <w:rsid w:val="004B1716"/>
    <w:rsid w:val="004B6744"/>
    <w:rsid w:val="004C0368"/>
    <w:rsid w:val="004C4A83"/>
    <w:rsid w:val="004C71C0"/>
    <w:rsid w:val="004D3B74"/>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4CE6"/>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AE3"/>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1D12"/>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0740"/>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3C4F"/>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1294"/>
    <w:rsid w:val="00F02E70"/>
    <w:rsid w:val="00F21F0F"/>
    <w:rsid w:val="00F2304E"/>
    <w:rsid w:val="00F2665B"/>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4AD"/>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68D24BB"/>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C60088"/>
    <w:rsid w:val="677B7CCC"/>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autoRedefine/>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autoRedefine/>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autoRedefine/>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qFormat/>
    <w:uiPriority w:val="0"/>
    <w:rPr>
      <w:color w:val="0000FF"/>
      <w:u w:val="single"/>
    </w:rPr>
  </w:style>
  <w:style w:type="character" w:styleId="31">
    <w:name w:val="annotation reference"/>
    <w:basedOn w:val="27"/>
    <w:autoRedefine/>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autoRedefine/>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autoRedefine/>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autoRedefine/>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3515</Words>
  <Characters>20039</Characters>
  <Lines>166</Lines>
  <Paragraphs>47</Paragraphs>
  <TotalTime>98</TotalTime>
  <ScaleCrop>false</ScaleCrop>
  <LinksUpToDate>false</LinksUpToDate>
  <CharactersWithSpaces>23507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2024-03-13T02:46:40Z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63578110F7CA45F0BA169B7E977A60F1_13</vt:lpwstr>
  </property>
</Properties>
</file>