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绍兴市人民医院工会职工福利包采购项目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YH2024-04032</w:t>
      </w:r>
    </w:p>
    <w:tbl>
      <w:tblPr>
        <w:tblStyle w:val="63"/>
        <w:tblW w:w="5754" w:type="dxa"/>
        <w:jc w:val="center"/>
        <w:tblLayout w:type="fixed"/>
        <w:tblCellMar>
          <w:top w:w="0" w:type="dxa"/>
          <w:left w:w="108" w:type="dxa"/>
          <w:bottom w:w="0" w:type="dxa"/>
          <w:right w:w="108" w:type="dxa"/>
        </w:tblCellMar>
      </w:tblPr>
      <w:tblGrid>
        <w:gridCol w:w="2356"/>
        <w:gridCol w:w="3398"/>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398"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5754"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二○二四年四月</w:t>
            </w:r>
          </w:p>
        </w:tc>
      </w:tr>
    </w:tbl>
    <w:p>
      <w:pPr>
        <w:pStyle w:val="637"/>
        <w:rPr>
          <w:rFonts w:ascii="仿宋" w:hAnsi="仿宋" w:eastAsia="仿宋" w:cs="仿宋"/>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440" w:right="1800" w:bottom="1440" w:left="1800" w:header="851" w:footer="992" w:gutter="0"/>
          <w:pgNumType w:start="1"/>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288" w:lineRule="auto"/>
        <w:rPr>
          <w:rFonts w:ascii="仿宋" w:hAnsi="仿宋" w:eastAsia="仿宋" w:cs="仿宋"/>
          <w:b/>
          <w:sz w:val="24"/>
        </w:rPr>
      </w:pPr>
      <w:r>
        <w:rPr>
          <w:rFonts w:hint="eastAsia" w:ascii="仿宋" w:hAnsi="仿宋" w:eastAsia="仿宋" w:cs="仿宋"/>
          <w:b/>
          <w:sz w:val="24"/>
        </w:rPr>
        <w:t>一、项目基本情况</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YH2024-04032</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绍兴市人民医院工会职工福利包采购项目</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3500000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3500000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标项名称：绍兴市人民医院工会职工福利包采购项目</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预算金额：3500000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服务全部由符合政策要求的中小企业承接，提供中小企业声明函；</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w:t>
      </w:r>
      <w:r>
        <w:rPr>
          <w:rFonts w:hint="eastAsia" w:ascii="仿宋" w:hAnsi="仿宋" w:eastAsia="仿宋" w:cs="仿宋"/>
          <w:b/>
          <w:sz w:val="24"/>
          <w:u w:val="single"/>
        </w:rPr>
        <w:t>在绍兴市越城区二环范围内具有一家及以上经营门店且对本项目具有供货能力的大型超市，具有有效食品经营许可证或食品生产许可证，许可项目与生产经营品种相一致（提供门店营业执照、食品经营许可证或食品生产许可证复印件，加盖单位公章）</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绍兴市越城区阳明北路80号滨江大厦C楼3楼309号（耀华建设管理有限公司绍兴迪荡分公司）</w:t>
      </w:r>
    </w:p>
    <w:p>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时前将投标文件密封送交到开标室，逾期送达不予接收。</w:t>
      </w:r>
    </w:p>
    <w:p>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288" w:lineRule="auto"/>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绍兴市越城区阳明北路80号滨江大厦C楼3楼309号（耀华建设管理有限公司绍兴迪荡分公司），</w:t>
      </w:r>
      <w:r>
        <w:rPr>
          <w:rFonts w:hint="eastAsia" w:ascii="仿宋" w:hAnsi="仿宋" w:eastAsia="仿宋" w:cs="仿宋"/>
          <w:sz w:val="24"/>
        </w:rPr>
        <w:t>联系人：叶梦雯，电话：15957509514。 </w:t>
      </w:r>
    </w:p>
    <w:p>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2024</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rPr>
        <w:t>绍兴市越城区阳明北路80号滨江大厦C楼3楼309号（耀华建设管理有限公司绍兴迪荡分公司）</w:t>
      </w:r>
    </w:p>
    <w:p>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288" w:lineRule="auto"/>
        <w:rPr>
          <w:rFonts w:ascii="仿宋" w:hAnsi="仿宋" w:eastAsia="仿宋" w:cs="仿宋"/>
          <w:sz w:val="24"/>
        </w:rPr>
      </w:pPr>
      <w:r>
        <w:rPr>
          <w:rFonts w:hint="eastAsia" w:ascii="仿宋" w:hAnsi="仿宋" w:eastAsia="仿宋" w:cs="仿宋"/>
          <w:b/>
          <w:sz w:val="24"/>
        </w:rPr>
        <w:t>五、公告期限</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19"/>
      <w:bookmarkStart w:id="12" w:name="_Toc35393806"/>
      <w:bookmarkStart w:id="13" w:name="_Toc35393637"/>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28359020"/>
      <w:bookmarkStart w:id="16" w:name="_Toc35393807"/>
      <w:bookmarkStart w:id="17" w:name="_Toc28359097"/>
      <w:bookmarkStart w:id="18" w:name="_Toc35393638"/>
      <w:r>
        <w:rPr>
          <w:rFonts w:hint="eastAsia" w:ascii="仿宋" w:hAnsi="仿宋" w:eastAsia="仿宋" w:cs="仿宋"/>
          <w:sz w:val="24"/>
        </w:rPr>
        <w:t>名称：绍兴市人民医院</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项目联系人（询问）：丁先生</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项目联系方式（询问）：0575-88559879</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质疑联系人：陈先生</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质疑联系方式：0575-88559879</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35393808"/>
      <w:bookmarkStart w:id="20" w:name="_Toc28359098"/>
      <w:bookmarkStart w:id="21" w:name="_Toc35393639"/>
      <w:bookmarkStart w:id="22" w:name="_Toc28359021"/>
      <w:r>
        <w:rPr>
          <w:rFonts w:hint="eastAsia" w:ascii="仿宋" w:hAnsi="仿宋" w:eastAsia="仿宋" w:cs="仿宋"/>
          <w:sz w:val="24"/>
        </w:rPr>
        <w:t>名称：耀华建设管理有限公司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项目联系人（询问）：叶梦雯、阮建宏</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质疑联系人：郭虹</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质疑联系方式：0575-88336881　　　</w:t>
      </w:r>
    </w:p>
    <w:p>
      <w:pPr>
        <w:spacing w:line="288" w:lineRule="auto"/>
        <w:ind w:firstLine="482" w:firstLineChars="200"/>
        <w:rPr>
          <w:rFonts w:ascii="仿宋" w:hAnsi="仿宋" w:eastAsia="仿宋" w:cs="仿宋"/>
        </w:rPr>
      </w:pPr>
      <w:r>
        <w:rPr>
          <w:rFonts w:hint="eastAsia" w:ascii="仿宋" w:hAnsi="仿宋" w:eastAsia="仿宋" w:cs="仿宋"/>
          <w:b/>
          <w:bCs/>
          <w:sz w:val="24"/>
        </w:rPr>
        <w:t>3.</w:t>
      </w:r>
      <w:r>
        <w:rPr>
          <w:rFonts w:hint="eastAsia" w:ascii="仿宋" w:hAnsi="仿宋" w:eastAsia="仿宋" w:cs="仿宋"/>
          <w:b/>
          <w:sz w:val="24"/>
        </w:rPr>
        <w:t>同级政府采购监督管理部门：</w:t>
      </w:r>
      <w:bookmarkEnd w:id="7"/>
      <w:bookmarkEnd w:id="8"/>
      <w:bookmarkEnd w:id="19"/>
      <w:bookmarkEnd w:id="20"/>
      <w:bookmarkEnd w:id="21"/>
      <w:bookmarkEnd w:id="22"/>
      <w:r>
        <w:rPr>
          <w:rFonts w:hint="eastAsia" w:ascii="仿宋" w:hAnsi="仿宋" w:eastAsia="仿宋" w:cs="仿宋"/>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名称：绍兴市卫生健康委员会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地址：绍兴市洋江西路589号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联系人：茅艳萍     </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监督投诉电话：0575-85228949 </w:t>
      </w: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0" w:firstLineChars="0"/>
        <w:rPr>
          <w:rFonts w:ascii="仿宋" w:hAnsi="仿宋" w:eastAsia="仿宋" w:cs="仿宋"/>
          <w:szCs w:val="24"/>
        </w:rPr>
      </w:pPr>
    </w:p>
    <w:p>
      <w:pPr>
        <w:pStyle w:val="397"/>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pPr>
        <w:pStyle w:val="397"/>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9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方案讲解演示：</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199"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171"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1199"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171" w:type="dxa"/>
            <w:vAlign w:val="center"/>
          </w:tcPr>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u w:val="single"/>
              </w:rPr>
              <w:t>职工福利包</w:t>
            </w:r>
            <w:r>
              <w:rPr>
                <w:rFonts w:hint="eastAsia" w:ascii="仿宋" w:hAnsi="仿宋" w:eastAsia="仿宋" w:cs="仿宋"/>
                <w:kern w:val="0"/>
                <w:sz w:val="24"/>
                <w:u w:val="single"/>
              </w:rPr>
              <w:t xml:space="preserve">      </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199"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71"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 xml:space="preserve"> 零售业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199"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171"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Merge w:val="continue"/>
            <w:vAlign w:val="center"/>
          </w:tcPr>
          <w:p>
            <w:pPr>
              <w:spacing w:line="288" w:lineRule="auto"/>
              <w:jc w:val="center"/>
              <w:rPr>
                <w:rFonts w:ascii="仿宋" w:hAnsi="仿宋" w:eastAsia="仿宋" w:cs="仿宋"/>
                <w:sz w:val="24"/>
              </w:rPr>
            </w:pPr>
          </w:p>
        </w:tc>
        <w:tc>
          <w:tcPr>
            <w:tcW w:w="1199" w:type="dxa"/>
            <w:vMerge w:val="continue"/>
            <w:vAlign w:val="center"/>
          </w:tcPr>
          <w:p>
            <w:pPr>
              <w:snapToGrid w:val="0"/>
              <w:spacing w:line="288" w:lineRule="auto"/>
              <w:rPr>
                <w:rFonts w:ascii="仿宋" w:hAnsi="仿宋" w:eastAsia="仿宋" w:cs="仿宋"/>
                <w:b/>
                <w:sz w:val="24"/>
              </w:rPr>
            </w:pPr>
          </w:p>
        </w:tc>
        <w:tc>
          <w:tcPr>
            <w:tcW w:w="7171"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70" w:type="dxa"/>
            <w:vMerge w:val="continue"/>
            <w:vAlign w:val="center"/>
          </w:tcPr>
          <w:p>
            <w:pPr>
              <w:spacing w:line="288" w:lineRule="auto"/>
              <w:jc w:val="center"/>
              <w:rPr>
                <w:rFonts w:ascii="仿宋" w:hAnsi="仿宋" w:eastAsia="仿宋" w:cs="仿宋"/>
                <w:sz w:val="24"/>
              </w:rPr>
            </w:pPr>
          </w:p>
        </w:tc>
        <w:tc>
          <w:tcPr>
            <w:tcW w:w="1199" w:type="dxa"/>
            <w:vMerge w:val="continue"/>
            <w:vAlign w:val="center"/>
          </w:tcPr>
          <w:p>
            <w:pPr>
              <w:snapToGrid w:val="0"/>
              <w:spacing w:line="288" w:lineRule="auto"/>
              <w:rPr>
                <w:rFonts w:ascii="仿宋" w:hAnsi="仿宋" w:eastAsia="仿宋" w:cs="仿宋"/>
                <w:b/>
                <w:sz w:val="24"/>
              </w:rPr>
            </w:pPr>
          </w:p>
        </w:tc>
        <w:tc>
          <w:tcPr>
            <w:tcW w:w="7171"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元收取。（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2"/>
          <w:szCs w:val="20"/>
        </w:rPr>
      </w:pPr>
    </w:p>
    <w:bookmarkEnd w:id="9"/>
    <w:p>
      <w:pPr>
        <w:adjustRightInd/>
        <w:spacing w:line="288" w:lineRule="auto"/>
        <w:jc w:val="center"/>
        <w:outlineLvl w:val="0"/>
        <w:rPr>
          <w:rFonts w:ascii="仿宋" w:hAnsi="仿宋" w:eastAsia="仿宋" w:cs="仿宋"/>
          <w:b/>
          <w:sz w:val="32"/>
          <w:szCs w:val="32"/>
        </w:rPr>
      </w:pPr>
      <w:bookmarkStart w:id="23" w:name="_Hlt68072990"/>
      <w:bookmarkEnd w:id="23"/>
      <w:bookmarkStart w:id="24" w:name="_Hlt75236290"/>
      <w:bookmarkEnd w:id="24"/>
      <w:bookmarkStart w:id="25" w:name="_Hlt75236011"/>
      <w:bookmarkEnd w:id="25"/>
      <w:bookmarkStart w:id="26" w:name="_Hlt68072998"/>
      <w:bookmarkEnd w:id="26"/>
      <w:bookmarkStart w:id="27" w:name="_Hlt68057669"/>
      <w:bookmarkEnd w:id="27"/>
      <w:bookmarkStart w:id="28" w:name="_Hlt68073093"/>
      <w:bookmarkEnd w:id="28"/>
      <w:bookmarkStart w:id="29" w:name="_Hlt74729768"/>
      <w:bookmarkEnd w:id="29"/>
      <w:bookmarkStart w:id="30" w:name="_Hlt68403820"/>
      <w:bookmarkEnd w:id="30"/>
      <w:bookmarkStart w:id="31" w:name="_Hlt74730295"/>
      <w:bookmarkEnd w:id="31"/>
      <w:bookmarkStart w:id="32" w:name="_Hlt74707468"/>
      <w:bookmarkEnd w:id="32"/>
      <w:bookmarkStart w:id="33" w:name="_Hlt74714665"/>
      <w:bookmarkEnd w:id="33"/>
      <w:bookmarkStart w:id="34" w:name="_Hlt75236101"/>
      <w:bookmarkEnd w:id="34"/>
      <w:bookmarkStart w:id="35" w:name="第三部分"/>
      <w:bookmarkStart w:id="36"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2"/>
        <w:snapToGrid w:val="0"/>
        <w:spacing w:before="0" w:line="288" w:lineRule="auto"/>
        <w:ind w:firstLine="0" w:firstLineChars="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spacing w:line="288" w:lineRule="auto"/>
        <w:rPr>
          <w:rFonts w:ascii="仿宋" w:hAnsi="仿宋" w:eastAsia="仿宋" w:cs="仿宋"/>
          <w:sz w:val="32"/>
          <w:szCs w:val="32"/>
          <w:lang w:val="en-US"/>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7"/>
    <w:p>
      <w:pPr>
        <w:pStyle w:val="32"/>
        <w:spacing w:line="288"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288" w:lineRule="auto"/>
        <w:rPr>
          <w:rFonts w:ascii="仿宋" w:hAnsi="仿宋" w:eastAsia="仿宋" w:cs="仿宋"/>
          <w:b/>
          <w:sz w:val="32"/>
          <w:szCs w:val="32"/>
        </w:rPr>
      </w:pPr>
      <w:r>
        <w:rPr>
          <w:rFonts w:hint="eastAsia" w:ascii="仿宋" w:hAnsi="仿宋" w:eastAsia="仿宋" w:cs="仿宋"/>
          <w:b/>
          <w:bCs/>
          <w:sz w:val="24"/>
        </w:rPr>
        <w:t>1.供应商询问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bCs/>
          <w:sz w:val="24"/>
        </w:rPr>
      </w:pPr>
      <w:r>
        <w:rPr>
          <w:rFonts w:hint="eastAsia" w:ascii="仿宋" w:hAnsi="仿宋" w:eastAsia="仿宋" w:cs="仿宋"/>
          <w:b/>
          <w:bCs/>
          <w:sz w:val="24"/>
        </w:rPr>
        <w:t>2.供应商质疑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3.供应商投诉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2" w:type="first"/>
          <w:footerReference r:id="rId11" w:type="default"/>
          <w:pgSz w:w="11906" w:h="16838"/>
          <w:pgMar w:top="1440" w:right="1800" w:bottom="1440" w:left="1800"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288"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spacing w:line="288" w:lineRule="auto"/>
        <w:ind w:right="420"/>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绍兴市人民医院工会职工福利包采购项目    （预算：350万元/2年）</w:t>
      </w:r>
      <w:bookmarkStart w:id="43" w:name="_Toc32678"/>
      <w:bookmarkStart w:id="44" w:name="_Toc7206"/>
    </w:p>
    <w:bookmarkEnd w:id="43"/>
    <w:bookmarkEnd w:id="44"/>
    <w:p>
      <w:pPr>
        <w:spacing w:line="288" w:lineRule="auto"/>
        <w:jc w:val="left"/>
        <w:rPr>
          <w:rFonts w:ascii="仿宋" w:hAnsi="仿宋" w:eastAsia="仿宋" w:cs="仿宋"/>
          <w:b/>
          <w:sz w:val="24"/>
        </w:rPr>
      </w:pPr>
      <w:r>
        <w:rPr>
          <w:rFonts w:hint="eastAsia" w:ascii="仿宋" w:hAnsi="仿宋" w:eastAsia="仿宋" w:cs="仿宋"/>
          <w:b/>
          <w:sz w:val="24"/>
        </w:rPr>
        <w:t>1、采购内容</w:t>
      </w:r>
    </w:p>
    <w:tbl>
      <w:tblPr>
        <w:tblStyle w:val="63"/>
        <w:tblW w:w="9133"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186"/>
        <w:gridCol w:w="1691"/>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47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采购内容</w:t>
            </w:r>
          </w:p>
        </w:tc>
        <w:tc>
          <w:tcPr>
            <w:tcW w:w="2186"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采购支付金额</w:t>
            </w:r>
          </w:p>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（元/每人份/年）</w:t>
            </w:r>
          </w:p>
        </w:tc>
        <w:tc>
          <w:tcPr>
            <w:tcW w:w="1691"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预算金额</w:t>
            </w:r>
          </w:p>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（万元/2年）</w:t>
            </w:r>
          </w:p>
        </w:tc>
        <w:tc>
          <w:tcPr>
            <w:tcW w:w="3777"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b/>
                <w:bCs/>
                <w:sz w:val="24"/>
              </w:rPr>
            </w:pPr>
            <w:r>
              <w:rPr>
                <w:rFonts w:hint="eastAsia" w:ascii="仿宋" w:hAnsi="仿宋" w:eastAsia="仿宋" w:cs="仿宋"/>
                <w:b/>
                <w:bCs/>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47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sz w:val="24"/>
              </w:rPr>
            </w:pPr>
            <w:r>
              <w:rPr>
                <w:rFonts w:hint="eastAsia" w:ascii="仿宋" w:hAnsi="仿宋" w:eastAsia="仿宋" w:cs="仿宋"/>
                <w:sz w:val="24"/>
              </w:rPr>
              <w:t>职工福利包</w:t>
            </w:r>
          </w:p>
        </w:tc>
        <w:tc>
          <w:tcPr>
            <w:tcW w:w="2186"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sz w:val="24"/>
              </w:rPr>
            </w:pPr>
            <w:r>
              <w:rPr>
                <w:rFonts w:hint="eastAsia" w:ascii="仿宋" w:hAnsi="仿宋" w:eastAsia="仿宋" w:cs="仿宋"/>
                <w:sz w:val="24"/>
              </w:rPr>
              <w:t>440（福利包一约120，福利包二约120，福利包三约200）</w:t>
            </w:r>
          </w:p>
        </w:tc>
        <w:tc>
          <w:tcPr>
            <w:tcW w:w="1691"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jc w:val="center"/>
              <w:rPr>
                <w:rFonts w:ascii="仿宋" w:hAnsi="仿宋" w:eastAsia="仿宋" w:cs="仿宋"/>
                <w:sz w:val="24"/>
              </w:rPr>
            </w:pPr>
            <w:r>
              <w:rPr>
                <w:rFonts w:hint="eastAsia" w:ascii="仿宋" w:hAnsi="仿宋" w:eastAsia="仿宋" w:cs="仿宋"/>
                <w:sz w:val="24"/>
              </w:rPr>
              <w:t xml:space="preserve">350 </w:t>
            </w:r>
          </w:p>
        </w:tc>
        <w:tc>
          <w:tcPr>
            <w:tcW w:w="3777"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288" w:lineRule="auto"/>
              <w:rPr>
                <w:rFonts w:ascii="仿宋" w:hAnsi="仿宋" w:eastAsia="仿宋" w:cs="仿宋"/>
                <w:sz w:val="24"/>
              </w:rPr>
            </w:pPr>
            <w:r>
              <w:rPr>
                <w:rFonts w:hint="eastAsia" w:ascii="仿宋" w:hAnsi="仿宋" w:eastAsia="仿宋" w:cs="仿宋"/>
                <w:sz w:val="24"/>
              </w:rPr>
              <w:t>每年福利包分三个，其中福利包一，必须包含有五芳斋粽子礼盒；福利包二，必须包含有知名品牌月饼礼盒（建议知味观或五芳斋或稻香村）；福利包三，择优组合。每个福利包提供3个方案。</w:t>
            </w:r>
          </w:p>
        </w:tc>
      </w:tr>
    </w:tbl>
    <w:p>
      <w:pPr>
        <w:tabs>
          <w:tab w:val="left" w:pos="3870"/>
          <w:tab w:val="left" w:pos="4085"/>
        </w:tabs>
        <w:snapToGrid w:val="0"/>
        <w:spacing w:line="288" w:lineRule="auto"/>
        <w:jc w:val="left"/>
        <w:rPr>
          <w:rFonts w:ascii="仿宋" w:hAnsi="仿宋" w:eastAsia="仿宋" w:cs="仿宋"/>
          <w:b/>
          <w:bCs/>
          <w:sz w:val="24"/>
        </w:rPr>
      </w:pPr>
      <w:r>
        <w:rPr>
          <w:rFonts w:hint="eastAsia" w:ascii="仿宋" w:hAnsi="仿宋" w:eastAsia="仿宋" w:cs="仿宋"/>
          <w:b/>
          <w:bCs/>
          <w:sz w:val="24"/>
        </w:rPr>
        <w:t>2、其他要求</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（1）所供应产品必须是正品，为最近生产的产品（按发放日算），由于产品质量问题引起的事故由中标单位负责处理。</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合同期2年（期间采购人组织职工进行满意度测评，如产品质量和服务不符合招标人要求，可与供应商解除合同），采购数量具体以实际需求为准，按实结算。招标人在发放前1个月根据实际情况提前通知供应商所选择的福利包方案。</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（3）供货时间和地点：三个福利包发放时间根据采购人要求提前将兑换劵送到指定地点，并做好签收手续；兑换劵必须能在其所属所有门店都能使用。</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4）付款方式：每年收到第一个福利包的全部货物并验收合格后支付该福利包的款项，收到第二个福利包的全部货物并验收合格后支付该福利包的款项，收到第三个福利包的全部货物并验收合格后支付该福利包款项的90%，剩余10%的货款在6个月之后支付。</w:t>
      </w: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rPr>
          <w:b/>
          <w:bCs/>
          <w:kern w:val="44"/>
          <w:sz w:val="44"/>
          <w:szCs w:val="44"/>
        </w:rPr>
      </w:pPr>
    </w:p>
    <w:p>
      <w:pPr>
        <w:pStyle w:val="713"/>
        <w:ind w:firstLine="480"/>
      </w:pPr>
    </w:p>
    <w:p>
      <w:pPr>
        <w:spacing w:line="360" w:lineRule="auto"/>
        <w:ind w:left="720" w:leftChars="343" w:firstLine="1084" w:firstLineChars="300"/>
        <w:outlineLvl w:val="0"/>
        <w:rPr>
          <w:rFonts w:hint="eastAsia" w:ascii="仿宋" w:hAnsi="仿宋" w:eastAsia="仿宋" w:cs="仿宋"/>
          <w:b/>
          <w:sz w:val="36"/>
          <w:szCs w:val="36"/>
        </w:rPr>
      </w:pPr>
    </w:p>
    <w:p>
      <w:pPr>
        <w:pageBreakBefore w:val="0"/>
        <w:kinsoku/>
        <w:wordWrap/>
        <w:overflowPunct/>
        <w:topLinePunct w:val="0"/>
        <w:bidi w:val="0"/>
        <w:spacing w:line="288" w:lineRule="auto"/>
        <w:ind w:left="720" w:leftChars="343" w:firstLine="1084" w:firstLineChars="300"/>
        <w:textAlignment w:val="auto"/>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（货物类）</w:t>
      </w:r>
    </w:p>
    <w:p>
      <w:pPr>
        <w:pStyle w:val="702"/>
        <w:pageBreakBefore w:val="0"/>
        <w:kinsoku/>
        <w:wordWrap/>
        <w:overflowPunct/>
        <w:topLinePunct w:val="0"/>
        <w:bidi w:val="0"/>
        <w:spacing w:before="120" w:line="288" w:lineRule="auto"/>
        <w:ind w:left="0" w:leftChars="0" w:firstLine="0" w:firstLineChars="0"/>
        <w:textAlignment w:val="auto"/>
        <w:rPr>
          <w:rFonts w:hint="eastAsia" w:ascii="仿宋" w:hAnsi="仿宋" w:eastAsia="仿宋" w:cs="仿宋"/>
          <w:szCs w:val="24"/>
        </w:rPr>
      </w:pPr>
    </w:p>
    <w:p>
      <w:pPr>
        <w:pStyle w:val="702"/>
        <w:pageBreakBefore w:val="0"/>
        <w:kinsoku/>
        <w:wordWrap/>
        <w:overflowPunct/>
        <w:topLinePunct w:val="0"/>
        <w:bidi w:val="0"/>
        <w:spacing w:line="288" w:lineRule="auto"/>
        <w:jc w:val="center"/>
        <w:textAlignment w:val="auto"/>
        <w:rPr>
          <w:rFonts w:hint="eastAsia" w:ascii="仿宋" w:hAnsi="仿宋" w:eastAsia="仿宋" w:cs="仿宋"/>
          <w:szCs w:val="24"/>
        </w:rPr>
      </w:pPr>
    </w:p>
    <w:p>
      <w:pPr>
        <w:pStyle w:val="702"/>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Style w:val="702"/>
        <w:pageBreakBefore w:val="0"/>
        <w:kinsoku/>
        <w:wordWrap/>
        <w:overflowPunct/>
        <w:topLinePunct w:val="0"/>
        <w:bidi w:val="0"/>
        <w:spacing w:line="288" w:lineRule="auto"/>
        <w:textAlignment w:val="auto"/>
        <w:rPr>
          <w:rFonts w:hint="eastAsia" w:ascii="仿宋" w:hAnsi="仿宋" w:eastAsia="仿宋" w:cs="仿宋"/>
          <w:szCs w:val="24"/>
        </w:rPr>
      </w:pPr>
    </w:p>
    <w:p>
      <w:pPr>
        <w:pStyle w:val="702"/>
        <w:pageBreakBefore w:val="0"/>
        <w:kinsoku/>
        <w:wordWrap/>
        <w:overflowPunct/>
        <w:topLinePunct w:val="0"/>
        <w:bidi w:val="0"/>
        <w:spacing w:line="288" w:lineRule="auto"/>
        <w:textAlignment w:val="auto"/>
        <w:rPr>
          <w:rFonts w:hint="eastAsia" w:ascii="仿宋" w:hAnsi="仿宋" w:eastAsia="仿宋" w:cs="仿宋"/>
          <w:szCs w:val="24"/>
        </w:rPr>
      </w:pP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814" w:right="1474" w:bottom="1814" w:left="1474" w:header="851" w:footer="851" w:gutter="0"/>
          <w:cols w:space="720" w:num="1"/>
        </w:sectPr>
      </w:pP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45" w:name="_Toc3029"/>
      <w:bookmarkStart w:id="46" w:name="_Toc24059"/>
      <w:bookmarkStart w:id="47" w:name="_Toc2232"/>
      <w:r>
        <w:rPr>
          <w:rFonts w:hint="eastAsia" w:ascii="仿宋" w:hAnsi="仿宋" w:eastAsia="仿宋" w:cs="仿宋"/>
          <w:b/>
          <w:sz w:val="24"/>
        </w:rPr>
        <w:t>1.1 合同组成部分</w:t>
      </w:r>
      <w:bookmarkEnd w:id="45"/>
      <w:bookmarkEnd w:id="46"/>
      <w:bookmarkEnd w:id="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48" w:name="_Toc21295"/>
      <w:bookmarkStart w:id="49" w:name="_Toc24300"/>
      <w:bookmarkStart w:id="50" w:name="_Toc27126"/>
      <w:r>
        <w:rPr>
          <w:rFonts w:hint="eastAsia" w:ascii="仿宋" w:hAnsi="仿宋" w:eastAsia="仿宋" w:cs="仿宋"/>
          <w:b/>
          <w:sz w:val="24"/>
        </w:rPr>
        <w:t>1.2 货物</w:t>
      </w:r>
      <w:bookmarkEnd w:id="48"/>
      <w:bookmarkEnd w:id="49"/>
      <w:bookmarkEnd w:id="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51" w:name="_Toc23292"/>
      <w:bookmarkStart w:id="52" w:name="_Toc21551"/>
      <w:bookmarkStart w:id="53" w:name="_Toc21631"/>
      <w:r>
        <w:rPr>
          <w:rFonts w:hint="eastAsia" w:ascii="仿宋" w:hAnsi="仿宋" w:eastAsia="仿宋" w:cs="仿宋"/>
          <w:b/>
          <w:sz w:val="24"/>
        </w:rPr>
        <w:t>1.3 价款</w:t>
      </w:r>
      <w:bookmarkEnd w:id="51"/>
      <w:bookmarkEnd w:id="52"/>
      <w:bookmarkEnd w:id="5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pageBreakBefore w:val="0"/>
              <w:kinsoku/>
              <w:wordWrap/>
              <w:overflowPunct/>
              <w:topLinePunct w:val="0"/>
              <w:bidi w:val="0"/>
              <w:spacing w:line="288" w:lineRule="auto"/>
              <w:ind w:firstLine="200"/>
              <w:jc w:val="center"/>
              <w:textAlignment w:val="auto"/>
              <w:rPr>
                <w:rFonts w:hint="eastAsia" w:ascii="仿宋" w:hAnsi="仿宋" w:eastAsia="仿宋" w:cs="仿宋"/>
                <w:sz w:val="24"/>
                <w:szCs w:val="24"/>
              </w:rPr>
            </w:pPr>
          </w:p>
        </w:tc>
      </w:tr>
    </w:tbl>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rPr>
      </w:pPr>
      <w:bookmarkStart w:id="54" w:name="_Toc22618"/>
      <w:bookmarkStart w:id="55" w:name="_Toc1814"/>
      <w:bookmarkStart w:id="56" w:name="_Toc10340"/>
      <w:r>
        <w:rPr>
          <w:rFonts w:hint="eastAsia" w:ascii="仿宋" w:hAnsi="仿宋" w:eastAsia="仿宋" w:cs="仿宋"/>
          <w:b/>
        </w:rPr>
        <w:t>1.4履约保证金</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clear" w:pos="432"/>
        </w:tabs>
        <w:kinsoku/>
        <w:wordWrap/>
        <w:overflowPunct/>
        <w:topLinePunct w:val="0"/>
        <w:bidi w:val="0"/>
        <w:spacing w:line="288" w:lineRule="auto"/>
        <w:ind w:left="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4"/>
      <w:bookmarkEnd w:id="55"/>
      <w:bookmarkEnd w:id="56"/>
      <w:r>
        <w:rPr>
          <w:rFonts w:hint="eastAsia" w:ascii="仿宋" w:hAnsi="仿宋" w:eastAsia="仿宋" w:cs="仿宋"/>
          <w:b/>
          <w:sz w:val="24"/>
        </w:rPr>
        <w:t>预付款</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bCs/>
        </w:rPr>
      </w:pPr>
      <w:r>
        <w:rPr>
          <w:rFonts w:hint="eastAsia" w:ascii="仿宋" w:hAnsi="仿宋" w:eastAsia="仿宋" w:cs="仿宋"/>
          <w:b/>
          <w:bCs/>
        </w:rPr>
        <w:t>1.6资金支付</w:t>
      </w:r>
    </w:p>
    <w:p>
      <w:pPr>
        <w:pStyle w:val="960"/>
        <w:pageBreakBefore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57" w:name="_Toc2846"/>
      <w:bookmarkStart w:id="58" w:name="_Toc32071"/>
      <w:bookmarkStart w:id="59" w:name="_Toc19304"/>
      <w:r>
        <w:rPr>
          <w:rFonts w:hint="eastAsia" w:ascii="仿宋" w:hAnsi="仿宋" w:eastAsia="仿宋" w:cs="仿宋"/>
          <w:b/>
          <w:sz w:val="24"/>
        </w:rPr>
        <w:t>1.7货物交付期限、地点和方式</w:t>
      </w:r>
      <w:bookmarkEnd w:id="57"/>
      <w:bookmarkEnd w:id="58"/>
      <w:bookmarkEnd w:id="5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0" w:name="_Toc27250"/>
      <w:bookmarkStart w:id="61" w:name="_Toc21423"/>
      <w:bookmarkStart w:id="62" w:name="_Toc19554"/>
      <w:r>
        <w:rPr>
          <w:rFonts w:hint="eastAsia" w:ascii="仿宋" w:hAnsi="仿宋" w:eastAsia="仿宋" w:cs="仿宋"/>
          <w:b/>
          <w:sz w:val="24"/>
        </w:rPr>
        <w:t>1.8违约责任</w:t>
      </w:r>
      <w:bookmarkEnd w:id="60"/>
      <w:bookmarkEnd w:id="61"/>
      <w:bookmarkEnd w:id="6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spacing w:line="288" w:lineRule="auto"/>
        <w:ind w:left="-420" w:leftChars="-200" w:right="-420" w:rightChars="-200" w:firstLine="960" w:firstLineChars="400"/>
        <w:textAlignment w:val="auto"/>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3" w:name="_Toc16021"/>
      <w:bookmarkStart w:id="64" w:name="_Toc28375"/>
      <w:bookmarkStart w:id="65" w:name="_Toc15583"/>
      <w:r>
        <w:rPr>
          <w:rFonts w:hint="eastAsia" w:ascii="仿宋" w:hAnsi="仿宋" w:eastAsia="仿宋" w:cs="仿宋"/>
          <w:b/>
          <w:sz w:val="24"/>
        </w:rPr>
        <w:t>1.9合同争议的解决</w:t>
      </w:r>
      <w:bookmarkEnd w:id="63"/>
      <w:bookmarkEnd w:id="64"/>
      <w:bookmarkEnd w:id="65"/>
    </w:p>
    <w:p>
      <w:pPr>
        <w:pageBreakBefore w:val="0"/>
        <w:kinsoku/>
        <w:wordWrap/>
        <w:overflowPunct/>
        <w:topLinePunct w:val="0"/>
        <w:bidi w:val="0"/>
        <w:spacing w:line="288" w:lineRule="auto"/>
        <w:ind w:left="-61" w:leftChars="-29" w:right="-420" w:rightChars="-200" w:firstLine="240" w:firstLineChars="1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bidi w:val="0"/>
        <w:spacing w:line="288" w:lineRule="auto"/>
        <w:ind w:left="-420" w:leftChars="-200" w:right="-420" w:rightChars="-200" w:firstLine="840" w:firstLineChars="35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bidi w:val="0"/>
        <w:spacing w:line="288" w:lineRule="auto"/>
        <w:ind w:left="-420" w:leftChars="-200" w:right="-420" w:rightChars="-200" w:firstLine="840" w:firstLineChars="35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6" w:name="_Toc11173"/>
      <w:bookmarkStart w:id="67" w:name="_Toc15322"/>
      <w:bookmarkStart w:id="68" w:name="_Toc7245"/>
      <w:r>
        <w:rPr>
          <w:rFonts w:hint="eastAsia" w:ascii="仿宋" w:hAnsi="仿宋" w:eastAsia="仿宋" w:cs="仿宋"/>
          <w:b/>
          <w:sz w:val="24"/>
        </w:rPr>
        <w:t>2.0 合同生效</w:t>
      </w:r>
      <w:bookmarkEnd w:id="66"/>
      <w:bookmarkEnd w:id="67"/>
      <w:bookmarkEnd w:id="68"/>
    </w:p>
    <w:p>
      <w:pPr>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pacing w:line="288" w:lineRule="auto"/>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Style w:val="3"/>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Style w:val="702"/>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69" w:name="_Ref467379109"/>
      <w:bookmarkStart w:id="70" w:name="_Ref467379225"/>
      <w:bookmarkStart w:id="71" w:name="_Ref467378463"/>
      <w:bookmarkStart w:id="72" w:name="_Ref467378404"/>
      <w:bookmarkStart w:id="73" w:name="_Ref467379214"/>
      <w:bookmarkStart w:id="74" w:name="_Toc259093669"/>
      <w:bookmarkStart w:id="75" w:name="_Ref467379101"/>
      <w:bookmarkStart w:id="76" w:name="_Ref467379195"/>
      <w:bookmarkStart w:id="77" w:name="_Toc279701240"/>
      <w:bookmarkStart w:id="78" w:name="_Ref467379094"/>
      <w:bookmarkStart w:id="79" w:name="_Toc28763"/>
      <w:bookmarkStart w:id="80" w:name="_Toc19614"/>
      <w:bookmarkStart w:id="81" w:name="_Ref467379205"/>
      <w:bookmarkStart w:id="82" w:name="_Ref467378499"/>
      <w:bookmarkStart w:id="83" w:name="_Toc487900349"/>
      <w:bookmarkStart w:id="84" w:name="_Toc16917"/>
      <w:r>
        <w:rPr>
          <w:rFonts w:hint="eastAsia" w:ascii="仿宋" w:hAnsi="仿宋" w:eastAsia="仿宋" w:cs="仿宋"/>
          <w:b/>
          <w:sz w:val="24"/>
        </w:rPr>
        <w:t>2.1 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5" w:name="_Ref467378840"/>
      <w:r>
        <w:rPr>
          <w:rFonts w:hint="eastAsia" w:ascii="仿宋" w:hAnsi="仿宋" w:eastAsia="仿宋" w:cs="仿宋"/>
          <w:sz w:val="24"/>
        </w:rPr>
        <w:t>2.1.4 “甲方”系指与中标或成交供应商签署合同的采购人</w:t>
      </w:r>
      <w:bookmarkEnd w:id="85"/>
      <w:r>
        <w:rPr>
          <w:rFonts w:hint="eastAsia" w:ascii="仿宋" w:hAnsi="仿宋" w:eastAsia="仿宋" w:cs="仿宋"/>
          <w:sz w:val="24"/>
        </w:rPr>
        <w:t>；采购人委托采购代理机构代表其与乙方签订合同的，采购人的授权委托书作为合同附件。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6" w:name="_Ref467379400"/>
      <w:r>
        <w:rPr>
          <w:rFonts w:hint="eastAsia" w:ascii="仿宋" w:hAnsi="仿宋" w:eastAsia="仿宋" w:cs="仿宋"/>
          <w:sz w:val="24"/>
        </w:rPr>
        <w:t>2.1.5 “乙方”系指根据合同约定交付货物的中标或成交供应商</w:t>
      </w:r>
      <w:bookmarkEnd w:id="8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87" w:name="_Ref467379436"/>
      <w:r>
        <w:rPr>
          <w:rFonts w:hint="eastAsia" w:ascii="仿宋" w:hAnsi="仿宋" w:eastAsia="仿宋" w:cs="仿宋"/>
          <w:sz w:val="24"/>
        </w:rPr>
        <w:t>2.1.6 “现场”系指合同约定货物将要运至或者安装的地点。</w:t>
      </w:r>
      <w:bookmarkEnd w:id="87"/>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8" w:name="_Toc259093670"/>
      <w:bookmarkStart w:id="89" w:name="_Toc487900350"/>
      <w:bookmarkStart w:id="90" w:name="_Toc27635"/>
      <w:bookmarkStart w:id="91" w:name="_Toc13336"/>
      <w:bookmarkStart w:id="92" w:name="_Toc32504"/>
      <w:bookmarkStart w:id="93" w:name="_Toc279701241"/>
      <w:r>
        <w:rPr>
          <w:rFonts w:hint="eastAsia" w:ascii="仿宋" w:hAnsi="仿宋" w:eastAsia="仿宋" w:cs="仿宋"/>
          <w:b/>
          <w:sz w:val="24"/>
        </w:rPr>
        <w:t>2.2 技术规范</w:t>
      </w:r>
      <w:bookmarkEnd w:id="88"/>
      <w:bookmarkEnd w:id="89"/>
      <w:bookmarkEnd w:id="90"/>
      <w:bookmarkEnd w:id="91"/>
      <w:bookmarkEnd w:id="92"/>
      <w:bookmarkEnd w:id="9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4" w:name="_Toc487900351"/>
      <w:bookmarkStart w:id="95" w:name="_Toc279701242"/>
      <w:bookmarkStart w:id="96" w:name="_Toc259093671"/>
      <w:bookmarkStart w:id="97" w:name="_Toc9829"/>
      <w:bookmarkStart w:id="98" w:name="_Toc31634"/>
      <w:bookmarkStart w:id="99" w:name="_Toc27853"/>
      <w:r>
        <w:rPr>
          <w:rFonts w:hint="eastAsia" w:ascii="仿宋" w:hAnsi="仿宋" w:eastAsia="仿宋" w:cs="仿宋"/>
          <w:b/>
          <w:sz w:val="24"/>
        </w:rPr>
        <w:t>2.3 知识产权</w:t>
      </w:r>
      <w:bookmarkEnd w:id="94"/>
      <w:bookmarkEnd w:id="95"/>
      <w:bookmarkEnd w:id="96"/>
      <w:bookmarkEnd w:id="97"/>
      <w:bookmarkEnd w:id="98"/>
      <w:bookmarkEnd w:id="9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0" w:name="_Toc11932"/>
      <w:bookmarkStart w:id="101" w:name="_Toc4194"/>
      <w:bookmarkStart w:id="102" w:name="_Toc29149"/>
      <w:r>
        <w:rPr>
          <w:rFonts w:hint="eastAsia" w:ascii="仿宋" w:hAnsi="仿宋" w:eastAsia="仿宋" w:cs="仿宋"/>
          <w:b/>
          <w:sz w:val="24"/>
        </w:rPr>
        <w:t>2.4 包装和装运</w:t>
      </w:r>
      <w:bookmarkEnd w:id="100"/>
      <w:bookmarkEnd w:id="101"/>
      <w:bookmarkEnd w:id="10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259093674"/>
      <w:bookmarkStart w:id="104" w:name="_Ref467379536"/>
      <w:bookmarkStart w:id="105" w:name="_Toc487900354"/>
      <w:bookmarkStart w:id="106" w:name="_Ref467379542"/>
      <w:bookmarkStart w:id="107" w:name="_Ref467379527"/>
      <w:bookmarkStart w:id="108" w:name="_Toc279701245"/>
      <w:bookmarkStart w:id="109" w:name="_Ref467378591"/>
      <w:bookmarkStart w:id="110" w:name="_Ref467378541"/>
      <w:bookmarkStart w:id="111" w:name="_Toc30272"/>
      <w:bookmarkStart w:id="112" w:name="_Toc19074"/>
      <w:bookmarkStart w:id="113" w:name="_Toc26182"/>
      <w:r>
        <w:rPr>
          <w:rFonts w:hint="eastAsia" w:ascii="仿宋" w:hAnsi="仿宋" w:eastAsia="仿宋" w:cs="仿宋"/>
          <w:b/>
          <w:sz w:val="24"/>
        </w:rPr>
        <w:t>2.</w:t>
      </w:r>
      <w:bookmarkEnd w:id="103"/>
      <w:bookmarkEnd w:id="104"/>
      <w:bookmarkEnd w:id="105"/>
      <w:bookmarkEnd w:id="106"/>
      <w:bookmarkEnd w:id="107"/>
      <w:bookmarkEnd w:id="108"/>
      <w:bookmarkEnd w:id="109"/>
      <w:bookmarkEnd w:id="110"/>
      <w:r>
        <w:rPr>
          <w:rFonts w:hint="eastAsia" w:ascii="仿宋" w:hAnsi="仿宋" w:eastAsia="仿宋" w:cs="仿宋"/>
          <w:b/>
          <w:sz w:val="24"/>
        </w:rPr>
        <w:t>5 履约检查和问题反馈</w:t>
      </w:r>
      <w:bookmarkEnd w:id="111"/>
      <w:bookmarkEnd w:id="112"/>
      <w:bookmarkEnd w:id="11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14" w:name="_Ref467379657"/>
      <w:r>
        <w:rPr>
          <w:rFonts w:hint="eastAsia" w:ascii="仿宋" w:hAnsi="仿宋" w:eastAsia="仿宋" w:cs="仿宋"/>
          <w:sz w:val="24"/>
        </w:rPr>
        <w:t>2.5.1</w:t>
      </w:r>
      <w:bookmarkEnd w:id="114"/>
      <w:bookmarkStart w:id="115" w:name="_Toc186431854"/>
      <w:bookmarkStart w:id="116" w:name="_Ref467379793"/>
      <w:bookmarkStart w:id="117" w:name="_Toc279701247"/>
      <w:bookmarkStart w:id="118" w:name="_Toc487900357"/>
      <w:bookmarkStart w:id="119" w:name="_Toc259093676"/>
      <w:bookmarkStart w:id="120"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5"/>
      <w:bookmarkStart w:id="121" w:name="_Toc186431855"/>
      <w:r>
        <w:rPr>
          <w:rFonts w:hint="eastAsia" w:ascii="仿宋" w:hAnsi="仿宋" w:eastAsia="仿宋" w:cs="仿宋"/>
          <w:sz w:val="24"/>
        </w:rPr>
        <w:t>。</w:t>
      </w:r>
    </w:p>
    <w:bookmarkEnd w:id="116"/>
    <w:bookmarkEnd w:id="117"/>
    <w:bookmarkEnd w:id="118"/>
    <w:bookmarkEnd w:id="119"/>
    <w:bookmarkEnd w:id="120"/>
    <w:bookmarkEnd w:id="121"/>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2" w:name="_Ref467379923"/>
      <w:bookmarkStart w:id="123" w:name="_Ref467379852"/>
      <w:bookmarkStart w:id="124" w:name="_Toc487900358"/>
      <w:bookmarkStart w:id="125" w:name="_Ref467379863"/>
      <w:bookmarkStart w:id="126" w:name="_Toc279701248"/>
      <w:bookmarkStart w:id="127" w:name="_Toc259093677"/>
      <w:bookmarkStart w:id="128" w:name="_Toc3225"/>
      <w:bookmarkStart w:id="129" w:name="_Toc16110"/>
      <w:bookmarkStart w:id="130" w:name="_Toc774"/>
      <w:r>
        <w:rPr>
          <w:rFonts w:hint="eastAsia" w:ascii="仿宋" w:hAnsi="仿宋" w:eastAsia="仿宋" w:cs="仿宋"/>
          <w:b/>
          <w:sz w:val="24"/>
        </w:rPr>
        <w:t>2.6 技术资料</w:t>
      </w:r>
      <w:bookmarkEnd w:id="122"/>
      <w:bookmarkEnd w:id="123"/>
      <w:bookmarkEnd w:id="124"/>
      <w:bookmarkEnd w:id="125"/>
      <w:bookmarkEnd w:id="126"/>
      <w:bookmarkEnd w:id="127"/>
      <w:r>
        <w:rPr>
          <w:rFonts w:hint="eastAsia" w:ascii="仿宋" w:hAnsi="仿宋" w:eastAsia="仿宋" w:cs="仿宋"/>
          <w:b/>
          <w:sz w:val="24"/>
        </w:rPr>
        <w:t>和保密义务</w:t>
      </w:r>
      <w:bookmarkEnd w:id="128"/>
      <w:bookmarkEnd w:id="129"/>
      <w:bookmarkEnd w:id="13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1" w:name="_Toc7860"/>
      <w:r>
        <w:rPr>
          <w:rFonts w:hint="eastAsia" w:ascii="仿宋" w:hAnsi="仿宋" w:eastAsia="仿宋" w:cs="仿宋"/>
          <w:b/>
          <w:sz w:val="24"/>
        </w:rPr>
        <w:t>2.7 质量保证</w:t>
      </w:r>
      <w:bookmarkEnd w:id="13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2" w:name="_Toc17244"/>
      <w:bookmarkStart w:id="133" w:name="_Toc259093681"/>
      <w:bookmarkStart w:id="134" w:name="_Toc279701252"/>
      <w:bookmarkStart w:id="135" w:name="_Toc487900362"/>
      <w:r>
        <w:rPr>
          <w:rFonts w:hint="eastAsia" w:ascii="仿宋" w:hAnsi="仿宋" w:eastAsia="仿宋" w:cs="仿宋"/>
          <w:b/>
          <w:sz w:val="24"/>
        </w:rPr>
        <w:t>2.8 货物的风险负担</w:t>
      </w:r>
      <w:bookmarkEnd w:id="132"/>
    </w:p>
    <w:p>
      <w:pPr>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14055"/>
      <w:r>
        <w:rPr>
          <w:rFonts w:hint="eastAsia" w:ascii="仿宋" w:hAnsi="仿宋" w:eastAsia="仿宋" w:cs="仿宋"/>
          <w:b/>
          <w:sz w:val="24"/>
        </w:rPr>
        <w:t>2.9 延迟交货</w:t>
      </w:r>
      <w:bookmarkEnd w:id="133"/>
      <w:bookmarkEnd w:id="134"/>
      <w:bookmarkEnd w:id="135"/>
      <w:bookmarkEnd w:id="13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7" w:name="_Toc7502"/>
      <w:bookmarkStart w:id="138" w:name="_Toc259093683"/>
      <w:bookmarkStart w:id="139" w:name="_Ref467378121"/>
      <w:bookmarkStart w:id="140" w:name="_Toc279701254"/>
      <w:bookmarkStart w:id="141" w:name="_Toc487900364"/>
      <w:r>
        <w:rPr>
          <w:rFonts w:hint="eastAsia" w:ascii="仿宋" w:hAnsi="仿宋" w:eastAsia="仿宋" w:cs="仿宋"/>
          <w:b/>
          <w:sz w:val="24"/>
        </w:rPr>
        <w:t>2.10 合同变更</w:t>
      </w:r>
      <w:bookmarkEnd w:id="13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2" w:name="_Toc487900369"/>
      <w:bookmarkStart w:id="143" w:name="_Toc279701259"/>
      <w:bookmarkStart w:id="144" w:name="_Toc259093688"/>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5" w:name="_Toc15237"/>
      <w:bookmarkStart w:id="146" w:name="_Toc22955"/>
      <w:bookmarkStart w:id="147" w:name="_Toc10366"/>
      <w:r>
        <w:rPr>
          <w:rFonts w:hint="eastAsia" w:ascii="仿宋" w:hAnsi="仿宋" w:eastAsia="仿宋" w:cs="仿宋"/>
          <w:b/>
          <w:sz w:val="24"/>
        </w:rPr>
        <w:t>2.11 合同转让</w:t>
      </w:r>
      <w:bookmarkEnd w:id="142"/>
      <w:bookmarkEnd w:id="143"/>
      <w:bookmarkEnd w:id="144"/>
      <w:r>
        <w:rPr>
          <w:rFonts w:hint="eastAsia" w:ascii="仿宋" w:hAnsi="仿宋" w:eastAsia="仿宋" w:cs="仿宋"/>
          <w:b/>
          <w:sz w:val="24"/>
        </w:rPr>
        <w:t>和分包</w:t>
      </w:r>
      <w:bookmarkEnd w:id="145"/>
      <w:bookmarkEnd w:id="146"/>
      <w:bookmarkEnd w:id="1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16508"/>
      <w:bookmarkStart w:id="149" w:name="_Toc14066"/>
      <w:bookmarkStart w:id="150" w:name="_Toc13566"/>
      <w:r>
        <w:rPr>
          <w:rFonts w:hint="eastAsia" w:ascii="仿宋" w:hAnsi="仿宋" w:eastAsia="仿宋" w:cs="仿宋"/>
          <w:b/>
          <w:sz w:val="24"/>
        </w:rPr>
        <w:t>2.12 不可抗力</w:t>
      </w:r>
      <w:bookmarkEnd w:id="148"/>
      <w:bookmarkEnd w:id="149"/>
      <w:bookmarkEnd w:id="1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30676"/>
      <w:bookmarkStart w:id="152" w:name="_Toc487900365"/>
      <w:bookmarkStart w:id="153" w:name="_Toc689"/>
      <w:bookmarkStart w:id="154" w:name="_Toc259093684"/>
      <w:bookmarkStart w:id="155" w:name="_Toc279701255"/>
      <w:bookmarkStart w:id="156" w:name="_Toc6969"/>
      <w:r>
        <w:rPr>
          <w:rFonts w:hint="eastAsia" w:ascii="仿宋" w:hAnsi="仿宋" w:eastAsia="仿宋" w:cs="仿宋"/>
          <w:b/>
          <w:sz w:val="24"/>
        </w:rPr>
        <w:t>2.13 税费</w:t>
      </w:r>
      <w:bookmarkEnd w:id="151"/>
      <w:bookmarkEnd w:id="152"/>
      <w:bookmarkEnd w:id="153"/>
      <w:bookmarkEnd w:id="154"/>
      <w:bookmarkEnd w:id="155"/>
      <w:bookmarkEnd w:id="15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7" w:name="_Toc16959"/>
      <w:bookmarkStart w:id="158" w:name="_Toc259093687"/>
      <w:bookmarkStart w:id="159" w:name="_Toc487900368"/>
      <w:bookmarkStart w:id="160" w:name="_Toc279701258"/>
      <w:bookmarkStart w:id="161" w:name="_Toc7102"/>
      <w:bookmarkStart w:id="162" w:name="_Toc8298"/>
      <w:r>
        <w:rPr>
          <w:rFonts w:hint="eastAsia" w:ascii="仿宋" w:hAnsi="仿宋" w:eastAsia="仿宋" w:cs="仿宋"/>
          <w:b/>
          <w:sz w:val="24"/>
        </w:rPr>
        <w:t>2.14乙方破产</w:t>
      </w:r>
      <w:bookmarkEnd w:id="157"/>
      <w:bookmarkEnd w:id="158"/>
      <w:bookmarkEnd w:id="159"/>
      <w:bookmarkEnd w:id="160"/>
      <w:bookmarkEnd w:id="161"/>
      <w:bookmarkEnd w:id="16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3" w:name="_Toc29333"/>
      <w:bookmarkStart w:id="164" w:name="_Toc15387"/>
      <w:bookmarkStart w:id="165" w:name="_Toc6134"/>
      <w:r>
        <w:rPr>
          <w:rFonts w:hint="eastAsia" w:ascii="仿宋" w:hAnsi="仿宋" w:eastAsia="仿宋" w:cs="仿宋"/>
          <w:b/>
          <w:sz w:val="24"/>
        </w:rPr>
        <w:t>2.15 合同中止、终止</w:t>
      </w:r>
      <w:bookmarkEnd w:id="163"/>
      <w:bookmarkEnd w:id="164"/>
      <w:bookmarkEnd w:id="165"/>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6" w:name="_Toc1125"/>
      <w:bookmarkStart w:id="167" w:name="_Toc14563"/>
      <w:bookmarkStart w:id="168" w:name="_Toc6596"/>
      <w:r>
        <w:rPr>
          <w:rFonts w:hint="eastAsia" w:ascii="仿宋" w:hAnsi="仿宋" w:eastAsia="仿宋" w:cs="仿宋"/>
          <w:b/>
          <w:sz w:val="24"/>
        </w:rPr>
        <w:t>2.16检验和验收</w:t>
      </w:r>
      <w:bookmarkEnd w:id="166"/>
      <w:bookmarkEnd w:id="167"/>
      <w:bookmarkEnd w:id="168"/>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8"/>
    <w:bookmarkEnd w:id="139"/>
    <w:bookmarkEnd w:id="140"/>
    <w:bookmarkEnd w:id="141"/>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9" w:name="_Toc487900371"/>
      <w:bookmarkStart w:id="170" w:name="_Toc279701261"/>
      <w:bookmarkStart w:id="171" w:name="_Toc259093690"/>
      <w:bookmarkStart w:id="172" w:name="_Toc11284"/>
      <w:bookmarkStart w:id="173" w:name="_Toc19604"/>
      <w:bookmarkStart w:id="174" w:name="_Toc25182"/>
      <w:r>
        <w:rPr>
          <w:rFonts w:hint="eastAsia" w:ascii="仿宋" w:hAnsi="仿宋" w:eastAsia="仿宋" w:cs="仿宋"/>
          <w:b/>
          <w:sz w:val="24"/>
        </w:rPr>
        <w:t>2.17 通知</w:t>
      </w:r>
      <w:bookmarkEnd w:id="169"/>
      <w:bookmarkEnd w:id="170"/>
      <w:bookmarkEnd w:id="171"/>
      <w:r>
        <w:rPr>
          <w:rFonts w:hint="eastAsia" w:ascii="仿宋" w:hAnsi="仿宋" w:eastAsia="仿宋" w:cs="仿宋"/>
          <w:b/>
          <w:sz w:val="24"/>
        </w:rPr>
        <w:t>和送达</w:t>
      </w:r>
      <w:bookmarkEnd w:id="172"/>
      <w:bookmarkEnd w:id="173"/>
      <w:bookmarkEnd w:id="17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75" w:name="_Toc3135"/>
      <w:bookmarkStart w:id="176" w:name="_Toc6698"/>
      <w:bookmarkStart w:id="177" w:name="_Toc487900372"/>
      <w:bookmarkStart w:id="178" w:name="_Toc279701262"/>
      <w:bookmarkStart w:id="179"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5"/>
      <w:bookmarkEnd w:id="17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80" w:name="_Toc23128"/>
      <w:bookmarkStart w:id="181"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0"/>
      <w:bookmarkEnd w:id="181"/>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82" w:name="_Toc30599"/>
      <w:bookmarkStart w:id="183" w:name="_Toc4355"/>
      <w:bookmarkStart w:id="184" w:name="_Toc18540"/>
      <w:r>
        <w:rPr>
          <w:rFonts w:hint="eastAsia" w:ascii="仿宋" w:hAnsi="仿宋" w:eastAsia="仿宋" w:cs="仿宋"/>
          <w:b/>
          <w:sz w:val="24"/>
        </w:rPr>
        <w:t>2.18 计量单位</w:t>
      </w:r>
      <w:bookmarkEnd w:id="177"/>
      <w:bookmarkEnd w:id="178"/>
      <w:bookmarkEnd w:id="179"/>
      <w:bookmarkEnd w:id="182"/>
      <w:bookmarkEnd w:id="183"/>
      <w:bookmarkEnd w:id="18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85" w:name="_Toc259093692"/>
      <w:bookmarkStart w:id="186" w:name="_Toc10330"/>
      <w:bookmarkStart w:id="187" w:name="_Toc487900373"/>
      <w:bookmarkStart w:id="188" w:name="_Toc279701263"/>
      <w:bookmarkStart w:id="189" w:name="_Toc12773"/>
      <w:bookmarkStart w:id="190" w:name="_Toc18567"/>
      <w:r>
        <w:rPr>
          <w:rFonts w:hint="eastAsia" w:ascii="仿宋" w:hAnsi="仿宋" w:eastAsia="仿宋" w:cs="仿宋"/>
          <w:b/>
          <w:sz w:val="24"/>
        </w:rPr>
        <w:t>2.19 合同使用的文字和适用的法律</w:t>
      </w:r>
      <w:bookmarkEnd w:id="185"/>
      <w:bookmarkEnd w:id="186"/>
      <w:bookmarkEnd w:id="187"/>
      <w:bookmarkEnd w:id="188"/>
      <w:bookmarkEnd w:id="189"/>
      <w:bookmarkEnd w:id="19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91" w:name="_Toc19890"/>
      <w:bookmarkStart w:id="192" w:name="_Toc14001"/>
      <w:bookmarkStart w:id="193" w:name="_Toc6885"/>
      <w:r>
        <w:rPr>
          <w:rFonts w:hint="eastAsia" w:ascii="仿宋" w:hAnsi="仿宋" w:eastAsia="仿宋" w:cs="仿宋"/>
          <w:b/>
          <w:sz w:val="24"/>
        </w:rPr>
        <w:t>2.20 合同份数</w:t>
      </w:r>
      <w:bookmarkEnd w:id="191"/>
      <w:bookmarkEnd w:id="192"/>
      <w:bookmarkEnd w:id="193"/>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ageBreakBefore w:val="0"/>
        <w:kinsoku/>
        <w:wordWrap/>
        <w:overflowPunct/>
        <w:topLinePunct w:val="0"/>
        <w:bidi w:val="0"/>
        <w:adjustRightInd/>
        <w:spacing w:line="288" w:lineRule="auto"/>
        <w:ind w:firstLine="480" w:firstLineChars="200"/>
        <w:jc w:val="center"/>
        <w:textAlignment w:val="auto"/>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pageBreakBefore w:val="0"/>
              <w:kinsoku/>
              <w:wordWrap/>
              <w:overflowPunct/>
              <w:topLinePunct w:val="0"/>
              <w:bidi w:val="0"/>
              <w:spacing w:line="288" w:lineRule="auto"/>
              <w:ind w:left="-420" w:leftChars="-200" w:right="-420" w:rightChars="-200" w:firstLine="480" w:firstLineChars="200"/>
              <w:textAlignment w:val="auto"/>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hint="eastAsia" w:ascii="仿宋" w:hAnsi="仿宋" w:eastAsia="仿宋" w:cs="仿宋"/>
          <w:b/>
          <w:sz w:val="36"/>
          <w:szCs w:val="36"/>
        </w:rPr>
      </w:pPr>
    </w:p>
    <w:p>
      <w:pPr>
        <w:spacing w:line="288" w:lineRule="auto"/>
        <w:jc w:val="center"/>
        <w:rPr>
          <w:rFonts w:hint="eastAsia" w:ascii="仿宋" w:hAnsi="仿宋" w:eastAsia="仿宋" w:cs="仿宋"/>
          <w:b/>
          <w:sz w:val="36"/>
          <w:szCs w:val="36"/>
        </w:rPr>
      </w:pPr>
    </w:p>
    <w:p>
      <w:pPr>
        <w:spacing w:line="288" w:lineRule="auto"/>
        <w:jc w:val="center"/>
        <w:rPr>
          <w:rFonts w:hint="eastAsia" w:ascii="仿宋" w:hAnsi="仿宋" w:eastAsia="仿宋" w:cs="仿宋"/>
          <w:b/>
          <w:sz w:val="36"/>
          <w:szCs w:val="36"/>
        </w:rPr>
      </w:pPr>
    </w:p>
    <w:p>
      <w:pPr>
        <w:spacing w:line="288" w:lineRule="auto"/>
        <w:jc w:val="center"/>
        <w:rPr>
          <w:rFonts w:hint="eastAsia"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pPr>
        <w:spacing w:line="288" w:lineRule="auto"/>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413"/>
        <w:gridCol w:w="1950"/>
        <w:gridCol w:w="457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882" w:type="dxa"/>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b/>
                <w:bCs/>
                <w:kern w:val="0"/>
                <w:sz w:val="24"/>
              </w:rPr>
              <w:t>序号</w:t>
            </w:r>
          </w:p>
        </w:tc>
        <w:tc>
          <w:tcPr>
            <w:tcW w:w="1413" w:type="dxa"/>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b/>
                <w:bCs/>
                <w:kern w:val="0"/>
                <w:sz w:val="24"/>
              </w:rPr>
              <w:t>评分项</w:t>
            </w:r>
          </w:p>
        </w:tc>
        <w:tc>
          <w:tcPr>
            <w:tcW w:w="6529" w:type="dxa"/>
            <w:gridSpan w:val="2"/>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b/>
                <w:bCs/>
                <w:kern w:val="0"/>
                <w:sz w:val="24"/>
              </w:rPr>
              <w:t>评审依据及标准</w:t>
            </w:r>
          </w:p>
        </w:tc>
        <w:tc>
          <w:tcPr>
            <w:tcW w:w="851" w:type="dxa"/>
            <w:vAlign w:val="center"/>
          </w:tcPr>
          <w:p>
            <w:pPr>
              <w:widowControl/>
              <w:snapToGrid w:val="0"/>
              <w:spacing w:line="288" w:lineRule="auto"/>
              <w:jc w:val="center"/>
              <w:rPr>
                <w:rFonts w:ascii="仿宋" w:hAnsi="仿宋" w:eastAsia="仿宋" w:cs="仿宋"/>
                <w:sz w:val="24"/>
              </w:rPr>
            </w:pPr>
            <w:r>
              <w:rPr>
                <w:rFonts w:hint="eastAsia" w:ascii="仿宋" w:hAnsi="仿宋" w:eastAsia="仿宋" w:cs="仿宋"/>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882" w:type="dxa"/>
            <w:vMerge w:val="restart"/>
            <w:vAlign w:val="center"/>
          </w:tcPr>
          <w:p>
            <w:pPr>
              <w:pStyle w:val="19"/>
              <w:spacing w:line="288" w:lineRule="auto"/>
              <w:jc w:val="center"/>
              <w:rPr>
                <w:rFonts w:ascii="仿宋" w:hAnsi="仿宋" w:eastAsia="仿宋" w:cs="仿宋"/>
                <w:sz w:val="24"/>
              </w:rPr>
            </w:pPr>
            <w:r>
              <w:rPr>
                <w:rFonts w:hint="eastAsia" w:ascii="仿宋" w:hAnsi="仿宋" w:eastAsia="仿宋" w:cs="仿宋"/>
                <w:sz w:val="24"/>
              </w:rPr>
              <w:t>1</w:t>
            </w:r>
          </w:p>
        </w:tc>
        <w:tc>
          <w:tcPr>
            <w:tcW w:w="1413" w:type="dxa"/>
            <w:vMerge w:val="restart"/>
            <w:vAlign w:val="center"/>
          </w:tcPr>
          <w:p>
            <w:pPr>
              <w:pStyle w:val="19"/>
              <w:spacing w:line="288" w:lineRule="auto"/>
              <w:jc w:val="center"/>
              <w:rPr>
                <w:rFonts w:ascii="仿宋" w:hAnsi="仿宋" w:eastAsia="仿宋" w:cs="仿宋"/>
                <w:sz w:val="24"/>
              </w:rPr>
            </w:pPr>
            <w:r>
              <w:rPr>
                <w:rFonts w:hint="eastAsia" w:ascii="仿宋" w:hAnsi="仿宋" w:eastAsia="仿宋" w:cs="仿宋"/>
                <w:sz w:val="24"/>
              </w:rPr>
              <w:t>综合实力</w:t>
            </w:r>
          </w:p>
          <w:p>
            <w:pPr>
              <w:pStyle w:val="19"/>
              <w:spacing w:line="288" w:lineRule="auto"/>
              <w:jc w:val="center"/>
              <w:rPr>
                <w:rFonts w:ascii="仿宋" w:hAnsi="仿宋" w:eastAsia="仿宋" w:cs="仿宋"/>
                <w:sz w:val="24"/>
              </w:rPr>
            </w:pPr>
            <w:r>
              <w:rPr>
                <w:rFonts w:hint="eastAsia" w:ascii="仿宋" w:hAnsi="仿宋" w:eastAsia="仿宋" w:cs="仿宋"/>
                <w:sz w:val="24"/>
              </w:rPr>
              <w:t>（55分）</w:t>
            </w: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在绍兴市范围内实体经营门店多少情况，（场地自有的提供产权证明，租赁的提供出租方产权证明及租赁合同）由评委比较打分。有3家（不含）以上门店的得4分，3家得3分，2家得2分，1家得1分。以上材料标书中提供复印件加盖投标单位公章。</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882" w:type="dxa"/>
            <w:vMerge w:val="continue"/>
            <w:vAlign w:val="center"/>
          </w:tcPr>
          <w:p>
            <w:pPr>
              <w:pStyle w:val="19"/>
              <w:spacing w:line="288" w:lineRule="auto"/>
              <w:jc w:val="center"/>
              <w:rPr>
                <w:rFonts w:ascii="仿宋" w:hAnsi="仿宋" w:eastAsia="仿宋" w:cs="仿宋"/>
                <w:sz w:val="24"/>
              </w:rPr>
            </w:pPr>
          </w:p>
        </w:tc>
        <w:tc>
          <w:tcPr>
            <w:tcW w:w="1413" w:type="dxa"/>
            <w:vMerge w:val="continue"/>
            <w:vAlign w:val="center"/>
          </w:tcPr>
          <w:p>
            <w:pPr>
              <w:pStyle w:val="19"/>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根据投标人内部管理制度，如卫生管理制度、岗位职责、服务承诺制度、质量考核办法等，0-5分。（投标文件中提供相关资料并加盖投标单位公章）</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882" w:type="dxa"/>
            <w:vMerge w:val="continue"/>
            <w:vAlign w:val="center"/>
          </w:tcPr>
          <w:p>
            <w:pPr>
              <w:pStyle w:val="19"/>
              <w:spacing w:line="288" w:lineRule="auto"/>
              <w:jc w:val="center"/>
              <w:rPr>
                <w:rFonts w:ascii="仿宋" w:hAnsi="仿宋" w:eastAsia="仿宋" w:cs="仿宋"/>
                <w:sz w:val="24"/>
              </w:rPr>
            </w:pPr>
          </w:p>
        </w:tc>
        <w:tc>
          <w:tcPr>
            <w:tcW w:w="1413" w:type="dxa"/>
            <w:vMerge w:val="continue"/>
            <w:vAlign w:val="center"/>
          </w:tcPr>
          <w:p>
            <w:pPr>
              <w:pStyle w:val="19"/>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根据投标人为本项目投入人员数量以及人员结构等内容进行打分，0-3分。（投标文件中提供相关人员社保证明以及其他证明资料并加盖投标单位公章）</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882" w:type="dxa"/>
            <w:vMerge w:val="continue"/>
            <w:vAlign w:val="center"/>
          </w:tcPr>
          <w:p>
            <w:pPr>
              <w:pStyle w:val="19"/>
              <w:spacing w:line="288" w:lineRule="auto"/>
              <w:jc w:val="center"/>
              <w:rPr>
                <w:rFonts w:ascii="仿宋" w:hAnsi="仿宋" w:eastAsia="仿宋" w:cs="仿宋"/>
                <w:sz w:val="24"/>
              </w:rPr>
            </w:pPr>
          </w:p>
        </w:tc>
        <w:tc>
          <w:tcPr>
            <w:tcW w:w="1413" w:type="dxa"/>
            <w:vMerge w:val="continue"/>
            <w:vAlign w:val="center"/>
          </w:tcPr>
          <w:p>
            <w:pPr>
              <w:pStyle w:val="19"/>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投标人经营至今无食品安全事故发生情况的得5分，否则不得分。（提供食品主管部门证明复印件并加盖投标单位公章，不提供的不得分）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根据投标人提供的进货货源渠道等情况（提供进货合同或进货发票复印件加盖投标单位公章），由评委进行综合打分。0-5分。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根据投标人经营的商品品种、品类等情况（提供经营商品清单）打分，品种品类10000及以上的得5分，品种品类7000-9999的得4分，品种品类4000-6999的得3分，品种品类1000-3999的得2分，品种品类999及以下的得1分。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1950" w:type="dxa"/>
            <w:vMerge w:val="restart"/>
            <w:vAlign w:val="center"/>
          </w:tcPr>
          <w:p>
            <w:pPr>
              <w:pStyle w:val="19"/>
              <w:spacing w:line="288" w:lineRule="auto"/>
              <w:rPr>
                <w:rFonts w:ascii="仿宋" w:hAnsi="仿宋" w:eastAsia="仿宋" w:cs="仿宋"/>
                <w:sz w:val="24"/>
              </w:rPr>
            </w:pPr>
            <w:r>
              <w:rPr>
                <w:rFonts w:hint="eastAsia" w:ascii="仿宋" w:hAnsi="仿宋" w:eastAsia="仿宋" w:cs="仿宋"/>
                <w:sz w:val="24"/>
              </w:rPr>
              <w:t>投标单位根据本项目的需求提供商品组合方案，每个福利包需提供</w:t>
            </w:r>
            <w:r>
              <w:rPr>
                <w:rFonts w:ascii="仿宋" w:hAnsi="仿宋" w:eastAsia="仿宋" w:cs="仿宋"/>
                <w:sz w:val="24"/>
              </w:rPr>
              <w:t>3</w:t>
            </w:r>
            <w:r>
              <w:rPr>
                <w:rFonts w:hint="eastAsia" w:ascii="仿宋" w:hAnsi="仿宋" w:eastAsia="仿宋" w:cs="仿宋"/>
                <w:sz w:val="24"/>
              </w:rPr>
              <w:t>个方案。</w:t>
            </w:r>
          </w:p>
        </w:tc>
        <w:tc>
          <w:tcPr>
            <w:tcW w:w="4579" w:type="dxa"/>
            <w:vAlign w:val="center"/>
          </w:tcPr>
          <w:p>
            <w:pPr>
              <w:pStyle w:val="19"/>
              <w:spacing w:line="288" w:lineRule="auto"/>
              <w:rPr>
                <w:rFonts w:ascii="仿宋" w:hAnsi="仿宋" w:eastAsia="仿宋" w:cs="仿宋"/>
                <w:sz w:val="24"/>
              </w:rPr>
            </w:pPr>
            <w:r>
              <w:rPr>
                <w:rFonts w:hint="eastAsia" w:ascii="仿宋" w:hAnsi="仿宋" w:eastAsia="仿宋" w:cs="仿宋"/>
                <w:sz w:val="24"/>
              </w:rPr>
              <w:t>福利包一：端午节前夕发放。投标人提供商品清单及彩图，评委从合理性、实用性、性价比等方面进行分析比较、评议、综合打分。提供3个方案，每个方案0-2分，提供方案不满3个，不得分。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1950" w:type="dxa"/>
            <w:vMerge w:val="continue"/>
            <w:vAlign w:val="center"/>
          </w:tcPr>
          <w:p>
            <w:pPr>
              <w:pStyle w:val="19"/>
              <w:spacing w:line="288" w:lineRule="auto"/>
              <w:rPr>
                <w:rFonts w:ascii="仿宋" w:hAnsi="仿宋" w:eastAsia="仿宋" w:cs="仿宋"/>
                <w:sz w:val="24"/>
              </w:rPr>
            </w:pPr>
          </w:p>
        </w:tc>
        <w:tc>
          <w:tcPr>
            <w:tcW w:w="4579" w:type="dxa"/>
            <w:vAlign w:val="center"/>
          </w:tcPr>
          <w:p>
            <w:pPr>
              <w:pStyle w:val="19"/>
              <w:spacing w:line="288" w:lineRule="auto"/>
              <w:rPr>
                <w:rFonts w:ascii="仿宋" w:hAnsi="仿宋" w:eastAsia="仿宋" w:cs="仿宋"/>
                <w:sz w:val="24"/>
              </w:rPr>
            </w:pPr>
            <w:r>
              <w:rPr>
                <w:rFonts w:hint="eastAsia" w:ascii="仿宋" w:hAnsi="仿宋" w:eastAsia="仿宋" w:cs="仿宋"/>
                <w:sz w:val="24"/>
              </w:rPr>
              <w:t>福利包二：中秋节前夕发放。投标人提供商品清单及彩图，评委从合理性、实用性、性价比等方面进行分析比较、评议、综合打分。提供3个方案，每个方案0-2分，提供方案不满3个，不得分。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1950" w:type="dxa"/>
            <w:vMerge w:val="continue"/>
            <w:vAlign w:val="center"/>
          </w:tcPr>
          <w:p>
            <w:pPr>
              <w:pStyle w:val="19"/>
              <w:spacing w:line="288" w:lineRule="auto"/>
              <w:rPr>
                <w:rFonts w:ascii="仿宋" w:hAnsi="仿宋" w:eastAsia="仿宋" w:cs="仿宋"/>
                <w:sz w:val="24"/>
              </w:rPr>
            </w:pPr>
          </w:p>
        </w:tc>
        <w:tc>
          <w:tcPr>
            <w:tcW w:w="4579" w:type="dxa"/>
            <w:vAlign w:val="center"/>
          </w:tcPr>
          <w:p>
            <w:pPr>
              <w:pStyle w:val="19"/>
              <w:spacing w:line="288" w:lineRule="auto"/>
              <w:rPr>
                <w:rFonts w:ascii="仿宋" w:hAnsi="仿宋" w:eastAsia="仿宋" w:cs="仿宋"/>
                <w:sz w:val="24"/>
              </w:rPr>
            </w:pPr>
            <w:r>
              <w:rPr>
                <w:rFonts w:hint="eastAsia" w:ascii="仿宋" w:hAnsi="仿宋" w:eastAsia="仿宋" w:cs="仿宋"/>
                <w:sz w:val="24"/>
              </w:rPr>
              <w:t>福利包三：元旦前夕发放。投标人提供商品清单及彩图，评委从合理性、实用性、性价比等方面进行分析比较、评议、综合打分。提供3个方案，每个方案0-2分，提供方案不满3个，不得分。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投标人具有质量管理体系认证证书得1分，环境管理体系认证证书得1分，提供证书复印件加盖公章，不提供不得分。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投标人提供自2021年1月1日以来同类项目的业绩（提供合同复印件加盖公章），每提供1份合同得1分，最高得3分。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投标人具有面向社会公开的自有电子商城，并应具备商品目录及价格查询、下订单、结算和支付等功能，可实现网上交易的得5分，不具备的不得分。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jc w:val="center"/>
        </w:trPr>
        <w:tc>
          <w:tcPr>
            <w:tcW w:w="882"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1413"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售后服务</w:t>
            </w:r>
          </w:p>
          <w:p>
            <w:pPr>
              <w:spacing w:line="288" w:lineRule="auto"/>
              <w:jc w:val="center"/>
              <w:rPr>
                <w:rFonts w:ascii="仿宋" w:hAnsi="仿宋" w:eastAsia="仿宋" w:cs="仿宋"/>
                <w:sz w:val="24"/>
              </w:rPr>
            </w:pPr>
            <w:r>
              <w:rPr>
                <w:rFonts w:hint="eastAsia" w:ascii="仿宋" w:hAnsi="仿宋" w:eastAsia="仿宋" w:cs="仿宋"/>
                <w:sz w:val="24"/>
              </w:rPr>
              <w:t>（15分）</w:t>
            </w: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投标人承诺在正常工作时间以外提供兑换服务的得3分，否则不得分；投标人承诺提供最新生产日期（按发放日算最近1个月以内）的产品，且如有破损等问题可以及时退换的得3分，否则不得分；投标人如有优于采购内容的服务承诺的得2分，否则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根据投标人对采购服务项目的基本认识情况以及可能的组织方案打分，0-2分。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882" w:type="dxa"/>
            <w:vMerge w:val="continue"/>
            <w:vAlign w:val="center"/>
          </w:tcPr>
          <w:p>
            <w:pPr>
              <w:spacing w:line="288" w:lineRule="auto"/>
              <w:jc w:val="center"/>
              <w:rPr>
                <w:rFonts w:ascii="仿宋" w:hAnsi="仿宋" w:eastAsia="仿宋" w:cs="仿宋"/>
                <w:sz w:val="24"/>
              </w:rPr>
            </w:pPr>
          </w:p>
        </w:tc>
        <w:tc>
          <w:tcPr>
            <w:tcW w:w="1413" w:type="dxa"/>
            <w:vMerge w:val="continue"/>
            <w:vAlign w:val="center"/>
          </w:tcPr>
          <w:p>
            <w:pPr>
              <w:spacing w:line="288" w:lineRule="auto"/>
              <w:jc w:val="center"/>
              <w:rPr>
                <w:rFonts w:ascii="仿宋" w:hAnsi="仿宋" w:eastAsia="仿宋" w:cs="仿宋"/>
                <w:sz w:val="24"/>
              </w:rPr>
            </w:pPr>
          </w:p>
        </w:tc>
        <w:tc>
          <w:tcPr>
            <w:tcW w:w="6529" w:type="dxa"/>
            <w:gridSpan w:val="2"/>
            <w:vAlign w:val="center"/>
          </w:tcPr>
          <w:p>
            <w:pPr>
              <w:pStyle w:val="19"/>
              <w:spacing w:line="288" w:lineRule="auto"/>
              <w:rPr>
                <w:rFonts w:ascii="仿宋" w:hAnsi="仿宋" w:eastAsia="仿宋" w:cs="仿宋"/>
                <w:sz w:val="24"/>
              </w:rPr>
            </w:pPr>
            <w:r>
              <w:rPr>
                <w:rFonts w:hint="eastAsia" w:ascii="仿宋" w:hAnsi="仿宋" w:eastAsia="仿宋" w:cs="仿宋"/>
                <w:sz w:val="24"/>
              </w:rPr>
              <w:t>根据投标人提供的针对项目的管理、质量保证等方面所作出的承诺及保证措施以及对市场价格变化，尤其是出现价格上涨、供货紧张等情况，作出的承诺和保证措施情况等方面进行打分，0-5分，不提供不得分。</w:t>
            </w:r>
          </w:p>
        </w:tc>
        <w:tc>
          <w:tcPr>
            <w:tcW w:w="851" w:type="dxa"/>
            <w:vAlign w:val="center"/>
          </w:tcPr>
          <w:p>
            <w:pPr>
              <w:spacing w:line="288" w:lineRule="auto"/>
              <w:jc w:val="center"/>
              <w:rPr>
                <w:rFonts w:ascii="仿宋" w:hAnsi="仿宋" w:eastAsia="仿宋" w:cs="仿宋"/>
                <w:sz w:val="24"/>
              </w:rPr>
            </w:pPr>
            <w:r>
              <w:rPr>
                <w:rFonts w:hint="eastAsia" w:ascii="仿宋" w:hAnsi="仿宋" w:eastAsia="仿宋" w:cs="仿宋"/>
                <w:sz w:val="24"/>
              </w:rPr>
              <w:t>5分</w:t>
            </w:r>
          </w:p>
        </w:tc>
      </w:tr>
    </w:tbl>
    <w:p>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3、所有的证书及检测报告必须在有效期内，不在有效期内的不得分。</w:t>
      </w:r>
    </w:p>
    <w:p>
      <w:pPr>
        <w:spacing w:line="288" w:lineRule="auto"/>
        <w:rPr>
          <w:rFonts w:ascii="仿宋" w:hAnsi="仿宋" w:eastAsia="仿宋" w:cs="仿宋"/>
          <w:bCs/>
          <w:iCs/>
          <w:sz w:val="24"/>
        </w:rPr>
      </w:pPr>
      <w:r>
        <w:rPr>
          <w:rFonts w:hint="eastAsia" w:ascii="仿宋" w:hAnsi="仿宋" w:eastAsia="仿宋" w:cs="仿宋"/>
          <w:b/>
          <w:iCs/>
          <w:sz w:val="24"/>
        </w:rPr>
        <w:t>2.2价格分（</w:t>
      </w:r>
      <w:r>
        <w:rPr>
          <w:rFonts w:hint="eastAsia" w:ascii="仿宋" w:hAnsi="仿宋" w:eastAsia="仿宋" w:cs="仿宋"/>
          <w:b/>
          <w:iCs/>
          <w:sz w:val="24"/>
          <w:u w:val="single"/>
        </w:rPr>
        <w:t xml:space="preserve"> 30 </w:t>
      </w:r>
      <w:r>
        <w:rPr>
          <w:rFonts w:hint="eastAsia" w:ascii="仿宋" w:hAnsi="仿宋" w:eastAsia="仿宋" w:cs="仿宋"/>
          <w:b/>
          <w:iCs/>
          <w:sz w:val="24"/>
        </w:rPr>
        <w:t>分）</w:t>
      </w:r>
    </w:p>
    <w:p>
      <w:pPr>
        <w:spacing w:line="288" w:lineRule="auto"/>
        <w:rPr>
          <w:rFonts w:ascii="仿宋" w:hAnsi="仿宋" w:eastAsia="仿宋" w:cs="仿宋"/>
          <w:bCs/>
          <w:iCs/>
          <w:sz w:val="24"/>
        </w:rPr>
      </w:pPr>
      <w:r>
        <w:rPr>
          <w:rFonts w:hint="eastAsia" w:ascii="仿宋" w:hAnsi="仿宋" w:eastAsia="仿宋" w:cs="仿宋"/>
          <w:bCs/>
          <w:iCs/>
          <w:sz w:val="24"/>
        </w:rPr>
        <w:t>2.2.1投标单位报价按劵面值报上浮率，上浮率等于0的，价格得分为0分。</w:t>
      </w:r>
    </w:p>
    <w:p>
      <w:pPr>
        <w:spacing w:line="288" w:lineRule="auto"/>
        <w:rPr>
          <w:rFonts w:ascii="仿宋" w:hAnsi="仿宋" w:eastAsia="仿宋" w:cs="仿宋"/>
          <w:bCs/>
          <w:iCs/>
          <w:sz w:val="24"/>
        </w:rPr>
      </w:pPr>
      <w:r>
        <w:rPr>
          <w:rFonts w:hint="eastAsia" w:ascii="仿宋" w:hAnsi="仿宋" w:eastAsia="仿宋" w:cs="仿宋"/>
          <w:bCs/>
          <w:iCs/>
          <w:sz w:val="24"/>
        </w:rPr>
        <w:t>2.2.2评标基准价：即满足招标文件要求且投标上浮率最高的投标报价=300*（1+上浮率）为评标基准价，其价格分为满分。</w:t>
      </w:r>
    </w:p>
    <w:p>
      <w:pPr>
        <w:spacing w:line="288" w:lineRule="auto"/>
        <w:rPr>
          <w:rFonts w:ascii="仿宋" w:hAnsi="仿宋" w:eastAsia="仿宋" w:cs="仿宋"/>
          <w:bCs/>
          <w:iCs/>
          <w:sz w:val="24"/>
        </w:rPr>
      </w:pPr>
      <w:r>
        <w:rPr>
          <w:rFonts w:hint="eastAsia" w:ascii="仿宋" w:hAnsi="仿宋" w:eastAsia="仿宋" w:cs="仿宋"/>
          <w:bCs/>
          <w:iCs/>
          <w:sz w:val="24"/>
        </w:rPr>
        <w:t>2.2.3</w:t>
      </w:r>
      <w:bookmarkStart w:id="197" w:name="_GoBack"/>
      <w:bookmarkEnd w:id="197"/>
      <w:r>
        <w:rPr>
          <w:rFonts w:hint="eastAsia" w:ascii="仿宋" w:hAnsi="仿宋" w:eastAsia="仿宋" w:cs="仿宋"/>
          <w:bCs/>
          <w:iCs/>
          <w:sz w:val="24"/>
        </w:rPr>
        <w:t>其他投标人的价格分统一按照下列公式计算：投标报价得分=(投标报价／评标基准价)×价格权值，即：投标报价得分=(投标报价／评标基准价)×30</w:t>
      </w:r>
    </w:p>
    <w:p>
      <w:pPr>
        <w:spacing w:line="288" w:lineRule="auto"/>
        <w:rPr>
          <w:rFonts w:ascii="仿宋" w:hAnsi="仿宋" w:eastAsia="仿宋" w:cs="仿宋"/>
          <w:bCs/>
          <w:iCs/>
          <w:sz w:val="24"/>
        </w:rPr>
      </w:pPr>
      <w:r>
        <w:rPr>
          <w:rFonts w:hint="eastAsia" w:ascii="仿宋" w:hAnsi="仿宋" w:eastAsia="仿宋" w:cs="仿宋"/>
          <w:bCs/>
          <w:iCs/>
          <w:sz w:val="24"/>
        </w:rPr>
        <w:t>2.2.4投标价格上浮率明显偏离市场规律的，评标专家组有权经集体评议后，视作不合理报价，商务得分为0分。</w:t>
      </w:r>
    </w:p>
    <w:p>
      <w:pPr>
        <w:spacing w:line="288" w:lineRule="auto"/>
        <w:rPr>
          <w:rFonts w:ascii="仿宋" w:hAnsi="仿宋" w:eastAsia="仿宋" w:cs="仿宋"/>
          <w:bCs/>
          <w:iCs/>
          <w:sz w:val="24"/>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pPr>
        <w:widowControl/>
        <w:spacing w:line="360" w:lineRule="auto"/>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color w:val="auto"/>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0"/>
          <w:szCs w:val="30"/>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outlineLvl w:val="0"/>
        <w:rPr>
          <w:rFonts w:ascii="仿宋" w:hAnsi="仿宋" w:eastAsia="仿宋" w:cs="仿宋"/>
          <w:b/>
          <w:kern w:val="0"/>
          <w:sz w:val="32"/>
          <w:szCs w:val="32"/>
        </w:rPr>
      </w:pPr>
    </w:p>
    <w:p>
      <w:pPr>
        <w:snapToGrid w:val="0"/>
        <w:spacing w:line="288" w:lineRule="auto"/>
        <w:outlineLvl w:val="0"/>
        <w:rPr>
          <w:rFonts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7"/>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ind w:firstLine="6000" w:firstLineChars="25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480" w:lineRule="auto"/>
        <w:jc w:val="left"/>
        <w:rPr>
          <w:rFonts w:ascii="仿宋" w:hAnsi="仿宋" w:eastAsia="仿宋" w:cs="仿宋"/>
          <w:sz w:val="24"/>
          <w:u w:val="wave"/>
        </w:rPr>
      </w:pPr>
    </w:p>
    <w:p>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sz w:val="24"/>
        </w:rPr>
      </w:pP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spacing w:line="288" w:lineRule="auto"/>
        <w:rPr>
          <w:rFonts w:ascii="仿宋" w:hAnsi="仿宋" w:eastAsia="仿宋" w:cs="仿宋"/>
          <w:color w:val="auto"/>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spacing w:line="288" w:lineRule="auto"/>
        <w:rPr>
          <w:rFonts w:ascii="仿宋" w:hAnsi="仿宋" w:eastAsia="仿宋" w:cs="仿宋"/>
          <w:color w:val="auto"/>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color w:val="auto"/>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36" w:lineRule="auto"/>
        <w:jc w:val="center"/>
        <w:rPr>
          <w:rFonts w:ascii="仿宋" w:hAnsi="仿宋" w:eastAsia="仿宋" w:cs="仿宋"/>
          <w:sz w:val="24"/>
        </w:rPr>
      </w:pPr>
    </w:p>
    <w:p>
      <w:pPr>
        <w:pStyle w:val="82"/>
        <w:rPr>
          <w:rFonts w:ascii="仿宋" w:hAnsi="仿宋" w:eastAsia="仿宋" w:cs="仿宋"/>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440" w:right="1800" w:bottom="1440" w:left="1800" w:header="851" w:footer="992" w:gutter="0"/>
          <w:cols w:space="720" w:num="1"/>
          <w:titlePg/>
          <w:docGrid w:linePitch="312" w:charSpace="0"/>
        </w:sectPr>
      </w:pPr>
    </w:p>
    <w:p>
      <w:pPr>
        <w:pStyle w:val="693"/>
        <w:keepNext w:val="0"/>
        <w:pageBreakBefore w:val="0"/>
        <w:tabs>
          <w:tab w:val="clear" w:pos="720"/>
        </w:tabs>
        <w:snapToGrid w:val="0"/>
        <w:spacing w:before="120" w:after="120" w:line="288" w:lineRule="auto"/>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288"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3"/>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256"/>
        <w:gridCol w:w="3541"/>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03"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325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项目名称</w:t>
            </w:r>
          </w:p>
        </w:tc>
        <w:tc>
          <w:tcPr>
            <w:tcW w:w="3541"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报价（上浮率）</w:t>
            </w:r>
          </w:p>
        </w:tc>
        <w:tc>
          <w:tcPr>
            <w:tcW w:w="1738" w:type="dxa"/>
            <w:vAlign w:val="center"/>
          </w:tcPr>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r>
              <w:rPr>
                <w:rFonts w:hint="eastAsia" w:ascii="仿宋" w:hAnsi="仿宋" w:eastAsia="仿宋" w:cs="仿宋"/>
                <w:b/>
                <w:sz w:val="24"/>
              </w:rPr>
              <w:t>备注（如果有）</w:t>
            </w:r>
          </w:p>
          <w:p>
            <w:pPr>
              <w:spacing w:line="288"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03"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3256" w:type="dxa"/>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绍兴市人民医院工会职工福利包采购项目</w:t>
            </w:r>
          </w:p>
        </w:tc>
        <w:tc>
          <w:tcPr>
            <w:tcW w:w="3541" w:type="dxa"/>
            <w:vAlign w:val="center"/>
          </w:tcPr>
          <w:p>
            <w:pPr>
              <w:spacing w:line="288" w:lineRule="auto"/>
              <w:jc w:val="center"/>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w:t>
            </w:r>
          </w:p>
        </w:tc>
        <w:tc>
          <w:tcPr>
            <w:tcW w:w="1738" w:type="dxa"/>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3959" w:type="dxa"/>
            <w:gridSpan w:val="2"/>
            <w:vAlign w:val="center"/>
          </w:tcPr>
          <w:p>
            <w:pPr>
              <w:spacing w:line="288" w:lineRule="auto"/>
              <w:jc w:val="center"/>
              <w:rPr>
                <w:rFonts w:ascii="仿宋" w:hAnsi="仿宋" w:eastAsia="仿宋" w:cs="仿宋"/>
                <w:b/>
                <w:sz w:val="24"/>
              </w:rPr>
            </w:pPr>
            <w:r>
              <w:rPr>
                <w:rFonts w:hint="eastAsia" w:ascii="仿宋" w:hAnsi="仿宋" w:eastAsia="仿宋" w:cs="仿宋"/>
                <w:b/>
                <w:sz w:val="24"/>
              </w:rPr>
              <w:t>投标报价（大写）</w:t>
            </w:r>
          </w:p>
        </w:tc>
        <w:tc>
          <w:tcPr>
            <w:tcW w:w="5279" w:type="dxa"/>
            <w:gridSpan w:val="2"/>
          </w:tcPr>
          <w:p>
            <w:pPr>
              <w:spacing w:line="288" w:lineRule="auto"/>
              <w:rPr>
                <w:rFonts w:ascii="仿宋" w:hAnsi="仿宋" w:eastAsia="仿宋" w:cs="仿宋"/>
                <w:sz w:val="24"/>
              </w:rPr>
            </w:pPr>
          </w:p>
          <w:p>
            <w:pPr>
              <w:spacing w:line="288" w:lineRule="auto"/>
              <w:rPr>
                <w:rFonts w:ascii="仿宋" w:hAnsi="仿宋" w:eastAsia="仿宋" w:cs="仿宋"/>
                <w:sz w:val="24"/>
                <w:u w:val="single"/>
              </w:rPr>
            </w:pPr>
            <w:r>
              <w:rPr>
                <w:rFonts w:hint="eastAsia" w:ascii="仿宋" w:hAnsi="仿宋" w:eastAsia="仿宋" w:cs="仿宋"/>
                <w:sz w:val="24"/>
              </w:rPr>
              <w:t>百分之</w:t>
            </w:r>
            <w:r>
              <w:rPr>
                <w:rFonts w:hint="eastAsia" w:ascii="仿宋" w:hAnsi="仿宋" w:eastAsia="仿宋" w:cs="仿宋"/>
                <w:sz w:val="24"/>
                <w:u w:val="single"/>
              </w:rPr>
              <w:t xml:space="preserve">            </w:t>
            </w:r>
          </w:p>
        </w:tc>
      </w:tr>
    </w:tbl>
    <w:p>
      <w:pPr>
        <w:snapToGrid w:val="0"/>
        <w:spacing w:line="288"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288" w:lineRule="auto"/>
        <w:ind w:firstLine="480" w:firstLineChars="200"/>
        <w:jc w:val="left"/>
        <w:rPr>
          <w:rFonts w:ascii="仿宋" w:hAnsi="仿宋" w:eastAsia="仿宋" w:cs="仿宋"/>
          <w:kern w:val="0"/>
          <w:sz w:val="24"/>
          <w:lang w:val="zh-CN"/>
        </w:rPr>
      </w:pPr>
    </w:p>
    <w:p>
      <w:pPr>
        <w:spacing w:line="288" w:lineRule="auto"/>
        <w:ind w:firstLine="482" w:firstLineChars="200"/>
        <w:rPr>
          <w:rFonts w:ascii="仿宋" w:hAnsi="仿宋" w:eastAsia="仿宋" w:cs="仿宋"/>
          <w:b/>
          <w:kern w:val="0"/>
          <w:sz w:val="24"/>
        </w:rPr>
      </w:pPr>
    </w:p>
    <w:p>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288" w:lineRule="auto"/>
        <w:ind w:firstLine="4560" w:firstLineChars="19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800" w:right="1440" w:bottom="1800" w:left="1440" w:header="851" w:footer="992" w:gutter="0"/>
          <w:cols w:space="720" w:num="1"/>
          <w:titlePg/>
          <w:docGrid w:linePitch="312" w:charSpace="0"/>
        </w:sectPr>
      </w:pPr>
    </w:p>
    <w:p>
      <w:pPr>
        <w:pStyle w:val="693"/>
        <w:keepNext w:val="0"/>
        <w:pageBreakBefore w:val="0"/>
        <w:tabs>
          <w:tab w:val="clear" w:pos="720"/>
        </w:tabs>
        <w:snapToGrid w:val="0"/>
        <w:spacing w:before="120" w:after="120"/>
        <w:jc w:val="both"/>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4" w:name="_Hlk101259491"/>
      <w:r>
        <w:rPr>
          <w:rFonts w:hint="eastAsia" w:ascii="仿宋" w:hAnsi="仿宋" w:eastAsia="仿宋" w:cs="仿宋"/>
          <w:sz w:val="32"/>
          <w:szCs w:val="32"/>
        </w:rPr>
        <w:t>（如果有）</w:t>
      </w:r>
      <w:bookmarkEnd w:id="194"/>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95" w:name="_Toc465665161"/>
      <w:r>
        <w:rPr>
          <w:rFonts w:hint="eastAsia" w:ascii="仿宋" w:hAnsi="仿宋" w:eastAsia="仿宋" w:cs="仿宋"/>
        </w:rPr>
        <w:t>附件</w:t>
      </w:r>
      <w:bookmarkEnd w:id="195"/>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                    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u w:val="dotted"/>
        </w:rPr>
      </w:pPr>
      <w:r>
        <w:rPr>
          <w:rFonts w:hint="eastAsia" w:ascii="仿宋" w:hAnsi="仿宋" w:eastAsia="仿宋" w:cs="仿宋"/>
          <w:sz w:val="24"/>
        </w:rPr>
        <w:t>事实依据：</w:t>
      </w:r>
    </w:p>
    <w:p>
      <w:pPr>
        <w:spacing w:line="360" w:lineRule="auto"/>
        <w:rPr>
          <w:rFonts w:ascii="仿宋" w:hAnsi="仿宋" w:eastAsia="仿宋" w:cs="仿宋"/>
          <w:sz w:val="24"/>
          <w:u w:val="dotted"/>
        </w:rPr>
      </w:pPr>
      <w:r>
        <w:rPr>
          <w:rFonts w:hint="eastAsia" w:ascii="仿宋" w:hAnsi="仿宋" w:eastAsia="仿宋" w:cs="仿宋"/>
          <w:sz w:val="24"/>
        </w:rPr>
        <w:t>法律依据：</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u w:val="single"/>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                  公章：</w:t>
      </w:r>
    </w:p>
    <w:p>
      <w:pPr>
        <w:spacing w:line="360" w:lineRule="auto"/>
        <w:rPr>
          <w:rFonts w:ascii="仿宋" w:hAnsi="仿宋" w:eastAsia="仿宋" w:cs="仿宋"/>
          <w:b/>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pPr>
        <w:pStyle w:val="81"/>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96"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6"/>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36" w:lineRule="auto"/>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napToGrid w:val="0"/>
        <w:spacing w:line="288"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tabs>
          <w:tab w:val="left" w:pos="4860"/>
        </w:tabs>
        <w:spacing w:line="360" w:lineRule="auto"/>
        <w:ind w:right="1560" w:firstLine="480" w:firstLineChars="200"/>
        <w:jc w:val="center"/>
        <w:rPr>
          <w:rFonts w:ascii="仿宋" w:hAnsi="仿宋" w:eastAsia="仿宋" w:cs="仿宋"/>
          <w:kern w:val="0"/>
          <w:sz w:val="24"/>
        </w:rPr>
      </w:pPr>
      <w:r>
        <w:rPr>
          <w:rFonts w:hint="eastAsia" w:ascii="仿宋" w:hAnsi="仿宋" w:eastAsia="仿宋" w:cs="仿宋"/>
          <w:kern w:val="0"/>
          <w:sz w:val="24"/>
        </w:rPr>
        <w:t xml:space="preserve">                                   </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pPr>
        <w:spacing w:line="288" w:lineRule="auto"/>
        <w:ind w:right="1120"/>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pPr>
        <w:spacing w:line="288" w:lineRule="auto"/>
        <w:ind w:right="420" w:firstLine="482" w:firstLineChars="200"/>
        <w:rPr>
          <w:rFonts w:ascii="仿宋" w:hAnsi="仿宋" w:eastAsia="仿宋" w:cs="仿宋"/>
          <w:b/>
          <w:bCs/>
          <w:sz w:val="24"/>
        </w:rPr>
      </w:pPr>
    </w:p>
    <w:p>
      <w:pPr>
        <w:spacing w:line="288" w:lineRule="auto"/>
        <w:ind w:right="420" w:firstLine="482" w:firstLineChars="200"/>
        <w:rPr>
          <w:rFonts w:ascii="仿宋" w:hAnsi="仿宋" w:eastAsia="仿宋" w:cs="仿宋"/>
          <w:b/>
          <w:bCs/>
          <w:sz w:val="24"/>
        </w:rPr>
      </w:pPr>
      <w:r>
        <w:rPr>
          <w:rFonts w:hint="eastAsia" w:ascii="仿宋" w:hAnsi="仿宋" w:eastAsia="仿宋" w:cs="仿宋"/>
          <w:b/>
          <w:bCs/>
          <w:sz w:val="24"/>
        </w:rPr>
        <w:t>从业人员、营业收入、资产总额填报上一年度数据，无上一年度数据的新成立企业可不填报。</w:t>
      </w:r>
    </w:p>
    <w:p>
      <w:pPr>
        <w:ind w:right="420"/>
        <w:rPr>
          <w:rFonts w:ascii="仿宋" w:hAnsi="仿宋" w:eastAsia="仿宋" w:cs="仿宋"/>
          <w:b/>
          <w:bCs/>
          <w:sz w:val="24"/>
        </w:rPr>
      </w:pPr>
      <w:r>
        <w:rPr>
          <w:rFonts w:hint="eastAsia" w:ascii="仿宋" w:hAnsi="仿宋" w:eastAsia="仿宋" w:cs="仿宋"/>
          <w:b/>
          <w:bCs/>
          <w:sz w:val="24"/>
        </w:rPr>
        <w:t>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sectPr>
      <w:headerReference r:id="rId22" w:type="first"/>
      <w:footerReference r:id="rId25" w:type="first"/>
      <w:headerReference r:id="rId21" w:type="default"/>
      <w:footerReference r:id="rId23" w:type="default"/>
      <w:footerReference r:id="rId24"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YH2024-04032</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YH2024-04032</w:t>
    </w:r>
  </w:p>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FE19E4"/>
    <w:rsid w:val="00026679"/>
    <w:rsid w:val="00155F80"/>
    <w:rsid w:val="00265606"/>
    <w:rsid w:val="0029229B"/>
    <w:rsid w:val="002A6A79"/>
    <w:rsid w:val="002F2BF6"/>
    <w:rsid w:val="003726DD"/>
    <w:rsid w:val="00413071"/>
    <w:rsid w:val="004D3833"/>
    <w:rsid w:val="00535EFC"/>
    <w:rsid w:val="00544615"/>
    <w:rsid w:val="005C748A"/>
    <w:rsid w:val="006065F2"/>
    <w:rsid w:val="0065313E"/>
    <w:rsid w:val="00683E3C"/>
    <w:rsid w:val="00762AFD"/>
    <w:rsid w:val="007A04FE"/>
    <w:rsid w:val="007C18D3"/>
    <w:rsid w:val="008B4CB3"/>
    <w:rsid w:val="00943FDE"/>
    <w:rsid w:val="00973001"/>
    <w:rsid w:val="009C1C85"/>
    <w:rsid w:val="00A12C64"/>
    <w:rsid w:val="00AA3507"/>
    <w:rsid w:val="00AE1647"/>
    <w:rsid w:val="00AF6653"/>
    <w:rsid w:val="00B5574D"/>
    <w:rsid w:val="00BA1401"/>
    <w:rsid w:val="00BB5914"/>
    <w:rsid w:val="00BE3742"/>
    <w:rsid w:val="00C05635"/>
    <w:rsid w:val="00C21384"/>
    <w:rsid w:val="00C91FA9"/>
    <w:rsid w:val="00DA1F4F"/>
    <w:rsid w:val="00E649B4"/>
    <w:rsid w:val="00E73CAB"/>
    <w:rsid w:val="00FE19E4"/>
    <w:rsid w:val="00FF1949"/>
    <w:rsid w:val="01537FD5"/>
    <w:rsid w:val="033E089E"/>
    <w:rsid w:val="06D74677"/>
    <w:rsid w:val="0983157E"/>
    <w:rsid w:val="0B080994"/>
    <w:rsid w:val="0FA0239A"/>
    <w:rsid w:val="133236CD"/>
    <w:rsid w:val="14127BE9"/>
    <w:rsid w:val="14EC7D9D"/>
    <w:rsid w:val="158D1A3D"/>
    <w:rsid w:val="169E17AF"/>
    <w:rsid w:val="195210FF"/>
    <w:rsid w:val="1F4629DA"/>
    <w:rsid w:val="21C45E6A"/>
    <w:rsid w:val="2CDA6E57"/>
    <w:rsid w:val="33AF4B9A"/>
    <w:rsid w:val="356B2D42"/>
    <w:rsid w:val="3B434284"/>
    <w:rsid w:val="3F326AC0"/>
    <w:rsid w:val="449701CB"/>
    <w:rsid w:val="44D530D8"/>
    <w:rsid w:val="46B12E56"/>
    <w:rsid w:val="4C312198"/>
    <w:rsid w:val="4DE4148C"/>
    <w:rsid w:val="4FAE554B"/>
    <w:rsid w:val="50C301CB"/>
    <w:rsid w:val="53F52867"/>
    <w:rsid w:val="57DAE6E1"/>
    <w:rsid w:val="58BF6D7E"/>
    <w:rsid w:val="5B7C12A3"/>
    <w:rsid w:val="5C2E3077"/>
    <w:rsid w:val="5DD22FD0"/>
    <w:rsid w:val="5F665FB3"/>
    <w:rsid w:val="5FED10F1"/>
    <w:rsid w:val="642152E2"/>
    <w:rsid w:val="65077AE2"/>
    <w:rsid w:val="68151AAD"/>
    <w:rsid w:val="6A2A6443"/>
    <w:rsid w:val="6A971908"/>
    <w:rsid w:val="6AEF1016"/>
    <w:rsid w:val="6BEF1545"/>
    <w:rsid w:val="6C2430E3"/>
    <w:rsid w:val="6FCF721E"/>
    <w:rsid w:val="729E74BD"/>
    <w:rsid w:val="73AB57CE"/>
    <w:rsid w:val="78573A24"/>
    <w:rsid w:val="7A463668"/>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autoRedefine/>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autoRedefine/>
    <w:qFormat/>
    <w:uiPriority w:val="0"/>
    <w:pPr>
      <w:ind w:firstLine="420"/>
    </w:pPr>
    <w:rPr>
      <w:rFonts w:hAnsi="Calibri" w:cs="Times New Roman"/>
      <w:snapToGrid/>
      <w:szCs w:val="20"/>
    </w:rPr>
  </w:style>
  <w:style w:type="paragraph" w:styleId="62">
    <w:name w:val="Body Text First Indent 2"/>
    <w:basedOn w:val="24"/>
    <w:link w:val="122"/>
    <w:autoRedefine/>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autoRedefin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0"/>
    <w:autoRedefine/>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字符"/>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字符"/>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字符"/>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字符"/>
    <w:link w:val="35"/>
    <w:autoRedefine/>
    <w:qFormat/>
    <w:uiPriority w:val="0"/>
    <w:rPr>
      <w:rFonts w:ascii="宋体"/>
      <w:kern w:val="2"/>
      <w:sz w:val="24"/>
      <w:szCs w:val="21"/>
      <w:lang w:val="zh-CN"/>
    </w:rPr>
  </w:style>
  <w:style w:type="character" w:customStyle="1" w:styleId="183">
    <w:name w:val="标题 9 字符"/>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字符1"/>
    <w:link w:val="38"/>
    <w:autoRedefine/>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字符"/>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字符"/>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字符"/>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59"/>
    <w:autoRedefine/>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autoRedefine/>
    <w:qFormat/>
    <w:uiPriority w:val="0"/>
    <w:rPr>
      <w:rFonts w:ascii="黑体" w:hAnsi="Courier New" w:eastAsia="黑体"/>
    </w:rPr>
  </w:style>
  <w:style w:type="character" w:customStyle="1" w:styleId="302">
    <w:name w:val="正文文本 2 字符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9"/>
    <w:autoRedefine/>
    <w:qFormat/>
    <w:uiPriority w:val="0"/>
    <w:rPr>
      <w:b/>
      <w:bCs/>
      <w:kern w:val="2"/>
      <w:sz w:val="24"/>
      <w:szCs w:val="24"/>
    </w:rPr>
  </w:style>
  <w:style w:type="character" w:customStyle="1" w:styleId="308">
    <w:name w:val="正文文本缩进 2 字符"/>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qFormat/>
    <w:uiPriority w:val="0"/>
  </w:style>
  <w:style w:type="character" w:customStyle="1" w:styleId="327">
    <w:name w:val="标题 4 字符1"/>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autoRedefine/>
    <w:qFormat/>
    <w:uiPriority w:val="0"/>
    <w:rPr>
      <w:kern w:val="2"/>
      <w:sz w:val="21"/>
      <w:szCs w:val="24"/>
    </w:rPr>
  </w:style>
  <w:style w:type="character" w:customStyle="1" w:styleId="345">
    <w:name w:val="签名 字符"/>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autoRedefine/>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75</Pages>
  <Words>7144</Words>
  <Characters>40724</Characters>
  <Lines>339</Lines>
  <Paragraphs>95</Paragraphs>
  <TotalTime>973</TotalTime>
  <ScaleCrop>false</ScaleCrop>
  <LinksUpToDate>false</LinksUpToDate>
  <CharactersWithSpaces>47773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2023-08-07T02:26:00Z</dcterms:created>
  <dc:creator>玥</dc:creator>
  <cp:lastModifiedBy>囍多多</cp:lastModifiedBy>
  <cp:lastPrinted>2024-04-17T00:21:00Z</cp:lastPrinted>
  <dcterms:modified xsi:type="dcterms:W3CDTF">2024-04-18T08:38:22Z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F974AD35106646ACAA049B34B6508CE8_13</vt:lpwstr>
  </property>
</Properties>
</file>