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绍兴市人民医院2024年职工疗休养项目</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bookmarkStart w:id="168" w:name="_GoBack"/>
      <w:bookmarkEnd w:id="168"/>
      <w:r>
        <w:rPr>
          <w:rFonts w:hint="eastAsia" w:ascii="仿宋" w:hAnsi="仿宋" w:eastAsia="仿宋" w:cs="仿宋"/>
          <w:b/>
          <w:sz w:val="28"/>
          <w:szCs w:val="28"/>
          <w:lang w:eastAsia="zh-CN"/>
        </w:rPr>
        <w:t>YH2024-04054</w:t>
      </w:r>
    </w:p>
    <w:tbl>
      <w:tblPr>
        <w:tblStyle w:val="63"/>
        <w:tblW w:w="5754" w:type="dxa"/>
        <w:jc w:val="center"/>
        <w:tblLayout w:type="fixed"/>
        <w:tblCellMar>
          <w:top w:w="0" w:type="dxa"/>
          <w:left w:w="108" w:type="dxa"/>
          <w:bottom w:w="0" w:type="dxa"/>
          <w:right w:w="108" w:type="dxa"/>
        </w:tblCellMar>
      </w:tblPr>
      <w:tblGrid>
        <w:gridCol w:w="2356"/>
        <w:gridCol w:w="3398"/>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3398"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3398"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5754"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二○二四年四月</w:t>
            </w:r>
          </w:p>
        </w:tc>
      </w:tr>
    </w:tbl>
    <w:p>
      <w:pPr>
        <w:pStyle w:val="637"/>
        <w:rPr>
          <w:rFonts w:ascii="仿宋" w:hAnsi="仿宋" w:eastAsia="仿宋" w:cs="仿宋"/>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2" w:type="first"/>
          <w:headerReference r:id="rId9" w:type="default"/>
          <w:footerReference r:id="rId10" w:type="default"/>
          <w:footerReference r:id="rId11" w:type="even"/>
          <w:pgSz w:w="11906" w:h="16838"/>
          <w:pgMar w:top="1440" w:right="1800" w:bottom="1440" w:left="1800" w:header="851" w:footer="992" w:gutter="0"/>
          <w:pgNumType w:start="1"/>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p>
      <w:pPr>
        <w:spacing w:line="288" w:lineRule="auto"/>
        <w:rPr>
          <w:rFonts w:ascii="仿宋" w:hAnsi="仿宋" w:eastAsia="仿宋" w:cs="仿宋"/>
          <w:b/>
          <w:sz w:val="24"/>
        </w:rPr>
      </w:pPr>
      <w:r>
        <w:rPr>
          <w:rFonts w:hint="eastAsia" w:ascii="仿宋" w:hAnsi="仿宋" w:eastAsia="仿宋" w:cs="仿宋"/>
          <w:b/>
          <w:sz w:val="24"/>
        </w:rPr>
        <w:t>一、项目基本情况</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YH2024-04054</w:t>
      </w:r>
    </w:p>
    <w:p>
      <w:pPr>
        <w:spacing w:line="288" w:lineRule="auto"/>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绍兴市人民医院2024年职工疗休养项目</w:t>
      </w:r>
    </w:p>
    <w:p>
      <w:pPr>
        <w:spacing w:line="288" w:lineRule="auto"/>
        <w:ind w:firstLine="482" w:firstLineChars="200"/>
        <w:rPr>
          <w:rFonts w:ascii="仿宋" w:hAnsi="仿宋" w:eastAsia="仿宋" w:cs="仿宋"/>
          <w:bCs/>
          <w:sz w:val="24"/>
        </w:rPr>
      </w:pPr>
      <w:r>
        <w:rPr>
          <w:rFonts w:hint="eastAsia" w:ascii="仿宋" w:hAnsi="仿宋" w:eastAsia="仿宋" w:cs="仿宋"/>
          <w:b/>
          <w:sz w:val="24"/>
        </w:rPr>
        <w:t>预算金额（元）：</w:t>
      </w:r>
      <w:r>
        <w:rPr>
          <w:rFonts w:hint="eastAsia" w:ascii="仿宋" w:hAnsi="仿宋" w:eastAsia="仿宋" w:cs="仿宋"/>
          <w:bCs/>
          <w:sz w:val="24"/>
        </w:rPr>
        <w:t>20700000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20700000</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标项名称：绍兴市人民医院2024年职工疗休养项目</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预算金额：20700000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无；</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服务全部由符合政策要求的中小企业承接，提供中小企业声明函；</w:t>
      </w:r>
    </w:p>
    <w:p>
      <w:pPr>
        <w:spacing w:line="288" w:lineRule="auto"/>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具备旅游行政管理部门颁发《旅行社业务经营许可证》</w:t>
      </w:r>
      <w:r>
        <w:rPr>
          <w:rFonts w:hint="eastAsia" w:ascii="仿宋" w:hAnsi="仿宋" w:eastAsia="仿宋" w:cs="仿宋"/>
          <w:color w:val="auto"/>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2024</w:t>
      </w:r>
      <w:r>
        <w:rPr>
          <w:rFonts w:hint="eastAsia" w:ascii="仿宋" w:hAnsi="仿宋" w:eastAsia="仿宋" w:cs="仿宋"/>
          <w:sz w:val="24"/>
        </w:rPr>
        <w:t>年月日上午8:30～11:30；下午14:00～17:00 (双休日及法定节假日除外）地址：</w:t>
      </w:r>
      <w:r>
        <w:rPr>
          <w:rFonts w:hint="eastAsia" w:ascii="仿宋" w:hAnsi="仿宋" w:eastAsia="仿宋" w:cs="仿宋"/>
          <w:kern w:val="0"/>
          <w:sz w:val="24"/>
        </w:rPr>
        <w:t>绍兴市越城区阳明北路80号滨江大厦C楼3楼309号（耀华建设管理有限公司绍兴迪荡分公司）</w:t>
      </w:r>
    </w:p>
    <w:p>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rPr>
        <w:t>2024</w:t>
      </w:r>
      <w:r>
        <w:rPr>
          <w:rFonts w:hint="eastAsia" w:ascii="仿宋" w:hAnsi="仿宋" w:eastAsia="仿宋" w:cs="仿宋"/>
          <w:sz w:val="24"/>
        </w:rPr>
        <w:t>年月日</w:t>
      </w:r>
      <w:r>
        <w:rPr>
          <w:rFonts w:hint="eastAsia" w:ascii="仿宋" w:hAnsi="仿宋" w:eastAsia="仿宋" w:cs="仿宋"/>
          <w:sz w:val="24"/>
          <w:u w:val="single"/>
        </w:rPr>
        <w:t>9：00</w:t>
      </w:r>
      <w:r>
        <w:rPr>
          <w:rFonts w:hint="eastAsia" w:ascii="仿宋" w:hAnsi="仿宋" w:eastAsia="仿宋" w:cs="仿宋"/>
          <w:sz w:val="24"/>
        </w:rPr>
        <w:t>时前将投标文件密封送交到开标室，逾期送达不予接收。</w:t>
      </w:r>
    </w:p>
    <w:p>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288" w:lineRule="auto"/>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2024</w:t>
      </w:r>
      <w:r>
        <w:rPr>
          <w:rFonts w:hint="eastAsia" w:ascii="仿宋" w:hAnsi="仿宋" w:eastAsia="仿宋" w:cs="仿宋"/>
          <w:sz w:val="24"/>
        </w:rPr>
        <w:t>年月日</w:t>
      </w:r>
      <w:r>
        <w:rPr>
          <w:rFonts w:hint="eastAsia" w:ascii="仿宋" w:hAnsi="仿宋" w:eastAsia="仿宋" w:cs="仿宋"/>
          <w:sz w:val="24"/>
          <w:u w:val="single"/>
        </w:rPr>
        <w:t>9：00</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绍兴市越城区阳明北路80号滨江大厦C楼3楼309号（耀华建设管理有限公司绍兴迪荡分公司），</w:t>
      </w:r>
      <w:r>
        <w:rPr>
          <w:rFonts w:hint="eastAsia" w:ascii="仿宋" w:hAnsi="仿宋" w:eastAsia="仿宋" w:cs="仿宋"/>
          <w:sz w:val="24"/>
        </w:rPr>
        <w:t>联系人：叶梦雯，电话：15957509514。 </w:t>
      </w:r>
    </w:p>
    <w:p>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2024</w:t>
      </w:r>
      <w:r>
        <w:rPr>
          <w:rFonts w:hint="eastAsia" w:ascii="仿宋" w:hAnsi="仿宋" w:eastAsia="仿宋" w:cs="仿宋"/>
          <w:sz w:val="24"/>
        </w:rPr>
        <w:t>年月日</w:t>
      </w:r>
      <w:r>
        <w:rPr>
          <w:rFonts w:hint="eastAsia" w:ascii="仿宋" w:hAnsi="仿宋" w:eastAsia="仿宋" w:cs="仿宋"/>
          <w:sz w:val="24"/>
          <w:u w:val="single"/>
        </w:rPr>
        <w:t>9：00</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rPr>
        <w:t>绍兴市越城区阳明北路80号滨江大厦C楼3楼309号（耀华建设管理有限公司绍兴迪荡分公司）</w:t>
      </w:r>
    </w:p>
    <w:p>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pPr>
        <w:spacing w:line="288" w:lineRule="auto"/>
        <w:rPr>
          <w:rFonts w:ascii="仿宋" w:hAnsi="仿宋" w:eastAsia="仿宋" w:cs="仿宋"/>
          <w:sz w:val="24"/>
        </w:rPr>
      </w:pPr>
      <w:r>
        <w:rPr>
          <w:rFonts w:hint="eastAsia" w:ascii="仿宋" w:hAnsi="仿宋" w:eastAsia="仿宋" w:cs="仿宋"/>
          <w:b/>
          <w:sz w:val="24"/>
        </w:rPr>
        <w:t>五、公告期限</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pStyle w:val="397"/>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28359096"/>
      <w:bookmarkStart w:id="12" w:name="_Toc35393637"/>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28359020"/>
      <w:bookmarkStart w:id="16" w:name="_Toc28359097"/>
      <w:bookmarkStart w:id="17" w:name="_Toc35393638"/>
      <w:bookmarkStart w:id="18" w:name="_Toc35393807"/>
      <w:r>
        <w:rPr>
          <w:rFonts w:hint="eastAsia" w:ascii="仿宋" w:hAnsi="仿宋" w:eastAsia="仿宋" w:cs="仿宋"/>
          <w:sz w:val="24"/>
        </w:rPr>
        <w:t>名称：绍兴市人民医院</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项目联系人（询问）：丁先生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项目联系方式（询问）：0575-88559879</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质疑联系人：陈先生</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质疑联系方式：0575-88559879</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35393808"/>
      <w:bookmarkStart w:id="20" w:name="_Toc35393639"/>
      <w:bookmarkStart w:id="21" w:name="_Toc28359098"/>
      <w:bookmarkStart w:id="22" w:name="_Toc28359021"/>
      <w:r>
        <w:rPr>
          <w:rFonts w:hint="eastAsia" w:ascii="仿宋" w:hAnsi="仿宋" w:eastAsia="仿宋" w:cs="仿宋"/>
          <w:sz w:val="24"/>
        </w:rPr>
        <w:t>名称：耀华建设管理有限公司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地址：绍兴市越城区阳明北路80号滨江大厦C楼3楼309号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项目联系人（询问）：叶梦雯、阮建宏</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质疑联系人：郭虹</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质疑联系方式：0575-88336881　　　</w:t>
      </w:r>
    </w:p>
    <w:p>
      <w:pPr>
        <w:spacing w:line="288" w:lineRule="auto"/>
        <w:ind w:firstLine="482" w:firstLineChars="200"/>
        <w:rPr>
          <w:rFonts w:ascii="仿宋" w:hAnsi="仿宋" w:eastAsia="仿宋" w:cs="仿宋"/>
        </w:rPr>
      </w:pPr>
      <w:r>
        <w:rPr>
          <w:rFonts w:hint="eastAsia" w:ascii="仿宋" w:hAnsi="仿宋" w:eastAsia="仿宋" w:cs="仿宋"/>
          <w:b/>
          <w:bCs/>
          <w:sz w:val="24"/>
        </w:rPr>
        <w:t>3.</w:t>
      </w:r>
      <w:r>
        <w:rPr>
          <w:rFonts w:hint="eastAsia" w:ascii="仿宋" w:hAnsi="仿宋" w:eastAsia="仿宋" w:cs="仿宋"/>
          <w:b/>
          <w:sz w:val="24"/>
        </w:rPr>
        <w:t>同级政府采购监督管理部门：</w:t>
      </w:r>
      <w:bookmarkEnd w:id="7"/>
      <w:bookmarkEnd w:id="8"/>
      <w:bookmarkEnd w:id="19"/>
      <w:bookmarkEnd w:id="20"/>
      <w:bookmarkEnd w:id="21"/>
      <w:bookmarkEnd w:id="22"/>
      <w:r>
        <w:rPr>
          <w:rFonts w:hint="eastAsia" w:ascii="仿宋" w:hAnsi="仿宋" w:eastAsia="仿宋" w:cs="仿宋"/>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名称：绍兴市卫生健康委员会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地址：绍兴市洋江西路589号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ascii="仿宋" w:hAnsi="仿宋" w:eastAsia="仿宋" w:cs="仿宋"/>
          <w:sz w:val="24"/>
        </w:rPr>
      </w:pPr>
      <w:r>
        <w:rPr>
          <w:rFonts w:hint="eastAsia" w:ascii="仿宋" w:hAnsi="仿宋" w:eastAsia="仿宋" w:cs="仿宋"/>
          <w:sz w:val="24"/>
        </w:rPr>
        <w:t>联系人：茅艳萍     </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监督投诉电话：0575-85228949 </w:t>
      </w: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480"/>
        <w:rPr>
          <w:rFonts w:ascii="仿宋" w:hAnsi="仿宋" w:eastAsia="仿宋" w:cs="仿宋"/>
          <w:szCs w:val="24"/>
        </w:rPr>
      </w:pPr>
    </w:p>
    <w:p>
      <w:pPr>
        <w:pStyle w:val="397"/>
        <w:spacing w:after="120" w:line="288" w:lineRule="auto"/>
        <w:ind w:firstLine="0" w:firstLineChars="0"/>
        <w:rPr>
          <w:rFonts w:ascii="仿宋" w:hAnsi="仿宋" w:eastAsia="仿宋" w:cs="仿宋"/>
          <w:szCs w:val="24"/>
        </w:rPr>
      </w:pPr>
    </w:p>
    <w:p>
      <w:pPr>
        <w:pStyle w:val="397"/>
        <w:spacing w:after="120" w:line="288" w:lineRule="auto"/>
        <w:ind w:firstLine="0" w:firstLineChars="0"/>
        <w:jc w:val="center"/>
        <w:rPr>
          <w:rFonts w:ascii="仿宋" w:hAnsi="仿宋" w:eastAsia="仿宋" w:cs="仿宋"/>
          <w:b/>
          <w:sz w:val="36"/>
        </w:rPr>
      </w:pPr>
    </w:p>
    <w:p>
      <w:pPr>
        <w:pStyle w:val="397"/>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pPr>
        <w:pStyle w:val="397"/>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9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方案讲解演示：</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pPr>
              <w:spacing w:line="288" w:lineRule="auto"/>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199"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171"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1199"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171" w:type="dxa"/>
            <w:vAlign w:val="center"/>
          </w:tcPr>
          <w:p>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199"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71" w:type="dxa"/>
            <w:vAlign w:val="center"/>
          </w:tcPr>
          <w:p>
            <w:pPr>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kern w:val="0"/>
                <w:sz w:val="24"/>
                <w:u w:val="single"/>
              </w:rPr>
              <w:t>租赁和商务服务业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199"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171"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70" w:type="dxa"/>
            <w:vMerge w:val="continue"/>
            <w:vAlign w:val="center"/>
          </w:tcPr>
          <w:p>
            <w:pPr>
              <w:spacing w:line="288" w:lineRule="auto"/>
              <w:jc w:val="center"/>
              <w:rPr>
                <w:rFonts w:ascii="仿宋" w:hAnsi="仿宋" w:eastAsia="仿宋" w:cs="仿宋"/>
                <w:sz w:val="24"/>
              </w:rPr>
            </w:pPr>
          </w:p>
        </w:tc>
        <w:tc>
          <w:tcPr>
            <w:tcW w:w="1199" w:type="dxa"/>
            <w:vMerge w:val="continue"/>
            <w:vAlign w:val="center"/>
          </w:tcPr>
          <w:p>
            <w:pPr>
              <w:snapToGrid w:val="0"/>
              <w:spacing w:line="288" w:lineRule="auto"/>
              <w:rPr>
                <w:rFonts w:ascii="仿宋" w:hAnsi="仿宋" w:eastAsia="仿宋" w:cs="仿宋"/>
                <w:b/>
                <w:sz w:val="24"/>
              </w:rPr>
            </w:pPr>
          </w:p>
        </w:tc>
        <w:tc>
          <w:tcPr>
            <w:tcW w:w="7171"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70" w:type="dxa"/>
            <w:vMerge w:val="continue"/>
            <w:vAlign w:val="center"/>
          </w:tcPr>
          <w:p>
            <w:pPr>
              <w:spacing w:line="288" w:lineRule="auto"/>
              <w:jc w:val="center"/>
              <w:rPr>
                <w:rFonts w:ascii="仿宋" w:hAnsi="仿宋" w:eastAsia="仿宋" w:cs="仿宋"/>
                <w:sz w:val="24"/>
              </w:rPr>
            </w:pPr>
          </w:p>
        </w:tc>
        <w:tc>
          <w:tcPr>
            <w:tcW w:w="1199" w:type="dxa"/>
            <w:vMerge w:val="continue"/>
            <w:vAlign w:val="center"/>
          </w:tcPr>
          <w:p>
            <w:pPr>
              <w:snapToGrid w:val="0"/>
              <w:spacing w:line="288" w:lineRule="auto"/>
              <w:rPr>
                <w:rFonts w:ascii="仿宋" w:hAnsi="仿宋" w:eastAsia="仿宋" w:cs="仿宋"/>
                <w:b/>
                <w:sz w:val="24"/>
              </w:rPr>
            </w:pPr>
          </w:p>
        </w:tc>
        <w:tc>
          <w:tcPr>
            <w:tcW w:w="7171"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元收取。（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2"/>
          <w:szCs w:val="20"/>
        </w:rPr>
      </w:pPr>
    </w:p>
    <w:bookmarkEnd w:id="9"/>
    <w:p>
      <w:pPr>
        <w:adjustRightInd/>
        <w:spacing w:line="288" w:lineRule="auto"/>
        <w:jc w:val="center"/>
        <w:outlineLvl w:val="0"/>
        <w:rPr>
          <w:rFonts w:ascii="仿宋" w:hAnsi="仿宋" w:eastAsia="仿宋" w:cs="仿宋"/>
          <w:b/>
          <w:sz w:val="32"/>
          <w:szCs w:val="32"/>
        </w:rPr>
      </w:pPr>
      <w:bookmarkStart w:id="23" w:name="_Hlt68073093"/>
      <w:bookmarkEnd w:id="23"/>
      <w:bookmarkStart w:id="24" w:name="_Hlt74714665"/>
      <w:bookmarkEnd w:id="24"/>
      <w:bookmarkStart w:id="25" w:name="_Hlt68057669"/>
      <w:bookmarkEnd w:id="25"/>
      <w:bookmarkStart w:id="26" w:name="_Hlt74730295"/>
      <w:bookmarkEnd w:id="26"/>
      <w:bookmarkStart w:id="27" w:name="_Hlt74729768"/>
      <w:bookmarkEnd w:id="27"/>
      <w:bookmarkStart w:id="28" w:name="_Hlt75236290"/>
      <w:bookmarkEnd w:id="28"/>
      <w:bookmarkStart w:id="29" w:name="_Hlt68072998"/>
      <w:bookmarkEnd w:id="29"/>
      <w:bookmarkStart w:id="30" w:name="_Hlt68403820"/>
      <w:bookmarkEnd w:id="30"/>
      <w:bookmarkStart w:id="31" w:name="_Hlt74707468"/>
      <w:bookmarkEnd w:id="31"/>
      <w:bookmarkStart w:id="32" w:name="_Hlt68072990"/>
      <w:bookmarkEnd w:id="32"/>
      <w:bookmarkStart w:id="33" w:name="_Hlt75236101"/>
      <w:bookmarkEnd w:id="33"/>
      <w:bookmarkStart w:id="34" w:name="_Hlt75236011"/>
      <w:bookmarkEnd w:id="34"/>
      <w:bookmarkStart w:id="35" w:name="第三部分"/>
      <w:bookmarkStart w:id="36"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2"/>
        <w:snapToGrid w:val="0"/>
        <w:spacing w:before="0" w:line="288" w:lineRule="auto"/>
        <w:ind w:firstLine="0" w:firstLineChars="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spacing w:line="288" w:lineRule="auto"/>
        <w:rPr>
          <w:rFonts w:ascii="仿宋" w:hAnsi="仿宋" w:eastAsia="仿宋" w:cs="仿宋"/>
          <w:sz w:val="32"/>
          <w:szCs w:val="32"/>
          <w:lang w:val="en-US"/>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pPr>
        <w:pStyle w:val="13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7"/>
    <w:p>
      <w:pPr>
        <w:pStyle w:val="32"/>
        <w:spacing w:line="288" w:lineRule="auto"/>
        <w:ind w:firstLine="726"/>
        <w:jc w:val="center"/>
        <w:rPr>
          <w:rFonts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及绍兴市人民医院官网http://www.sxrmyy.cn/）发布中标公告，中标公告期限为1个工作日。</w:t>
      </w:r>
    </w:p>
    <w:p>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288" w:lineRule="auto"/>
        <w:rPr>
          <w:rFonts w:ascii="仿宋" w:hAnsi="仿宋" w:eastAsia="仿宋" w:cs="仿宋"/>
          <w:b/>
          <w:sz w:val="32"/>
          <w:szCs w:val="32"/>
        </w:rPr>
      </w:pPr>
      <w:r>
        <w:rPr>
          <w:rFonts w:hint="eastAsia" w:ascii="仿宋" w:hAnsi="仿宋" w:eastAsia="仿宋" w:cs="仿宋"/>
          <w:b/>
          <w:bCs/>
          <w:sz w:val="24"/>
        </w:rPr>
        <w:t>1.供应商询问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bCs/>
          <w:sz w:val="24"/>
        </w:rPr>
      </w:pPr>
      <w:r>
        <w:rPr>
          <w:rFonts w:hint="eastAsia" w:ascii="仿宋" w:hAnsi="仿宋" w:eastAsia="仿宋" w:cs="仿宋"/>
          <w:b/>
          <w:bCs/>
          <w:sz w:val="24"/>
        </w:rPr>
        <w:t>2.供应商质疑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3.供应商投诉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4" w:type="first"/>
          <w:footerReference r:id="rId13" w:type="default"/>
          <w:pgSz w:w="11906" w:h="16838"/>
          <w:pgMar w:top="1440" w:right="1800" w:bottom="1440" w:left="1800"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288"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pPr>
        <w:spacing w:line="288" w:lineRule="auto"/>
        <w:ind w:right="420"/>
        <w:rPr>
          <w:rFonts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sz w:val="24"/>
          <w:highlight w:val="none"/>
        </w:rPr>
        <w:t xml:space="preserve"> 绍兴市人民医院2024年职工疗休养项目    （预算：</w:t>
      </w:r>
      <w:r>
        <w:rPr>
          <w:rFonts w:hint="eastAsia" w:ascii="仿宋" w:hAnsi="仿宋" w:eastAsia="仿宋" w:cs="仿宋"/>
          <w:bCs/>
          <w:sz w:val="24"/>
          <w:highlight w:val="none"/>
        </w:rPr>
        <w:t>2070</w:t>
      </w:r>
      <w:r>
        <w:rPr>
          <w:rFonts w:hint="eastAsia" w:ascii="仿宋" w:hAnsi="仿宋" w:eastAsia="仿宋" w:cs="仿宋"/>
          <w:b/>
          <w:bCs/>
          <w:sz w:val="24"/>
          <w:highlight w:val="none"/>
        </w:rPr>
        <w:t>万元/2年）</w:t>
      </w:r>
      <w:bookmarkStart w:id="43" w:name="_Toc7206"/>
      <w:bookmarkStart w:id="44" w:name="_Toc32678"/>
    </w:p>
    <w:bookmarkEnd w:id="43"/>
    <w:bookmarkEnd w:id="44"/>
    <w:p>
      <w:pPr>
        <w:spacing w:line="288" w:lineRule="auto"/>
        <w:jc w:val="left"/>
        <w:rPr>
          <w:rFonts w:ascii="仿宋" w:hAnsi="仿宋" w:eastAsia="仿宋" w:cs="仿宋"/>
          <w:b/>
          <w:sz w:val="24"/>
          <w:highlight w:val="none"/>
        </w:rPr>
      </w:pPr>
      <w:r>
        <w:rPr>
          <w:rFonts w:hint="eastAsia" w:ascii="仿宋" w:hAnsi="仿宋" w:eastAsia="仿宋" w:cs="仿宋"/>
          <w:b/>
          <w:sz w:val="24"/>
          <w:highlight w:val="none"/>
        </w:rPr>
        <w:t>1、采购内容</w:t>
      </w:r>
    </w:p>
    <w:tbl>
      <w:tblPr>
        <w:tblStyle w:val="6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3298"/>
        <w:gridCol w:w="1275"/>
        <w:gridCol w:w="2318"/>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vMerge w:val="restart"/>
            <w:vAlign w:val="center"/>
          </w:tcPr>
          <w:p>
            <w:pPr>
              <w:spacing w:line="288" w:lineRule="auto"/>
              <w:jc w:val="center"/>
              <w:rPr>
                <w:rFonts w:ascii="仿宋" w:hAnsi="仿宋" w:eastAsia="仿宋" w:cs="仿宋"/>
                <w:sz w:val="24"/>
                <w:highlight w:val="none"/>
              </w:rPr>
            </w:pPr>
            <w:r>
              <w:rPr>
                <w:rFonts w:hint="eastAsia" w:ascii="仿宋" w:hAnsi="仿宋" w:eastAsia="仿宋" w:cs="仿宋"/>
                <w:b/>
                <w:kern w:val="0"/>
                <w:sz w:val="24"/>
                <w:highlight w:val="none"/>
              </w:rPr>
              <w:t>序号</w:t>
            </w:r>
          </w:p>
        </w:tc>
        <w:tc>
          <w:tcPr>
            <w:tcW w:w="8080" w:type="dxa"/>
            <w:gridSpan w:val="4"/>
            <w:vAlign w:val="center"/>
          </w:tcPr>
          <w:p>
            <w:pPr>
              <w:spacing w:line="288" w:lineRule="auto"/>
              <w:jc w:val="center"/>
              <w:rPr>
                <w:rFonts w:ascii="仿宋" w:hAnsi="仿宋" w:eastAsia="仿宋" w:cs="仿宋"/>
                <w:b/>
                <w:kern w:val="0"/>
                <w:sz w:val="24"/>
                <w:highlight w:val="none"/>
              </w:rPr>
            </w:pPr>
            <w:r>
              <w:rPr>
                <w:rFonts w:ascii="仿宋" w:hAnsi="仿宋" w:eastAsia="仿宋" w:cs="仿宋"/>
                <w:b/>
                <w:kern w:val="0"/>
                <w:sz w:val="24"/>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vMerge w:val="continue"/>
          </w:tcPr>
          <w:p>
            <w:pPr>
              <w:spacing w:line="288" w:lineRule="auto"/>
              <w:jc w:val="left"/>
              <w:rPr>
                <w:rFonts w:ascii="仿宋" w:hAnsi="仿宋" w:eastAsia="仿宋" w:cs="仿宋"/>
                <w:kern w:val="0"/>
                <w:sz w:val="24"/>
                <w:highlight w:val="none"/>
              </w:rPr>
            </w:pPr>
          </w:p>
        </w:tc>
        <w:tc>
          <w:tcPr>
            <w:tcW w:w="3298"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省外</w:t>
            </w:r>
          </w:p>
        </w:tc>
        <w:tc>
          <w:tcPr>
            <w:tcW w:w="1275"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支付价格（元/人）</w:t>
            </w:r>
          </w:p>
        </w:tc>
        <w:tc>
          <w:tcPr>
            <w:tcW w:w="2318"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省</w:t>
            </w:r>
            <w:r>
              <w:rPr>
                <w:rFonts w:ascii="仿宋" w:hAnsi="仿宋" w:eastAsia="仿宋" w:cs="仿宋"/>
                <w:kern w:val="0"/>
                <w:sz w:val="24"/>
                <w:highlight w:val="none"/>
              </w:rPr>
              <w:t>内</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支付价格（元/人）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一</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福州、云顶山、平潭岛</w:t>
            </w:r>
          </w:p>
        </w:tc>
        <w:tc>
          <w:tcPr>
            <w:tcW w:w="1275"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spacing w:line="288" w:lineRule="auto"/>
              <w:rPr>
                <w:rFonts w:ascii="仿宋" w:hAnsi="仿宋" w:eastAsia="仿宋" w:cs="仿宋"/>
                <w:sz w:val="24"/>
                <w:highlight w:val="none"/>
              </w:rPr>
            </w:pPr>
            <w:r>
              <w:rPr>
                <w:rFonts w:hint="eastAsia" w:ascii="仿宋" w:hAnsi="仿宋" w:eastAsia="仿宋" w:cs="仿宋"/>
                <w:sz w:val="24"/>
                <w:highlight w:val="none"/>
              </w:rPr>
              <w:t>湖州、德清莫干山</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二</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厦门、漳州、</w:t>
            </w:r>
            <w:r>
              <w:rPr>
                <w:rFonts w:ascii="仿宋" w:hAnsi="仿宋" w:eastAsia="仿宋" w:cs="仿宋"/>
                <w:sz w:val="24"/>
                <w:highlight w:val="none"/>
              </w:rPr>
              <w:t>云水谣</w:t>
            </w:r>
            <w:r>
              <w:rPr>
                <w:rFonts w:hint="eastAsia" w:ascii="仿宋" w:hAnsi="仿宋" w:eastAsia="仿宋" w:cs="仿宋"/>
                <w:sz w:val="24"/>
                <w:highlight w:val="none"/>
              </w:rPr>
              <w:t>、火山岛</w:t>
            </w:r>
          </w:p>
        </w:tc>
        <w:tc>
          <w:tcPr>
            <w:tcW w:w="1275"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rPr>
                <w:rFonts w:ascii="仿宋" w:hAnsi="仿宋" w:eastAsia="仿宋" w:cs="仿宋"/>
                <w:sz w:val="24"/>
                <w:highlight w:val="none"/>
              </w:rPr>
            </w:pPr>
            <w:r>
              <w:rPr>
                <w:rFonts w:hint="eastAsia" w:ascii="仿宋" w:hAnsi="仿宋" w:eastAsia="仿宋" w:cs="仿宋"/>
                <w:sz w:val="24"/>
                <w:highlight w:val="none"/>
              </w:rPr>
              <w:t>温州</w:t>
            </w:r>
            <w:r>
              <w:rPr>
                <w:rFonts w:ascii="仿宋" w:hAnsi="仿宋" w:eastAsia="仿宋" w:cs="仿宋"/>
                <w:sz w:val="24"/>
                <w:highlight w:val="none"/>
              </w:rPr>
              <w:t>、洞头、楠溪江</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三</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海西州</w:t>
            </w:r>
            <w:r>
              <w:rPr>
                <w:rFonts w:ascii="仿宋" w:hAnsi="仿宋" w:eastAsia="仿宋" w:cs="仿宋"/>
                <w:sz w:val="24"/>
                <w:highlight w:val="none"/>
              </w:rPr>
              <w:t>大柴旦</w:t>
            </w:r>
            <w:r>
              <w:rPr>
                <w:rFonts w:hint="eastAsia" w:ascii="仿宋" w:hAnsi="仿宋" w:eastAsia="仿宋" w:cs="仿宋"/>
                <w:sz w:val="24"/>
                <w:highlight w:val="none"/>
              </w:rPr>
              <w:t>、青海湖</w:t>
            </w:r>
          </w:p>
        </w:tc>
        <w:tc>
          <w:tcPr>
            <w:tcW w:w="1275"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6000</w:t>
            </w:r>
          </w:p>
        </w:tc>
        <w:tc>
          <w:tcPr>
            <w:tcW w:w="2318" w:type="dxa"/>
          </w:tcPr>
          <w:p>
            <w:pPr>
              <w:rPr>
                <w:rFonts w:ascii="仿宋" w:hAnsi="仿宋" w:eastAsia="仿宋" w:cs="仿宋"/>
                <w:sz w:val="24"/>
                <w:highlight w:val="none"/>
              </w:rPr>
            </w:pPr>
            <w:r>
              <w:rPr>
                <w:rFonts w:hint="eastAsia" w:ascii="仿宋" w:hAnsi="仿宋" w:eastAsia="仿宋" w:cs="仿宋"/>
                <w:sz w:val="24"/>
                <w:highlight w:val="none"/>
              </w:rPr>
              <w:t>千岛湖</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四</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厦门鼓浪屿、土楼</w:t>
            </w:r>
          </w:p>
        </w:tc>
        <w:tc>
          <w:tcPr>
            <w:tcW w:w="1275"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rPr>
                <w:rFonts w:ascii="仿宋" w:hAnsi="仿宋" w:eastAsia="仿宋" w:cs="仿宋"/>
                <w:sz w:val="24"/>
                <w:highlight w:val="none"/>
              </w:rPr>
            </w:pPr>
            <w:r>
              <w:rPr>
                <w:rFonts w:hint="eastAsia" w:ascii="仿宋" w:hAnsi="仿宋" w:eastAsia="仿宋" w:cs="仿宋"/>
                <w:sz w:val="24"/>
                <w:highlight w:val="none"/>
              </w:rPr>
              <w:t>宁波、</w:t>
            </w:r>
            <w:r>
              <w:rPr>
                <w:rFonts w:ascii="仿宋" w:hAnsi="仿宋" w:eastAsia="仿宋" w:cs="仿宋"/>
                <w:sz w:val="24"/>
                <w:highlight w:val="none"/>
              </w:rPr>
              <w:t>象山</w:t>
            </w:r>
            <w:r>
              <w:rPr>
                <w:rFonts w:hint="eastAsia" w:ascii="仿宋" w:hAnsi="仿宋" w:eastAsia="仿宋" w:cs="仿宋"/>
                <w:sz w:val="24"/>
                <w:highlight w:val="none"/>
              </w:rPr>
              <w:t>、</w:t>
            </w:r>
            <w:r>
              <w:rPr>
                <w:rFonts w:ascii="仿宋" w:hAnsi="仿宋" w:eastAsia="仿宋" w:cs="仿宋"/>
                <w:sz w:val="24"/>
                <w:highlight w:val="none"/>
              </w:rPr>
              <w:t>石浦</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五</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太姥山、嵛山岛、霞浦</w:t>
            </w:r>
          </w:p>
        </w:tc>
        <w:tc>
          <w:tcPr>
            <w:tcW w:w="1275"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rPr>
                <w:rFonts w:ascii="仿宋" w:hAnsi="仿宋" w:eastAsia="仿宋" w:cs="仿宋"/>
                <w:sz w:val="24"/>
                <w:highlight w:val="none"/>
              </w:rPr>
            </w:pPr>
            <w:r>
              <w:rPr>
                <w:rFonts w:hint="eastAsia" w:ascii="仿宋" w:hAnsi="仿宋" w:eastAsia="仿宋" w:cs="仿宋"/>
                <w:sz w:val="24"/>
                <w:highlight w:val="none"/>
              </w:rPr>
              <w:t>太湖</w:t>
            </w:r>
            <w:r>
              <w:rPr>
                <w:rFonts w:ascii="仿宋" w:hAnsi="仿宋" w:eastAsia="仿宋" w:cs="仿宋"/>
                <w:sz w:val="24"/>
                <w:highlight w:val="none"/>
              </w:rPr>
              <w:t>龙之梦</w:t>
            </w:r>
            <w:r>
              <w:rPr>
                <w:rFonts w:hint="eastAsia" w:ascii="仿宋" w:hAnsi="仿宋" w:eastAsia="仿宋" w:cs="仿宋"/>
                <w:sz w:val="24"/>
                <w:highlight w:val="none"/>
              </w:rPr>
              <w:t>、</w:t>
            </w:r>
            <w:r>
              <w:rPr>
                <w:rFonts w:ascii="仿宋" w:hAnsi="仿宋" w:eastAsia="仿宋" w:cs="仿宋"/>
                <w:sz w:val="24"/>
                <w:highlight w:val="none"/>
              </w:rPr>
              <w:t>莫干山</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六</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江西葛</w:t>
            </w:r>
            <w:r>
              <w:rPr>
                <w:rFonts w:ascii="仿宋" w:hAnsi="仿宋" w:eastAsia="仿宋" w:cs="仿宋"/>
                <w:sz w:val="24"/>
                <w:highlight w:val="none"/>
              </w:rPr>
              <w:t>仙山</w:t>
            </w:r>
            <w:r>
              <w:rPr>
                <w:rFonts w:hint="eastAsia" w:ascii="仿宋" w:hAnsi="仿宋" w:eastAsia="仿宋" w:cs="仿宋"/>
                <w:sz w:val="24"/>
                <w:highlight w:val="none"/>
              </w:rPr>
              <w:t>、望仙谷、三清山</w:t>
            </w:r>
          </w:p>
        </w:tc>
        <w:tc>
          <w:tcPr>
            <w:tcW w:w="1275"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spacing w:line="288" w:lineRule="auto"/>
              <w:rPr>
                <w:rFonts w:ascii="仿宋" w:hAnsi="仿宋" w:eastAsia="仿宋" w:cs="仿宋"/>
                <w:sz w:val="24"/>
                <w:highlight w:val="none"/>
              </w:rPr>
            </w:pPr>
            <w:r>
              <w:rPr>
                <w:rFonts w:hint="eastAsia" w:ascii="仿宋" w:hAnsi="仿宋" w:eastAsia="仿宋" w:cs="仿宋"/>
                <w:sz w:val="24"/>
                <w:highlight w:val="none"/>
              </w:rPr>
              <w:t>舟山、岱山、秀山</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七</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泉州、漳州</w:t>
            </w:r>
          </w:p>
        </w:tc>
        <w:tc>
          <w:tcPr>
            <w:tcW w:w="1275" w:type="dxa"/>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rPr>
                <w:rFonts w:ascii="仿宋" w:hAnsi="仿宋" w:eastAsia="仿宋" w:cs="仿宋"/>
                <w:sz w:val="24"/>
                <w:highlight w:val="none"/>
              </w:rPr>
            </w:pPr>
            <w:r>
              <w:rPr>
                <w:rFonts w:hint="eastAsia" w:ascii="仿宋" w:hAnsi="仿宋" w:eastAsia="仿宋" w:cs="仿宋"/>
                <w:sz w:val="24"/>
                <w:highlight w:val="none"/>
              </w:rPr>
              <w:t>安吉</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0" w:type="dxa"/>
          </w:tcPr>
          <w:p>
            <w:pPr>
              <w:spacing w:line="288" w:lineRule="auto"/>
              <w:jc w:val="left"/>
              <w:rPr>
                <w:rFonts w:ascii="仿宋" w:hAnsi="仿宋" w:eastAsia="仿宋" w:cs="仿宋"/>
                <w:sz w:val="24"/>
                <w:highlight w:val="none"/>
              </w:rPr>
            </w:pPr>
            <w:r>
              <w:rPr>
                <w:rFonts w:hint="eastAsia" w:ascii="仿宋" w:hAnsi="仿宋" w:eastAsia="仿宋" w:cs="仿宋"/>
                <w:sz w:val="24"/>
                <w:highlight w:val="none"/>
              </w:rPr>
              <w:t>八</w:t>
            </w:r>
            <w:r>
              <w:rPr>
                <w:rFonts w:ascii="仿宋" w:hAnsi="仿宋" w:eastAsia="仿宋" w:cs="仿宋"/>
                <w:sz w:val="24"/>
                <w:highlight w:val="none"/>
              </w:rPr>
              <w:t>号</w:t>
            </w:r>
            <w:r>
              <w:rPr>
                <w:rFonts w:hint="eastAsia" w:ascii="仿宋" w:hAnsi="仿宋" w:eastAsia="仿宋" w:cs="仿宋"/>
                <w:sz w:val="24"/>
                <w:highlight w:val="none"/>
              </w:rPr>
              <w:t>线路</w:t>
            </w:r>
          </w:p>
        </w:tc>
        <w:tc>
          <w:tcPr>
            <w:tcW w:w="3298" w:type="dxa"/>
          </w:tcPr>
          <w:p>
            <w:pPr>
              <w:rPr>
                <w:rFonts w:ascii="仿宋" w:hAnsi="仿宋" w:eastAsia="仿宋" w:cs="仿宋"/>
                <w:sz w:val="24"/>
                <w:highlight w:val="none"/>
              </w:rPr>
            </w:pPr>
            <w:r>
              <w:rPr>
                <w:rFonts w:hint="eastAsia" w:ascii="仿宋" w:hAnsi="仿宋" w:eastAsia="仿宋" w:cs="仿宋"/>
                <w:sz w:val="24"/>
                <w:highlight w:val="none"/>
              </w:rPr>
              <w:t>南昌、庐山</w:t>
            </w:r>
          </w:p>
        </w:tc>
        <w:tc>
          <w:tcPr>
            <w:tcW w:w="1275"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c>
          <w:tcPr>
            <w:tcW w:w="2318" w:type="dxa"/>
          </w:tcPr>
          <w:p>
            <w:pPr>
              <w:rPr>
                <w:rFonts w:ascii="仿宋" w:hAnsi="仿宋" w:eastAsia="仿宋" w:cs="仿宋"/>
                <w:sz w:val="24"/>
                <w:highlight w:val="none"/>
              </w:rPr>
            </w:pPr>
            <w:r>
              <w:rPr>
                <w:rFonts w:hint="eastAsia" w:ascii="仿宋" w:hAnsi="仿宋" w:eastAsia="仿宋" w:cs="仿宋"/>
                <w:sz w:val="24"/>
                <w:highlight w:val="none"/>
              </w:rPr>
              <w:t>天台、</w:t>
            </w:r>
            <w:r>
              <w:rPr>
                <w:rFonts w:ascii="仿宋" w:hAnsi="仿宋" w:eastAsia="仿宋" w:cs="仿宋"/>
                <w:sz w:val="24"/>
                <w:highlight w:val="none"/>
              </w:rPr>
              <w:t>临</w:t>
            </w:r>
            <w:r>
              <w:rPr>
                <w:rFonts w:hint="eastAsia" w:ascii="仿宋" w:hAnsi="仿宋" w:eastAsia="仿宋" w:cs="仿宋"/>
                <w:sz w:val="24"/>
                <w:highlight w:val="none"/>
              </w:rPr>
              <w:t>海、仙居</w:t>
            </w:r>
          </w:p>
        </w:tc>
        <w:tc>
          <w:tcPr>
            <w:tcW w:w="1189" w:type="dxa"/>
          </w:tcPr>
          <w:p>
            <w:pPr>
              <w:spacing w:line="288"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3000</w:t>
            </w:r>
          </w:p>
        </w:tc>
      </w:tr>
    </w:tbl>
    <w:p>
      <w:pPr>
        <w:tabs>
          <w:tab w:val="left" w:pos="3870"/>
          <w:tab w:val="left" w:pos="4085"/>
        </w:tabs>
        <w:snapToGrid w:val="0"/>
        <w:spacing w:line="288" w:lineRule="auto"/>
        <w:jc w:val="left"/>
        <w:rPr>
          <w:rFonts w:hint="eastAsia" w:ascii="仿宋" w:hAnsi="仿宋" w:eastAsia="仿宋" w:cs="仿宋"/>
          <w:b/>
          <w:bCs/>
          <w:kern w:val="0"/>
          <w:sz w:val="24"/>
          <w:highlight w:val="none"/>
          <w:u w:val="single"/>
        </w:rPr>
      </w:pPr>
      <w:r>
        <w:rPr>
          <w:rFonts w:hint="eastAsia" w:ascii="仿宋" w:hAnsi="仿宋" w:eastAsia="仿宋" w:cs="仿宋"/>
          <w:b/>
          <w:bCs/>
          <w:kern w:val="0"/>
          <w:sz w:val="24"/>
          <w:highlight w:val="none"/>
          <w:u w:val="single"/>
        </w:rPr>
        <w:t>备注：1、投标单位大于等于</w:t>
      </w:r>
      <w:r>
        <w:rPr>
          <w:rFonts w:ascii="仿宋" w:hAnsi="仿宋" w:eastAsia="仿宋" w:cs="仿宋"/>
          <w:b/>
          <w:bCs/>
          <w:kern w:val="0"/>
          <w:sz w:val="24"/>
          <w:highlight w:val="none"/>
          <w:u w:val="single"/>
        </w:rPr>
        <w:t>8家</w:t>
      </w:r>
      <w:r>
        <w:rPr>
          <w:rFonts w:hint="eastAsia" w:ascii="仿宋" w:hAnsi="仿宋" w:eastAsia="仿宋" w:cs="仿宋"/>
          <w:b/>
          <w:bCs/>
          <w:kern w:val="0"/>
          <w:sz w:val="24"/>
          <w:highlight w:val="none"/>
          <w:u w:val="single"/>
        </w:rPr>
        <w:t>时</w:t>
      </w:r>
      <w:r>
        <w:rPr>
          <w:rFonts w:ascii="仿宋" w:hAnsi="仿宋" w:eastAsia="仿宋" w:cs="仿宋"/>
          <w:b/>
          <w:bCs/>
          <w:kern w:val="0"/>
          <w:sz w:val="24"/>
          <w:highlight w:val="none"/>
          <w:u w:val="single"/>
        </w:rPr>
        <w:t>，</w:t>
      </w:r>
      <w:r>
        <w:rPr>
          <w:rFonts w:hint="eastAsia" w:ascii="仿宋" w:hAnsi="仿宋" w:eastAsia="仿宋" w:cs="仿宋"/>
          <w:b/>
          <w:bCs/>
          <w:kern w:val="0"/>
          <w:sz w:val="24"/>
          <w:highlight w:val="none"/>
          <w:u w:val="single"/>
        </w:rPr>
        <w:t>依照得分</w:t>
      </w:r>
      <w:r>
        <w:rPr>
          <w:rFonts w:ascii="仿宋" w:hAnsi="仿宋" w:eastAsia="仿宋" w:cs="仿宋"/>
          <w:b/>
          <w:bCs/>
          <w:kern w:val="0"/>
          <w:sz w:val="24"/>
          <w:highlight w:val="none"/>
          <w:u w:val="single"/>
        </w:rPr>
        <w:t>高低</w:t>
      </w:r>
      <w:r>
        <w:rPr>
          <w:rFonts w:hint="eastAsia" w:ascii="仿宋" w:hAnsi="仿宋" w:eastAsia="仿宋" w:cs="仿宋"/>
          <w:b/>
          <w:bCs/>
          <w:kern w:val="0"/>
          <w:sz w:val="24"/>
          <w:highlight w:val="none"/>
          <w:u w:val="single"/>
        </w:rPr>
        <w:t>，符合</w:t>
      </w:r>
      <w:r>
        <w:rPr>
          <w:rFonts w:ascii="仿宋" w:hAnsi="仿宋" w:eastAsia="仿宋" w:cs="仿宋"/>
          <w:b/>
          <w:bCs/>
          <w:kern w:val="0"/>
          <w:sz w:val="24"/>
          <w:highlight w:val="none"/>
          <w:u w:val="single"/>
        </w:rPr>
        <w:t>条件</w:t>
      </w:r>
      <w:r>
        <w:rPr>
          <w:rFonts w:hint="eastAsia" w:ascii="仿宋" w:hAnsi="仿宋" w:eastAsia="仿宋" w:cs="仿宋"/>
          <w:b/>
          <w:bCs/>
          <w:kern w:val="0"/>
          <w:sz w:val="24"/>
          <w:highlight w:val="none"/>
          <w:u w:val="single"/>
        </w:rPr>
        <w:t>的前八家为入围单位。按得分从高到低的顺序，由入围单位现场依次自主选择线路。当</w:t>
      </w:r>
      <w:r>
        <w:rPr>
          <w:rFonts w:ascii="仿宋" w:hAnsi="仿宋" w:eastAsia="仿宋" w:cs="仿宋"/>
          <w:b/>
          <w:bCs/>
          <w:kern w:val="0"/>
          <w:sz w:val="24"/>
          <w:highlight w:val="none"/>
          <w:u w:val="single"/>
        </w:rPr>
        <w:t>投标人</w:t>
      </w:r>
      <w:r>
        <w:rPr>
          <w:rFonts w:hint="eastAsia" w:ascii="仿宋" w:hAnsi="仿宋" w:eastAsia="仿宋" w:cs="仿宋"/>
          <w:b/>
          <w:bCs/>
          <w:kern w:val="0"/>
          <w:sz w:val="24"/>
          <w:highlight w:val="none"/>
          <w:u w:val="single"/>
        </w:rPr>
        <w:t>小于8家</w:t>
      </w:r>
      <w:r>
        <w:rPr>
          <w:rFonts w:ascii="仿宋" w:hAnsi="仿宋" w:eastAsia="仿宋" w:cs="仿宋"/>
          <w:b/>
          <w:bCs/>
          <w:kern w:val="0"/>
          <w:sz w:val="24"/>
          <w:highlight w:val="none"/>
          <w:u w:val="single"/>
        </w:rPr>
        <w:t>时，</w:t>
      </w:r>
      <w:r>
        <w:rPr>
          <w:rFonts w:hint="eastAsia" w:ascii="仿宋" w:hAnsi="仿宋" w:eastAsia="仿宋" w:cs="仿宋"/>
          <w:b/>
          <w:bCs/>
          <w:kern w:val="0"/>
          <w:sz w:val="24"/>
          <w:highlight w:val="none"/>
          <w:u w:val="single"/>
        </w:rPr>
        <w:t>全部入围，按</w:t>
      </w:r>
      <w:r>
        <w:rPr>
          <w:rFonts w:ascii="仿宋" w:hAnsi="仿宋" w:eastAsia="仿宋" w:cs="仿宋"/>
          <w:b/>
          <w:bCs/>
          <w:kern w:val="0"/>
          <w:sz w:val="24"/>
          <w:highlight w:val="none"/>
          <w:u w:val="single"/>
        </w:rPr>
        <w:t>得分高低</w:t>
      </w:r>
      <w:r>
        <w:rPr>
          <w:rFonts w:hint="eastAsia" w:ascii="仿宋" w:hAnsi="仿宋" w:eastAsia="仿宋" w:cs="仿宋"/>
          <w:b/>
          <w:bCs/>
          <w:kern w:val="0"/>
          <w:sz w:val="24"/>
          <w:highlight w:val="none"/>
          <w:u w:val="single"/>
        </w:rPr>
        <w:t>由入围</w:t>
      </w:r>
      <w:r>
        <w:rPr>
          <w:rFonts w:ascii="仿宋" w:hAnsi="仿宋" w:eastAsia="仿宋" w:cs="仿宋"/>
          <w:b/>
          <w:bCs/>
          <w:kern w:val="0"/>
          <w:sz w:val="24"/>
          <w:highlight w:val="none"/>
          <w:u w:val="single"/>
        </w:rPr>
        <w:t>单位依次</w:t>
      </w:r>
      <w:r>
        <w:rPr>
          <w:rFonts w:hint="eastAsia" w:ascii="仿宋" w:hAnsi="仿宋" w:eastAsia="仿宋" w:cs="仿宋"/>
          <w:b/>
          <w:bCs/>
          <w:kern w:val="0"/>
          <w:sz w:val="24"/>
          <w:highlight w:val="none"/>
          <w:u w:val="single"/>
        </w:rPr>
        <w:t>每次选择1类线路，</w:t>
      </w:r>
      <w:r>
        <w:rPr>
          <w:rFonts w:ascii="仿宋" w:hAnsi="仿宋" w:eastAsia="仿宋" w:cs="仿宋"/>
          <w:b/>
          <w:bCs/>
          <w:kern w:val="0"/>
          <w:sz w:val="24"/>
          <w:highlight w:val="none"/>
          <w:u w:val="single"/>
        </w:rPr>
        <w:t>直</w:t>
      </w:r>
      <w:r>
        <w:rPr>
          <w:rFonts w:hint="eastAsia" w:ascii="仿宋" w:hAnsi="仿宋" w:eastAsia="仿宋" w:cs="仿宋"/>
          <w:b/>
          <w:bCs/>
          <w:kern w:val="0"/>
          <w:sz w:val="24"/>
          <w:highlight w:val="none"/>
          <w:u w:val="single"/>
        </w:rPr>
        <w:t>至所有</w:t>
      </w:r>
      <w:r>
        <w:rPr>
          <w:rFonts w:ascii="仿宋" w:hAnsi="仿宋" w:eastAsia="仿宋" w:cs="仿宋"/>
          <w:b/>
          <w:bCs/>
          <w:kern w:val="0"/>
          <w:sz w:val="24"/>
          <w:highlight w:val="none"/>
          <w:u w:val="single"/>
        </w:rPr>
        <w:t>线路</w:t>
      </w:r>
      <w:r>
        <w:rPr>
          <w:rFonts w:hint="eastAsia" w:ascii="仿宋" w:hAnsi="仿宋" w:eastAsia="仿宋" w:cs="仿宋"/>
          <w:b/>
          <w:bCs/>
          <w:kern w:val="0"/>
          <w:sz w:val="24"/>
          <w:highlight w:val="none"/>
          <w:u w:val="single"/>
        </w:rPr>
        <w:t>选择</w:t>
      </w:r>
      <w:r>
        <w:rPr>
          <w:rFonts w:ascii="仿宋" w:hAnsi="仿宋" w:eastAsia="仿宋" w:cs="仿宋"/>
          <w:b/>
          <w:bCs/>
          <w:kern w:val="0"/>
          <w:sz w:val="24"/>
          <w:highlight w:val="none"/>
          <w:u w:val="single"/>
        </w:rPr>
        <w:t>完毕。</w:t>
      </w:r>
    </w:p>
    <w:p>
      <w:pPr>
        <w:tabs>
          <w:tab w:val="left" w:pos="3870"/>
          <w:tab w:val="left" w:pos="4085"/>
        </w:tabs>
        <w:snapToGrid w:val="0"/>
        <w:spacing w:line="288" w:lineRule="auto"/>
        <w:ind w:firstLine="590" w:firstLineChars="245"/>
        <w:jc w:val="left"/>
        <w:rPr>
          <w:rFonts w:ascii="仿宋" w:hAnsi="仿宋" w:eastAsia="仿宋" w:cs="仿宋"/>
          <w:sz w:val="24"/>
          <w:highlight w:val="none"/>
        </w:rPr>
      </w:pPr>
      <w:r>
        <w:rPr>
          <w:rFonts w:hint="eastAsia" w:ascii="仿宋" w:hAnsi="仿宋" w:eastAsia="仿宋" w:cs="仿宋"/>
          <w:b/>
          <w:bCs/>
          <w:kern w:val="0"/>
          <w:sz w:val="24"/>
          <w:highlight w:val="none"/>
          <w:u w:val="single"/>
        </w:rPr>
        <w:t>2、投标人应当在投标文件中提供除</w:t>
      </w:r>
      <w:r>
        <w:rPr>
          <w:rFonts w:ascii="仿宋" w:hAnsi="仿宋" w:eastAsia="仿宋" w:cs="仿宋"/>
          <w:b/>
          <w:bCs/>
          <w:kern w:val="0"/>
          <w:sz w:val="24"/>
          <w:highlight w:val="none"/>
          <w:u w:val="single"/>
        </w:rPr>
        <w:t>指定线路</w:t>
      </w:r>
      <w:r>
        <w:rPr>
          <w:rFonts w:hint="eastAsia" w:ascii="仿宋" w:hAnsi="仿宋" w:eastAsia="仿宋" w:cs="仿宋"/>
          <w:b/>
          <w:bCs/>
          <w:kern w:val="0"/>
          <w:sz w:val="24"/>
          <w:highlight w:val="none"/>
          <w:u w:val="single"/>
        </w:rPr>
        <w:t>（一号线路）</w:t>
      </w:r>
      <w:r>
        <w:rPr>
          <w:rFonts w:ascii="仿宋" w:hAnsi="仿宋" w:eastAsia="仿宋" w:cs="仿宋"/>
          <w:b/>
          <w:bCs/>
          <w:kern w:val="0"/>
          <w:sz w:val="24"/>
          <w:highlight w:val="none"/>
          <w:u w:val="single"/>
        </w:rPr>
        <w:t>外</w:t>
      </w:r>
      <w:r>
        <w:rPr>
          <w:rFonts w:hint="eastAsia" w:ascii="仿宋" w:hAnsi="仿宋" w:eastAsia="仿宋" w:cs="仿宋"/>
          <w:b/>
          <w:bCs/>
          <w:kern w:val="0"/>
          <w:sz w:val="24"/>
          <w:highlight w:val="none"/>
          <w:u w:val="single"/>
        </w:rPr>
        <w:t>其余七</w:t>
      </w:r>
      <w:r>
        <w:rPr>
          <w:rFonts w:ascii="仿宋" w:hAnsi="仿宋" w:eastAsia="仿宋" w:cs="仿宋"/>
          <w:b/>
          <w:bCs/>
          <w:kern w:val="0"/>
          <w:sz w:val="24"/>
          <w:highlight w:val="none"/>
          <w:u w:val="single"/>
        </w:rPr>
        <w:t>类</w:t>
      </w:r>
      <w:r>
        <w:rPr>
          <w:rFonts w:hint="eastAsia" w:ascii="仿宋" w:hAnsi="仿宋" w:eastAsia="仿宋" w:cs="仿宋"/>
          <w:b/>
          <w:bCs/>
          <w:kern w:val="0"/>
          <w:sz w:val="24"/>
          <w:highlight w:val="none"/>
          <w:u w:val="single"/>
        </w:rPr>
        <w:t>线路的详细出行方案（含行程安排、餐饮、住宿、车辆等，内容参照指定线路），要求提供的服务标准不低于指定</w:t>
      </w:r>
      <w:r>
        <w:rPr>
          <w:rFonts w:ascii="仿宋" w:hAnsi="仿宋" w:eastAsia="仿宋" w:cs="仿宋"/>
          <w:b/>
          <w:bCs/>
          <w:kern w:val="0"/>
          <w:sz w:val="24"/>
          <w:highlight w:val="none"/>
          <w:u w:val="single"/>
        </w:rPr>
        <w:t>线路</w:t>
      </w:r>
      <w:r>
        <w:rPr>
          <w:rFonts w:hint="eastAsia" w:ascii="仿宋" w:hAnsi="仿宋" w:eastAsia="仿宋" w:cs="仿宋"/>
          <w:b/>
          <w:bCs/>
          <w:kern w:val="0"/>
          <w:sz w:val="24"/>
          <w:highlight w:val="none"/>
          <w:u w:val="single"/>
        </w:rPr>
        <w:t>（一号线路）的标准，否则按无效标处理。入围</w:t>
      </w:r>
      <w:r>
        <w:rPr>
          <w:rFonts w:ascii="仿宋" w:hAnsi="仿宋" w:eastAsia="仿宋" w:cs="仿宋"/>
          <w:b/>
          <w:bCs/>
          <w:kern w:val="0"/>
          <w:sz w:val="24"/>
          <w:highlight w:val="none"/>
          <w:u w:val="single"/>
        </w:rPr>
        <w:t>单位选</w:t>
      </w:r>
      <w:r>
        <w:rPr>
          <w:rFonts w:hint="eastAsia" w:ascii="仿宋" w:hAnsi="仿宋" w:eastAsia="仿宋" w:cs="仿宋"/>
          <w:b/>
          <w:bCs/>
          <w:kern w:val="0"/>
          <w:sz w:val="24"/>
          <w:highlight w:val="none"/>
          <w:u w:val="single"/>
        </w:rPr>
        <w:t>取</w:t>
      </w:r>
      <w:r>
        <w:rPr>
          <w:rFonts w:ascii="仿宋" w:hAnsi="仿宋" w:eastAsia="仿宋" w:cs="仿宋"/>
          <w:b/>
          <w:bCs/>
          <w:kern w:val="0"/>
          <w:sz w:val="24"/>
          <w:highlight w:val="none"/>
          <w:u w:val="single"/>
        </w:rPr>
        <w:t>线路后，评委现场审核</w:t>
      </w:r>
      <w:r>
        <w:rPr>
          <w:rFonts w:hint="eastAsia" w:ascii="仿宋" w:hAnsi="仿宋" w:eastAsia="仿宋" w:cs="仿宋"/>
          <w:b/>
          <w:bCs/>
          <w:kern w:val="0"/>
          <w:sz w:val="24"/>
          <w:highlight w:val="none"/>
          <w:u w:val="single"/>
        </w:rPr>
        <w:t>该</w:t>
      </w:r>
      <w:r>
        <w:rPr>
          <w:rFonts w:ascii="仿宋" w:hAnsi="仿宋" w:eastAsia="仿宋" w:cs="仿宋"/>
          <w:b/>
          <w:bCs/>
          <w:kern w:val="0"/>
          <w:sz w:val="24"/>
          <w:highlight w:val="none"/>
          <w:u w:val="single"/>
        </w:rPr>
        <w:t>线路</w:t>
      </w:r>
      <w:r>
        <w:rPr>
          <w:rFonts w:hint="eastAsia" w:ascii="仿宋" w:hAnsi="仿宋" w:eastAsia="仿宋" w:cs="仿宋"/>
          <w:b/>
          <w:bCs/>
          <w:kern w:val="0"/>
          <w:sz w:val="24"/>
          <w:highlight w:val="none"/>
          <w:u w:val="single"/>
        </w:rPr>
        <w:t>方案</w:t>
      </w:r>
      <w:r>
        <w:rPr>
          <w:rFonts w:ascii="仿宋" w:hAnsi="仿宋" w:eastAsia="仿宋" w:cs="仿宋"/>
          <w:b/>
          <w:bCs/>
          <w:kern w:val="0"/>
          <w:sz w:val="24"/>
          <w:highlight w:val="none"/>
          <w:u w:val="single"/>
        </w:rPr>
        <w:t>是否符合要求。</w:t>
      </w:r>
      <w:r>
        <w:rPr>
          <w:rFonts w:hint="eastAsia" w:ascii="仿宋" w:hAnsi="仿宋" w:eastAsia="仿宋" w:cs="仿宋"/>
          <w:b/>
          <w:bCs/>
          <w:kern w:val="0"/>
          <w:sz w:val="24"/>
          <w:highlight w:val="none"/>
          <w:u w:val="single"/>
        </w:rPr>
        <w:t>如不符合</w:t>
      </w:r>
      <w:r>
        <w:rPr>
          <w:rFonts w:ascii="仿宋" w:hAnsi="仿宋" w:eastAsia="仿宋" w:cs="仿宋"/>
          <w:b/>
          <w:bCs/>
          <w:kern w:val="0"/>
          <w:sz w:val="24"/>
          <w:highlight w:val="none"/>
          <w:u w:val="single"/>
        </w:rPr>
        <w:t>，</w:t>
      </w:r>
      <w:r>
        <w:rPr>
          <w:rFonts w:hint="eastAsia" w:ascii="仿宋" w:hAnsi="仿宋" w:eastAsia="仿宋" w:cs="仿宋"/>
          <w:b/>
          <w:bCs/>
          <w:kern w:val="0"/>
          <w:sz w:val="24"/>
          <w:highlight w:val="none"/>
          <w:u w:val="single"/>
        </w:rPr>
        <w:t>取消其入围</w:t>
      </w:r>
      <w:r>
        <w:rPr>
          <w:rFonts w:ascii="仿宋" w:hAnsi="仿宋" w:eastAsia="仿宋" w:cs="仿宋"/>
          <w:b/>
          <w:bCs/>
          <w:kern w:val="0"/>
          <w:sz w:val="24"/>
          <w:highlight w:val="none"/>
          <w:u w:val="single"/>
        </w:rPr>
        <w:t>资格。</w:t>
      </w:r>
      <w:r>
        <w:rPr>
          <w:rFonts w:hint="eastAsia" w:ascii="仿宋" w:hAnsi="仿宋" w:eastAsia="仿宋" w:cs="仿宋"/>
          <w:b/>
          <w:bCs/>
          <w:kern w:val="0"/>
          <w:sz w:val="24"/>
          <w:highlight w:val="none"/>
          <w:u w:val="single"/>
        </w:rPr>
        <w:t>其余入围单位按得分高低依次继续选择，</w:t>
      </w:r>
      <w:r>
        <w:rPr>
          <w:rFonts w:ascii="仿宋" w:hAnsi="仿宋" w:eastAsia="仿宋" w:cs="仿宋"/>
          <w:b/>
          <w:bCs/>
          <w:kern w:val="0"/>
          <w:sz w:val="24"/>
          <w:highlight w:val="none"/>
          <w:u w:val="single"/>
        </w:rPr>
        <w:t>直至所有线路选择完毕。</w:t>
      </w:r>
      <w:r>
        <w:rPr>
          <w:rFonts w:hint="eastAsia" w:ascii="仿宋" w:hAnsi="仿宋" w:eastAsia="仿宋" w:cs="仿宋"/>
          <w:b/>
          <w:bCs/>
          <w:kern w:val="0"/>
          <w:sz w:val="24"/>
          <w:highlight w:val="none"/>
          <w:u w:val="single"/>
        </w:rPr>
        <w:t>入围单位现场不得放弃，否则视情节报告给相关部门。</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1、项目要求</w:t>
      </w:r>
    </w:p>
    <w:p>
      <w:pPr>
        <w:pStyle w:val="19"/>
        <w:spacing w:line="288" w:lineRule="auto"/>
        <w:ind w:firstLine="482" w:firstLineChars="200"/>
        <w:rPr>
          <w:rFonts w:ascii="仿宋" w:hAnsi="仿宋" w:eastAsia="仿宋" w:cs="仿宋"/>
          <w:b/>
          <w:bCs/>
          <w:kern w:val="0"/>
          <w:sz w:val="24"/>
        </w:rPr>
      </w:pPr>
      <w:r>
        <w:rPr>
          <w:rFonts w:ascii="仿宋" w:hAnsi="仿宋" w:eastAsia="仿宋" w:cs="仿宋"/>
          <w:b/>
          <w:bCs/>
          <w:kern w:val="0"/>
          <w:sz w:val="24"/>
        </w:rPr>
        <w:t>项目要求条款属于必备条款，投标人均须响应。</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合同期：2年（期间招标人组织职工进行满意度测评，如服务质量或出行安全不符合招标人要求，可与供应商解除合同），每</w:t>
      </w:r>
      <w:r>
        <w:rPr>
          <w:rFonts w:hint="eastAsia" w:ascii="仿宋" w:hAnsi="仿宋" w:eastAsia="仿宋" w:cs="仿宋"/>
          <w:kern w:val="0"/>
          <w:sz w:val="24"/>
        </w:rPr>
        <w:t>类线路</w:t>
      </w:r>
      <w:r>
        <w:rPr>
          <w:rFonts w:ascii="仿宋" w:hAnsi="仿宋" w:eastAsia="仿宋" w:cs="仿宋"/>
          <w:kern w:val="0"/>
          <w:sz w:val="24"/>
        </w:rPr>
        <w:t>的</w:t>
      </w:r>
      <w:r>
        <w:rPr>
          <w:rFonts w:hint="eastAsia" w:ascii="仿宋" w:hAnsi="仿宋" w:eastAsia="仿宋" w:cs="仿宋"/>
          <w:kern w:val="0"/>
          <w:sz w:val="24"/>
        </w:rPr>
        <w:t>出行人数</w:t>
      </w:r>
      <w:r>
        <w:rPr>
          <w:rFonts w:ascii="仿宋" w:hAnsi="仿宋" w:eastAsia="仿宋" w:cs="仿宋"/>
          <w:kern w:val="0"/>
          <w:sz w:val="24"/>
        </w:rPr>
        <w:t>以职工自由选择且按实际出行为准，按实结算。</w:t>
      </w:r>
    </w:p>
    <w:p>
      <w:pPr>
        <w:pStyle w:val="19"/>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1.1</w:t>
      </w:r>
      <w:r>
        <w:rPr>
          <w:rFonts w:ascii="仿宋" w:hAnsi="仿宋" w:eastAsia="仿宋" w:cs="仿宋"/>
          <w:kern w:val="0"/>
          <w:sz w:val="24"/>
        </w:rPr>
        <w:t>本项目分为八类线路，每类各含两条出行路线，一条为省外路线，一条为省内路线。每条路线出行人数以职工自由选择为准。如遇政策性调整</w:t>
      </w:r>
      <w:r>
        <w:rPr>
          <w:rFonts w:hint="eastAsia" w:ascii="仿宋" w:hAnsi="仿宋" w:eastAsia="仿宋" w:cs="仿宋"/>
          <w:kern w:val="0"/>
          <w:sz w:val="24"/>
        </w:rPr>
        <w:t>，</w:t>
      </w:r>
      <w:r>
        <w:rPr>
          <w:rFonts w:ascii="仿宋" w:hAnsi="仿宋" w:eastAsia="仿宋" w:cs="仿宋"/>
          <w:kern w:val="0"/>
          <w:sz w:val="24"/>
        </w:rPr>
        <w:t>招标人有权按照最新政策</w:t>
      </w:r>
      <w:r>
        <w:rPr>
          <w:rFonts w:hint="eastAsia" w:ascii="仿宋" w:hAnsi="仿宋" w:eastAsia="仿宋" w:cs="仿宋"/>
          <w:kern w:val="0"/>
          <w:sz w:val="24"/>
        </w:rPr>
        <w:t>进行</w:t>
      </w:r>
      <w:r>
        <w:rPr>
          <w:rFonts w:ascii="仿宋" w:hAnsi="仿宋" w:eastAsia="仿宋" w:cs="仿宋"/>
          <w:kern w:val="0"/>
          <w:sz w:val="24"/>
        </w:rPr>
        <w:t>调整</w:t>
      </w:r>
      <w:r>
        <w:rPr>
          <w:rFonts w:hint="eastAsia" w:ascii="仿宋" w:hAnsi="仿宋" w:eastAsia="仿宋" w:cs="仿宋"/>
          <w:kern w:val="0"/>
          <w:sz w:val="24"/>
        </w:rPr>
        <w:t>，如遇</w:t>
      </w:r>
      <w:r>
        <w:rPr>
          <w:rFonts w:ascii="仿宋" w:hAnsi="仿宋" w:eastAsia="仿宋" w:cs="仿宋"/>
          <w:kern w:val="0"/>
          <w:sz w:val="24"/>
        </w:rPr>
        <w:t>出行人数不足20人等不确定因素，招标人有权终止</w:t>
      </w:r>
      <w:r>
        <w:rPr>
          <w:rFonts w:hint="eastAsia" w:ascii="仿宋" w:hAnsi="仿宋" w:eastAsia="仿宋" w:cs="仿宋"/>
          <w:kern w:val="0"/>
          <w:sz w:val="24"/>
        </w:rPr>
        <w:t>本次线路的出行</w:t>
      </w:r>
      <w:r>
        <w:rPr>
          <w:rFonts w:ascii="仿宋" w:hAnsi="仿宋" w:eastAsia="仿宋" w:cs="仿宋"/>
          <w:kern w:val="0"/>
          <w:sz w:val="24"/>
        </w:rPr>
        <w:t>，投标人需自行承担无法出行带来的风险和损失，招标人不支付任何补偿费用。</w:t>
      </w:r>
    </w:p>
    <w:p>
      <w:pPr>
        <w:pStyle w:val="19"/>
        <w:spacing w:line="288" w:lineRule="auto"/>
        <w:rPr>
          <w:rFonts w:ascii="仿宋" w:hAnsi="仿宋" w:eastAsia="仿宋" w:cs="仿宋"/>
          <w:kern w:val="0"/>
          <w:sz w:val="24"/>
        </w:rPr>
      </w:pPr>
      <w:r>
        <w:rPr>
          <w:rFonts w:ascii="仿宋" w:hAnsi="仿宋" w:eastAsia="仿宋" w:cs="仿宋"/>
          <w:kern w:val="0"/>
          <w:sz w:val="24"/>
        </w:rPr>
        <w:t>1.2 疗休养出行具体时间、批次、总人数</w:t>
      </w:r>
      <w:r>
        <w:rPr>
          <w:rFonts w:hint="eastAsia" w:ascii="仿宋" w:hAnsi="仿宋" w:eastAsia="仿宋" w:cs="仿宋"/>
          <w:kern w:val="0"/>
          <w:sz w:val="24"/>
        </w:rPr>
        <w:t>，</w:t>
      </w:r>
      <w:r>
        <w:rPr>
          <w:rFonts w:ascii="仿宋" w:hAnsi="仿宋" w:eastAsia="仿宋" w:cs="仿宋"/>
          <w:kern w:val="0"/>
          <w:sz w:val="24"/>
        </w:rPr>
        <w:t>根据招标人单位工作实际需求而定（暂定为20-50人/车次）；</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1.3行程规格及服务要求：</w:t>
      </w:r>
      <w:r>
        <w:rPr>
          <w:rFonts w:ascii="仿宋" w:hAnsi="仿宋" w:eastAsia="仿宋" w:cs="仿宋"/>
          <w:kern w:val="0"/>
          <w:sz w:val="24"/>
        </w:rPr>
        <w:tab/>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1.3.1住宿：四星或四钻（含）以上酒店双标房（必须含早餐），设施完好，卫生、舒畅。如当地无四星酒店可适当降低标准。</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注：宾馆选择必须符合疗休养目的，不能选择位置偏远且交通不便的地方；若团队中出现单男单女，个人不补住房差价，由中标供应商安排并承担；个人要求单住房，需要补交个人房差价；</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1.3.2交通：采用高铁或空调旅游车、飞机出行。从招标人单位至高铁站点或飞机场的来回，供应商提供空调旅游车来回接送，其余路线全程豪华空调旅游车（车辆需运营3年内客车，配5年以上大客车驾龄且无重大安全事故司机，司机服务态度好）,并负责景区内所有交通及必要水上交通工具等（一人一座，根据实际人数决定所乘车辆类型；车况好，车位充足，空调效果好，司机服务态度好、技术好，确保行程安全）；若是高铁前往的，提供的座位须为二等座位票以上（含）。投标人的方案应对此作出承诺，并预备不同人数团队的适配车型，出行前并应获得招标人认可；团队出发前需提供高铁车票、旅游车辆及驾驶员信息；报团出行人按</w:t>
      </w:r>
      <w:r>
        <w:rPr>
          <w:rFonts w:hint="eastAsia" w:ascii="仿宋" w:hAnsi="仿宋" w:eastAsia="仿宋" w:cs="仿宋"/>
          <w:kern w:val="0"/>
          <w:sz w:val="24"/>
        </w:rPr>
        <w:t>中标人</w:t>
      </w:r>
      <w:r>
        <w:rPr>
          <w:rFonts w:ascii="仿宋" w:hAnsi="仿宋" w:eastAsia="仿宋" w:cs="仿宋"/>
          <w:kern w:val="0"/>
          <w:sz w:val="24"/>
        </w:rPr>
        <w:t>要求提</w:t>
      </w:r>
      <w:r>
        <w:rPr>
          <w:rFonts w:hint="eastAsia" w:ascii="仿宋" w:hAnsi="仿宋" w:eastAsia="仿宋" w:cs="仿宋"/>
          <w:kern w:val="0"/>
          <w:sz w:val="24"/>
        </w:rPr>
        <w:t>前</w:t>
      </w:r>
      <w:r>
        <w:rPr>
          <w:rFonts w:ascii="仿宋" w:hAnsi="仿宋" w:eastAsia="仿宋" w:cs="仿宋"/>
          <w:kern w:val="0"/>
          <w:sz w:val="24"/>
        </w:rPr>
        <w:t>提供相关身份证信息，以供购买高铁车票。</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注：所提供旅游车辆商业保险必须是在有效期内。</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1.3.3门票：包含景区内所有景点门票及景区内收费项目。</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1.3.4用餐：中餐不低于40元/人标准、晚餐不低于60元/人标准，以及宾馆提供的免费标准早餐；食物要求新鲜、安全。要求同批次每餐菜品多样，不雷同。餐厅交通便利，环境较好。</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注：投标文件内需详细说明每桌几人，人数不到一桌怎么处理等方案；</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1.3.5 导游：导游全程陪同，当地四星级及以上旅行社地接社的专业导游讲解服务（无小费）；承诺为本项目提供的导游不得少于3人</w:t>
      </w:r>
      <w:r>
        <w:rPr>
          <w:rFonts w:hint="eastAsia" w:ascii="仿宋" w:hAnsi="仿宋" w:eastAsia="仿宋" w:cs="仿宋"/>
          <w:kern w:val="0"/>
          <w:sz w:val="24"/>
        </w:rPr>
        <w:t>。</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1.3.6保险：承诺为每位出行的疗休养员工购买不低于100万的人身意外险，否则按无效标处理。生效时间为出行当日0:00，失效时间为返回当日24:00。</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1.3.7行程安排要求：投标人编制的疗休养线路及行程安排原则上以休闲为主，环境优、空气好，利于职工放松身心。地导不宣传其他景点，无自费项目。不可安排购物点及强制性消费项目。</w:t>
      </w:r>
    </w:p>
    <w:p>
      <w:pPr>
        <w:pStyle w:val="19"/>
        <w:spacing w:line="288" w:lineRule="auto"/>
        <w:ind w:firstLine="482" w:firstLineChars="200"/>
        <w:rPr>
          <w:rFonts w:ascii="仿宋" w:hAnsi="仿宋" w:eastAsia="仿宋" w:cs="仿宋"/>
          <w:b/>
          <w:bCs/>
          <w:kern w:val="0"/>
          <w:sz w:val="24"/>
        </w:rPr>
      </w:pPr>
      <w:r>
        <w:rPr>
          <w:rFonts w:ascii="仿宋" w:hAnsi="仿宋" w:eastAsia="仿宋" w:cs="仿宋"/>
          <w:b/>
          <w:bCs/>
          <w:kern w:val="0"/>
          <w:sz w:val="24"/>
        </w:rPr>
        <w:t>2.其他说明：</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2.1供应商需指定一名经验丰富、协调能力强的项目负责人，一旦中标不得随意更换。主要职责如下：</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w:t>
      </w:r>
      <w:r>
        <w:rPr>
          <w:rFonts w:ascii="仿宋" w:hAnsi="仿宋" w:eastAsia="仿宋" w:cs="仿宋"/>
          <w:kern w:val="0"/>
          <w:sz w:val="24"/>
        </w:rPr>
        <w:tab/>
      </w:r>
      <w:r>
        <w:rPr>
          <w:rFonts w:ascii="仿宋" w:hAnsi="仿宋" w:eastAsia="仿宋" w:cs="仿宋"/>
          <w:kern w:val="0"/>
          <w:sz w:val="24"/>
        </w:rPr>
        <w:t>与采购人对接疗休养事宜；</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w:t>
      </w:r>
      <w:r>
        <w:rPr>
          <w:rFonts w:ascii="仿宋" w:hAnsi="仿宋" w:eastAsia="仿宋" w:cs="仿宋"/>
          <w:kern w:val="0"/>
          <w:sz w:val="24"/>
        </w:rPr>
        <w:tab/>
      </w:r>
      <w:r>
        <w:rPr>
          <w:rFonts w:ascii="仿宋" w:hAnsi="仿宋" w:eastAsia="仿宋" w:cs="仿宋"/>
          <w:kern w:val="0"/>
          <w:sz w:val="24"/>
        </w:rPr>
        <w:t>合理安排每批次出行时间、车辆调度；</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3)</w:t>
      </w:r>
      <w:r>
        <w:rPr>
          <w:rFonts w:ascii="仿宋" w:hAnsi="仿宋" w:eastAsia="仿宋" w:cs="仿宋"/>
          <w:kern w:val="0"/>
          <w:sz w:val="24"/>
        </w:rPr>
        <w:tab/>
      </w:r>
      <w:r>
        <w:rPr>
          <w:rFonts w:ascii="仿宋" w:hAnsi="仿宋" w:eastAsia="仿宋" w:cs="仿宋"/>
          <w:kern w:val="0"/>
          <w:sz w:val="24"/>
        </w:rPr>
        <w:t>合理安排有资深经验的导游和驾驶员服务团队；</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4)</w:t>
      </w:r>
      <w:r>
        <w:rPr>
          <w:rFonts w:ascii="仿宋" w:hAnsi="仿宋" w:eastAsia="仿宋" w:cs="仿宋"/>
          <w:kern w:val="0"/>
          <w:sz w:val="24"/>
        </w:rPr>
        <w:tab/>
      </w:r>
      <w:r>
        <w:rPr>
          <w:rFonts w:ascii="仿宋" w:hAnsi="仿宋" w:eastAsia="仿宋" w:cs="仿宋"/>
          <w:kern w:val="0"/>
          <w:sz w:val="24"/>
        </w:rPr>
        <w:t>及时协调、处理遇到的突发事件。</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2.2投标人需针对疗休养期间可能涉及的疫情防控、自然灾害、疾病、交通突发状况等情形，在投标文件中出具以下应急预案，各预案应全面完整且合理可行：</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1）疫情防控应急预案；</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2）自然灾害应急预案；</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3）疾病应急预案；</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4）交通突发状况应急预案</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2.3中标单位必须出具正规统一税务发票（开票单位与中标单位名称一致）。发票项目为疗休养费。中标单位跟招标人确定线路和行程后不得随意改动（经双方协商一致的除外），要按照方案要求提供优质服务，否则视为违约，招标人有权延期付款或拒付；</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2.4因天气及路况出现问题而要改变出行时间、行程的，要双方协商解决；</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2.5中标人必须直接管理服务，不得转包、分包或代替，如遇发现，取消中标资格；</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2.6投标人（旅行社）2021年至今无重大投诉、</w:t>
      </w:r>
      <w:r>
        <w:rPr>
          <w:rFonts w:hint="eastAsia" w:ascii="仿宋" w:hAnsi="仿宋" w:eastAsia="仿宋" w:cs="仿宋"/>
          <w:kern w:val="0"/>
          <w:sz w:val="24"/>
        </w:rPr>
        <w:t>重大</w:t>
      </w:r>
      <w:r>
        <w:rPr>
          <w:rFonts w:ascii="仿宋" w:hAnsi="仿宋" w:eastAsia="仿宋" w:cs="仿宋"/>
          <w:kern w:val="0"/>
          <w:sz w:val="24"/>
        </w:rPr>
        <w:t>安全事故</w:t>
      </w:r>
      <w:r>
        <w:rPr>
          <w:rFonts w:hint="eastAsia" w:ascii="仿宋" w:hAnsi="仿宋" w:eastAsia="仿宋" w:cs="仿宋"/>
          <w:kern w:val="0"/>
          <w:sz w:val="24"/>
        </w:rPr>
        <w:t>。</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2.7每家投标单位必须对招标人的要求作出承诺，出行时间必须包含周末双休。</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2.8投标人应当在投标承诺书中承诺招标人组织20人（含）以上即可成团出行疗休养。所提供的服务应当符合保障旅游者人身、财产安全的要求。对可能危及旅游者人身、财产安全的事项和须注意的问题，向旅游者做出真实的说明和明确的警示，并采取合理必要措施防止危害发生。突发事件或者旅游安全事故发生后，旅行社应当立即采取必要的救助和处置措施，依法履行报告义务，并对旅游者作出妥善安排。</w:t>
      </w:r>
    </w:p>
    <w:p>
      <w:pPr>
        <w:pStyle w:val="19"/>
        <w:spacing w:line="288" w:lineRule="auto"/>
        <w:ind w:firstLine="480" w:firstLineChars="200"/>
        <w:rPr>
          <w:rFonts w:ascii="仿宋" w:hAnsi="仿宋" w:eastAsia="仿宋" w:cs="仿宋"/>
          <w:kern w:val="0"/>
          <w:sz w:val="24"/>
        </w:rPr>
      </w:pPr>
      <w:r>
        <w:rPr>
          <w:rFonts w:ascii="仿宋" w:hAnsi="仿宋" w:eastAsia="仿宋" w:cs="仿宋"/>
          <w:kern w:val="0"/>
          <w:sz w:val="24"/>
        </w:rPr>
        <w:t>2.9中标人考核：每批结束后由参加该批次疗休养的职工</w:t>
      </w:r>
      <w:r>
        <w:rPr>
          <w:rFonts w:hint="eastAsia" w:ascii="仿宋" w:hAnsi="仿宋" w:eastAsia="仿宋" w:cs="仿宋"/>
          <w:kern w:val="0"/>
          <w:sz w:val="24"/>
        </w:rPr>
        <w:t>对中标人</w:t>
      </w:r>
      <w:r>
        <w:rPr>
          <w:rFonts w:ascii="仿宋" w:hAnsi="仿宋" w:eastAsia="仿宋" w:cs="仿宋"/>
          <w:kern w:val="0"/>
          <w:sz w:val="24"/>
        </w:rPr>
        <w:t>进行满意度测评。如综合满意度低于90%，招标人有权按以下规定处理：满意度≥90%全额付款，满意度＜90%按同比例扣除同期费用（例：满意度89%，扣除同期费用1%）或终止合同；每发生一起投诉，经确认无误的，扣考核分5分，年度内累计五次被确认为投诉的，将立即终止合同；</w:t>
      </w:r>
      <w:r>
        <w:rPr>
          <w:rFonts w:hint="eastAsia" w:ascii="仿宋" w:hAnsi="仿宋" w:eastAsia="仿宋" w:cs="仿宋"/>
          <w:kern w:val="0"/>
          <w:sz w:val="24"/>
        </w:rPr>
        <w:t>疗休养过程中</w:t>
      </w:r>
      <w:r>
        <w:rPr>
          <w:rFonts w:ascii="仿宋" w:hAnsi="仿宋" w:eastAsia="仿宋" w:cs="仿宋"/>
          <w:kern w:val="0"/>
          <w:sz w:val="24"/>
        </w:rPr>
        <w:t>每发生一起</w:t>
      </w:r>
      <w:r>
        <w:rPr>
          <w:rFonts w:hint="eastAsia" w:ascii="仿宋" w:hAnsi="仿宋" w:eastAsia="仿宋" w:cs="仿宋"/>
          <w:kern w:val="0"/>
          <w:sz w:val="24"/>
        </w:rPr>
        <w:t>人身损害</w:t>
      </w:r>
      <w:r>
        <w:rPr>
          <w:rFonts w:ascii="仿宋" w:hAnsi="仿宋" w:eastAsia="仿宋" w:cs="仿宋"/>
          <w:kern w:val="0"/>
          <w:sz w:val="24"/>
        </w:rPr>
        <w:t>安全事件</w:t>
      </w:r>
      <w:r>
        <w:rPr>
          <w:rFonts w:hint="eastAsia" w:ascii="仿宋" w:hAnsi="仿宋" w:eastAsia="仿宋" w:cs="仿宋"/>
          <w:kern w:val="0"/>
          <w:sz w:val="24"/>
        </w:rPr>
        <w:t>或意外事故</w:t>
      </w:r>
      <w:r>
        <w:rPr>
          <w:rFonts w:ascii="仿宋" w:hAnsi="仿宋" w:eastAsia="仿宋" w:cs="仿宋"/>
          <w:kern w:val="0"/>
          <w:sz w:val="24"/>
        </w:rPr>
        <w:t>导致其返回后影响正常工作</w:t>
      </w:r>
      <w:r>
        <w:rPr>
          <w:rFonts w:hint="eastAsia" w:ascii="仿宋" w:hAnsi="仿宋" w:eastAsia="仿宋" w:cs="仿宋"/>
          <w:kern w:val="0"/>
          <w:sz w:val="24"/>
        </w:rPr>
        <w:t>的</w:t>
      </w:r>
      <w:r>
        <w:rPr>
          <w:rFonts w:ascii="仿宋" w:hAnsi="仿宋" w:eastAsia="仿宋" w:cs="仿宋"/>
          <w:kern w:val="0"/>
          <w:sz w:val="24"/>
        </w:rPr>
        <w:t>扣考核分10分，合同期内连续发生二起或累计发生三</w:t>
      </w:r>
      <w:r>
        <w:rPr>
          <w:rFonts w:hint="eastAsia" w:ascii="仿宋" w:hAnsi="仿宋" w:eastAsia="仿宋" w:cs="仿宋"/>
          <w:kern w:val="0"/>
          <w:sz w:val="24"/>
        </w:rPr>
        <w:t>起</w:t>
      </w:r>
      <w:r>
        <w:rPr>
          <w:rFonts w:ascii="仿宋" w:hAnsi="仿宋" w:eastAsia="仿宋" w:cs="仿宋"/>
          <w:kern w:val="0"/>
          <w:sz w:val="24"/>
        </w:rPr>
        <w:t>的，立即终止合同；若发生重大安全事故，直接终止合同</w:t>
      </w:r>
      <w:r>
        <w:rPr>
          <w:rFonts w:hint="eastAsia" w:ascii="仿宋" w:hAnsi="仿宋" w:eastAsia="仿宋" w:cs="仿宋"/>
          <w:kern w:val="0"/>
          <w:sz w:val="24"/>
        </w:rPr>
        <w:t>并要求中标人依法赔偿各项损失</w:t>
      </w:r>
      <w:r>
        <w:rPr>
          <w:rFonts w:ascii="仿宋" w:hAnsi="仿宋" w:eastAsia="仿宋" w:cs="仿宋"/>
          <w:kern w:val="0"/>
          <w:sz w:val="24"/>
        </w:rPr>
        <w:t>；中标人如果拒不履行招标时的承诺，招标人有权终止合同。合同终止后，招标人将从其他中标人中选择职工满意度最高的一家接替。</w:t>
      </w:r>
    </w:p>
    <w:tbl>
      <w:tblPr>
        <w:tblStyle w:val="63"/>
        <w:tblW w:w="9009" w:type="dxa"/>
        <w:tblInd w:w="-13" w:type="dxa"/>
        <w:tblLayout w:type="fixed"/>
        <w:tblCellMar>
          <w:top w:w="0" w:type="dxa"/>
          <w:left w:w="108" w:type="dxa"/>
          <w:bottom w:w="0" w:type="dxa"/>
          <w:right w:w="108" w:type="dxa"/>
        </w:tblCellMar>
      </w:tblPr>
      <w:tblGrid>
        <w:gridCol w:w="521"/>
        <w:gridCol w:w="4560"/>
        <w:gridCol w:w="1320"/>
        <w:gridCol w:w="780"/>
        <w:gridCol w:w="795"/>
        <w:gridCol w:w="1033"/>
      </w:tblGrid>
      <w:tr>
        <w:tblPrEx>
          <w:tblCellMar>
            <w:top w:w="0" w:type="dxa"/>
            <w:left w:w="108" w:type="dxa"/>
            <w:bottom w:w="0" w:type="dxa"/>
            <w:right w:w="108" w:type="dxa"/>
          </w:tblCellMar>
        </w:tblPrEx>
        <w:trPr>
          <w:trHeight w:val="561" w:hRule="atLeast"/>
        </w:trPr>
        <w:tc>
          <w:tcPr>
            <w:tcW w:w="9009" w:type="dxa"/>
            <w:gridSpan w:val="6"/>
            <w:tcBorders>
              <w:top w:val="nil"/>
              <w:left w:val="nil"/>
              <w:bottom w:val="nil"/>
              <w:right w:val="nil"/>
            </w:tcBorders>
            <w:vAlign w:val="center"/>
          </w:tcPr>
          <w:p>
            <w:pPr>
              <w:widowControl/>
              <w:spacing w:before="156" w:line="288" w:lineRule="auto"/>
              <w:jc w:val="center"/>
              <w:rPr>
                <w:rFonts w:ascii="仿宋" w:hAnsi="仿宋" w:eastAsia="仿宋" w:cs="仿宋"/>
                <w:b/>
                <w:bCs/>
                <w:kern w:val="0"/>
                <w:sz w:val="24"/>
              </w:rPr>
            </w:pPr>
            <w:r>
              <w:rPr>
                <w:rFonts w:hint="eastAsia" w:ascii="仿宋" w:hAnsi="仿宋" w:eastAsia="仿宋" w:cs="仿宋"/>
                <w:b/>
                <w:bCs/>
                <w:kern w:val="0"/>
                <w:sz w:val="24"/>
              </w:rPr>
              <w:t>职工疗休养服务评分反馈表（医院</w:t>
            </w:r>
            <w:r>
              <w:rPr>
                <w:rFonts w:ascii="仿宋" w:hAnsi="仿宋" w:eastAsia="仿宋" w:cs="仿宋"/>
                <w:b/>
                <w:bCs/>
                <w:kern w:val="0"/>
                <w:sz w:val="24"/>
              </w:rPr>
              <w:t>内部测评</w:t>
            </w:r>
            <w:r>
              <w:rPr>
                <w:rFonts w:hint="eastAsia" w:ascii="仿宋" w:hAnsi="仿宋" w:eastAsia="仿宋" w:cs="仿宋"/>
                <w:b/>
                <w:bCs/>
                <w:kern w:val="0"/>
                <w:sz w:val="24"/>
              </w:rPr>
              <w:t>）</w:t>
            </w:r>
          </w:p>
        </w:tc>
      </w:tr>
      <w:tr>
        <w:tblPrEx>
          <w:tblCellMar>
            <w:top w:w="0" w:type="dxa"/>
            <w:left w:w="108" w:type="dxa"/>
            <w:bottom w:w="0" w:type="dxa"/>
            <w:right w:w="108" w:type="dxa"/>
          </w:tblCellMar>
        </w:tblPrEx>
        <w:trPr>
          <w:trHeight w:val="840" w:hRule="atLeast"/>
        </w:trPr>
        <w:tc>
          <w:tcPr>
            <w:tcW w:w="9009" w:type="dxa"/>
            <w:gridSpan w:val="6"/>
            <w:tcBorders>
              <w:top w:val="nil"/>
              <w:left w:val="nil"/>
              <w:bottom w:val="nil"/>
              <w:right w:val="nil"/>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xml:space="preserve">    感谢您对旅行社的服务情况进行评分反馈。希望您能认真、详实地填写。同时为耽误您的宝贵时间表示歉意。</w:t>
            </w:r>
          </w:p>
        </w:tc>
      </w:tr>
      <w:tr>
        <w:tblPrEx>
          <w:tblCellMar>
            <w:top w:w="0" w:type="dxa"/>
            <w:left w:w="108" w:type="dxa"/>
            <w:bottom w:w="0" w:type="dxa"/>
            <w:right w:w="108" w:type="dxa"/>
          </w:tblCellMar>
        </w:tblPrEx>
        <w:trPr>
          <w:trHeight w:val="375" w:hRule="atLeast"/>
        </w:trPr>
        <w:tc>
          <w:tcPr>
            <w:tcW w:w="9009" w:type="dxa"/>
            <w:gridSpan w:val="6"/>
            <w:tcBorders>
              <w:top w:val="nil"/>
              <w:left w:val="nil"/>
              <w:bottom w:val="nil"/>
              <w:right w:val="nil"/>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xml:space="preserve">    为您服务的旅行社名称：                           疗休养线路：</w:t>
            </w:r>
          </w:p>
        </w:tc>
      </w:tr>
      <w:tr>
        <w:tblPrEx>
          <w:tblCellMar>
            <w:top w:w="0" w:type="dxa"/>
            <w:left w:w="108" w:type="dxa"/>
            <w:bottom w:w="0" w:type="dxa"/>
            <w:right w:w="108" w:type="dxa"/>
          </w:tblCellMar>
        </w:tblPrEx>
        <w:trPr>
          <w:trHeight w:val="435" w:hRule="atLeast"/>
        </w:trPr>
        <w:tc>
          <w:tcPr>
            <w:tcW w:w="9009" w:type="dxa"/>
            <w:gridSpan w:val="6"/>
            <w:tcBorders>
              <w:top w:val="nil"/>
              <w:left w:val="nil"/>
              <w:bottom w:val="nil"/>
              <w:right w:val="nil"/>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xml:space="preserve">    请根据您的实际感受对以下各项进行评分：</w:t>
            </w:r>
          </w:p>
        </w:tc>
      </w:tr>
      <w:tr>
        <w:tblPrEx>
          <w:tblCellMar>
            <w:top w:w="0" w:type="dxa"/>
            <w:left w:w="108" w:type="dxa"/>
            <w:bottom w:w="0" w:type="dxa"/>
            <w:right w:w="108" w:type="dxa"/>
          </w:tblCellMar>
        </w:tblPrEx>
        <w:trPr>
          <w:trHeight w:val="330" w:hRule="atLeast"/>
        </w:trPr>
        <w:tc>
          <w:tcPr>
            <w:tcW w:w="508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评价内容</w:t>
            </w:r>
          </w:p>
        </w:tc>
        <w:tc>
          <w:tcPr>
            <w:tcW w:w="3928" w:type="dxa"/>
            <w:gridSpan w:val="4"/>
            <w:tcBorders>
              <w:top w:val="single" w:color="auto" w:sz="4" w:space="0"/>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满意度评分（0-100分）</w:t>
            </w:r>
          </w:p>
        </w:tc>
      </w:tr>
      <w:tr>
        <w:tblPrEx>
          <w:tblCellMar>
            <w:top w:w="0" w:type="dxa"/>
            <w:left w:w="108" w:type="dxa"/>
            <w:bottom w:w="0" w:type="dxa"/>
            <w:right w:w="108" w:type="dxa"/>
          </w:tblCellMar>
        </w:tblPrEx>
        <w:trPr>
          <w:trHeight w:val="318" w:hRule="atLeast"/>
        </w:trPr>
        <w:tc>
          <w:tcPr>
            <w:tcW w:w="508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1320"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非常满意</w:t>
            </w:r>
          </w:p>
        </w:tc>
        <w:tc>
          <w:tcPr>
            <w:tcW w:w="780"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满意</w:t>
            </w:r>
          </w:p>
        </w:tc>
        <w:tc>
          <w:tcPr>
            <w:tcW w:w="795"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一般</w:t>
            </w:r>
          </w:p>
        </w:tc>
        <w:tc>
          <w:tcPr>
            <w:tcW w:w="1033"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不满意</w:t>
            </w:r>
          </w:p>
        </w:tc>
      </w:tr>
      <w:tr>
        <w:tblPrEx>
          <w:tblCellMar>
            <w:top w:w="0" w:type="dxa"/>
            <w:left w:w="108" w:type="dxa"/>
            <w:bottom w:w="0" w:type="dxa"/>
            <w:right w:w="108" w:type="dxa"/>
          </w:tblCellMar>
        </w:tblPrEx>
        <w:trPr>
          <w:trHeight w:val="330" w:hRule="atLeast"/>
        </w:trPr>
        <w:tc>
          <w:tcPr>
            <w:tcW w:w="5081" w:type="dxa"/>
            <w:gridSpan w:val="2"/>
            <w:tcBorders>
              <w:top w:val="single" w:color="auto" w:sz="4" w:space="0"/>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分值</w:t>
            </w:r>
          </w:p>
        </w:tc>
        <w:tc>
          <w:tcPr>
            <w:tcW w:w="1320"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5</w:t>
            </w:r>
          </w:p>
        </w:tc>
        <w:tc>
          <w:tcPr>
            <w:tcW w:w="780"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4</w:t>
            </w:r>
          </w:p>
        </w:tc>
        <w:tc>
          <w:tcPr>
            <w:tcW w:w="795"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033" w:type="dxa"/>
            <w:tcBorders>
              <w:top w:val="nil"/>
              <w:left w:val="nil"/>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0</w:t>
            </w:r>
          </w:p>
        </w:tc>
      </w:tr>
      <w:tr>
        <w:tblPrEx>
          <w:tblCellMar>
            <w:top w:w="0" w:type="dxa"/>
            <w:left w:w="108" w:type="dxa"/>
            <w:bottom w:w="0" w:type="dxa"/>
            <w:right w:w="108" w:type="dxa"/>
          </w:tblCellMar>
        </w:tblPrEx>
        <w:trPr>
          <w:trHeight w:val="405" w:hRule="atLeast"/>
        </w:trPr>
        <w:tc>
          <w:tcPr>
            <w:tcW w:w="521" w:type="dxa"/>
            <w:vMerge w:val="restart"/>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交</w:t>
            </w:r>
            <w:r>
              <w:rPr>
                <w:rFonts w:hint="eastAsia" w:ascii="仿宋" w:hAnsi="仿宋" w:eastAsia="仿宋" w:cs="仿宋"/>
                <w:kern w:val="0"/>
                <w:sz w:val="24"/>
              </w:rPr>
              <w:br w:type="textWrapping"/>
            </w:r>
            <w:r>
              <w:rPr>
                <w:rFonts w:hint="eastAsia" w:ascii="仿宋" w:hAnsi="仿宋" w:eastAsia="仿宋" w:cs="仿宋"/>
                <w:kern w:val="0"/>
                <w:sz w:val="24"/>
              </w:rPr>
              <w:t>通</w:t>
            </w:r>
            <w:r>
              <w:rPr>
                <w:rFonts w:hint="eastAsia" w:ascii="仿宋" w:hAnsi="仿宋" w:eastAsia="仿宋" w:cs="仿宋"/>
                <w:kern w:val="0"/>
                <w:sz w:val="24"/>
              </w:rPr>
              <w:br w:type="textWrapping"/>
            </w:r>
            <w:r>
              <w:rPr>
                <w:rFonts w:hint="eastAsia" w:ascii="仿宋" w:hAnsi="仿宋" w:eastAsia="仿宋" w:cs="仿宋"/>
                <w:kern w:val="0"/>
                <w:sz w:val="24"/>
              </w:rPr>
              <w:t>安</w:t>
            </w:r>
            <w:r>
              <w:rPr>
                <w:rFonts w:hint="eastAsia" w:ascii="仿宋" w:hAnsi="仿宋" w:eastAsia="仿宋" w:cs="仿宋"/>
                <w:kern w:val="0"/>
                <w:sz w:val="24"/>
              </w:rPr>
              <w:br w:type="textWrapping"/>
            </w:r>
            <w:r>
              <w:rPr>
                <w:rFonts w:hint="eastAsia" w:ascii="仿宋" w:hAnsi="仿宋" w:eastAsia="仿宋" w:cs="仿宋"/>
                <w:kern w:val="0"/>
                <w:sz w:val="24"/>
              </w:rPr>
              <w:t>排</w:t>
            </w: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车况及性能</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到点准时</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司机态度及技术</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全程交通衔接及总体满意程度</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restart"/>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住</w:t>
            </w:r>
            <w:r>
              <w:rPr>
                <w:rFonts w:hint="eastAsia" w:ascii="仿宋" w:hAnsi="仿宋" w:eastAsia="仿宋" w:cs="仿宋"/>
                <w:kern w:val="0"/>
                <w:sz w:val="24"/>
              </w:rPr>
              <w:br w:type="textWrapping"/>
            </w:r>
            <w:r>
              <w:rPr>
                <w:rFonts w:hint="eastAsia" w:ascii="仿宋" w:hAnsi="仿宋" w:eastAsia="仿宋" w:cs="仿宋"/>
                <w:kern w:val="0"/>
                <w:sz w:val="24"/>
              </w:rPr>
              <w:t>宿</w:t>
            </w:r>
            <w:r>
              <w:rPr>
                <w:rFonts w:hint="eastAsia" w:ascii="仿宋" w:hAnsi="仿宋" w:eastAsia="仿宋" w:cs="仿宋"/>
                <w:kern w:val="0"/>
                <w:sz w:val="24"/>
              </w:rPr>
              <w:br w:type="textWrapping"/>
            </w:r>
            <w:r>
              <w:rPr>
                <w:rFonts w:hint="eastAsia" w:ascii="仿宋" w:hAnsi="仿宋" w:eastAsia="仿宋" w:cs="仿宋"/>
                <w:kern w:val="0"/>
                <w:sz w:val="24"/>
              </w:rPr>
              <w:t>安</w:t>
            </w:r>
            <w:r>
              <w:rPr>
                <w:rFonts w:hint="eastAsia" w:ascii="仿宋" w:hAnsi="仿宋" w:eastAsia="仿宋" w:cs="仿宋"/>
                <w:kern w:val="0"/>
                <w:sz w:val="24"/>
              </w:rPr>
              <w:br w:type="textWrapping"/>
            </w:r>
            <w:r>
              <w:rPr>
                <w:rFonts w:hint="eastAsia" w:ascii="仿宋" w:hAnsi="仿宋" w:eastAsia="仿宋" w:cs="仿宋"/>
                <w:kern w:val="0"/>
                <w:sz w:val="24"/>
              </w:rPr>
              <w:t>排</w:t>
            </w: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周边环境安全，客房卫生整洁</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住宿地点交通便捷</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宾馆设施及使用性能</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服务水平及态度</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住宿安排总体满意程度</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restart"/>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餐</w:t>
            </w:r>
            <w:r>
              <w:rPr>
                <w:rFonts w:hint="eastAsia" w:ascii="仿宋" w:hAnsi="仿宋" w:eastAsia="仿宋" w:cs="仿宋"/>
                <w:kern w:val="0"/>
                <w:sz w:val="24"/>
              </w:rPr>
              <w:br w:type="textWrapping"/>
            </w:r>
            <w:r>
              <w:rPr>
                <w:rFonts w:hint="eastAsia" w:ascii="仿宋" w:hAnsi="仿宋" w:eastAsia="仿宋" w:cs="仿宋"/>
                <w:kern w:val="0"/>
                <w:sz w:val="24"/>
              </w:rPr>
              <w:t>饮</w:t>
            </w:r>
            <w:r>
              <w:rPr>
                <w:rFonts w:hint="eastAsia" w:ascii="仿宋" w:hAnsi="仿宋" w:eastAsia="仿宋" w:cs="仿宋"/>
                <w:kern w:val="0"/>
                <w:sz w:val="24"/>
              </w:rPr>
              <w:br w:type="textWrapping"/>
            </w:r>
            <w:r>
              <w:rPr>
                <w:rFonts w:hint="eastAsia" w:ascii="仿宋" w:hAnsi="仿宋" w:eastAsia="仿宋" w:cs="仿宋"/>
                <w:kern w:val="0"/>
                <w:sz w:val="24"/>
              </w:rPr>
              <w:t>安</w:t>
            </w:r>
            <w:r>
              <w:rPr>
                <w:rFonts w:hint="eastAsia" w:ascii="仿宋" w:hAnsi="仿宋" w:eastAsia="仿宋" w:cs="仿宋"/>
                <w:kern w:val="0"/>
                <w:sz w:val="24"/>
              </w:rPr>
              <w:br w:type="textWrapping"/>
            </w:r>
            <w:r>
              <w:rPr>
                <w:rFonts w:hint="eastAsia" w:ascii="仿宋" w:hAnsi="仿宋" w:eastAsia="仿宋" w:cs="仿宋"/>
                <w:kern w:val="0"/>
                <w:sz w:val="24"/>
              </w:rPr>
              <w:t>排</w:t>
            </w: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就餐环境</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菜肴卫生</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餐饮安排总体满意程度</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706" w:hRule="atLeast"/>
        </w:trPr>
        <w:tc>
          <w:tcPr>
            <w:tcW w:w="521" w:type="dxa"/>
            <w:vMerge w:val="restart"/>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景</w:t>
            </w:r>
            <w:r>
              <w:rPr>
                <w:rFonts w:hint="eastAsia" w:ascii="仿宋" w:hAnsi="仿宋" w:eastAsia="仿宋" w:cs="仿宋"/>
                <w:kern w:val="0"/>
                <w:sz w:val="24"/>
              </w:rPr>
              <w:br w:type="textWrapping"/>
            </w:r>
            <w:r>
              <w:rPr>
                <w:rFonts w:hint="eastAsia" w:ascii="仿宋" w:hAnsi="仿宋" w:eastAsia="仿宋" w:cs="仿宋"/>
                <w:kern w:val="0"/>
                <w:sz w:val="24"/>
              </w:rPr>
              <w:t>点</w:t>
            </w:r>
            <w:r>
              <w:rPr>
                <w:rFonts w:hint="eastAsia" w:ascii="仿宋" w:hAnsi="仿宋" w:eastAsia="仿宋" w:cs="仿宋"/>
                <w:kern w:val="0"/>
                <w:sz w:val="24"/>
              </w:rPr>
              <w:br w:type="textWrapping"/>
            </w:r>
            <w:r>
              <w:rPr>
                <w:rFonts w:hint="eastAsia" w:ascii="仿宋" w:hAnsi="仿宋" w:eastAsia="仿宋" w:cs="仿宋"/>
                <w:kern w:val="0"/>
                <w:sz w:val="24"/>
              </w:rPr>
              <w:t>安</w:t>
            </w:r>
            <w:r>
              <w:rPr>
                <w:rFonts w:hint="eastAsia" w:ascii="仿宋" w:hAnsi="仿宋" w:eastAsia="仿宋" w:cs="仿宋"/>
                <w:kern w:val="0"/>
                <w:sz w:val="24"/>
              </w:rPr>
              <w:br w:type="textWrapping"/>
            </w:r>
            <w:r>
              <w:rPr>
                <w:rFonts w:hint="eastAsia" w:ascii="仿宋" w:hAnsi="仿宋" w:eastAsia="仿宋" w:cs="仿宋"/>
                <w:kern w:val="0"/>
                <w:sz w:val="24"/>
              </w:rPr>
              <w:t>排</w:t>
            </w:r>
          </w:p>
        </w:tc>
        <w:tc>
          <w:tcPr>
            <w:tcW w:w="456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讲解内容完整</w:t>
            </w:r>
          </w:p>
        </w:tc>
        <w:tc>
          <w:tcPr>
            <w:tcW w:w="132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讲解语言美感</w:t>
            </w:r>
          </w:p>
        </w:tc>
        <w:tc>
          <w:tcPr>
            <w:tcW w:w="132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nil"/>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景点内时间安排合理</w:t>
            </w:r>
          </w:p>
        </w:tc>
        <w:tc>
          <w:tcPr>
            <w:tcW w:w="1320" w:type="dxa"/>
            <w:tcBorders>
              <w:top w:val="nil"/>
              <w:left w:val="nil"/>
              <w:bottom w:val="nil"/>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nil"/>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nil"/>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nil"/>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restart"/>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导</w:t>
            </w:r>
            <w:r>
              <w:rPr>
                <w:rFonts w:hint="eastAsia" w:ascii="仿宋" w:hAnsi="仿宋" w:eastAsia="仿宋" w:cs="仿宋"/>
                <w:kern w:val="0"/>
                <w:sz w:val="24"/>
              </w:rPr>
              <w:br w:type="textWrapping"/>
            </w:r>
            <w:r>
              <w:rPr>
                <w:rFonts w:hint="eastAsia" w:ascii="仿宋" w:hAnsi="仿宋" w:eastAsia="仿宋" w:cs="仿宋"/>
                <w:kern w:val="0"/>
                <w:sz w:val="24"/>
              </w:rPr>
              <w:t>游</w:t>
            </w:r>
            <w:r>
              <w:rPr>
                <w:rFonts w:hint="eastAsia" w:ascii="仿宋" w:hAnsi="仿宋" w:eastAsia="仿宋" w:cs="仿宋"/>
                <w:kern w:val="0"/>
                <w:sz w:val="24"/>
              </w:rPr>
              <w:br w:type="textWrapping"/>
            </w:r>
            <w:r>
              <w:rPr>
                <w:rFonts w:hint="eastAsia" w:ascii="仿宋" w:hAnsi="仿宋" w:eastAsia="仿宋" w:cs="仿宋"/>
                <w:kern w:val="0"/>
                <w:sz w:val="24"/>
              </w:rPr>
              <w:t>服</w:t>
            </w:r>
            <w:r>
              <w:rPr>
                <w:rFonts w:hint="eastAsia" w:ascii="仿宋" w:hAnsi="仿宋" w:eastAsia="仿宋" w:cs="仿宋"/>
                <w:kern w:val="0"/>
                <w:sz w:val="24"/>
              </w:rPr>
              <w:br w:type="textWrapping"/>
            </w:r>
            <w:r>
              <w:rPr>
                <w:rFonts w:hint="eastAsia" w:ascii="仿宋" w:hAnsi="仿宋" w:eastAsia="仿宋" w:cs="仿宋"/>
                <w:kern w:val="0"/>
                <w:sz w:val="24"/>
              </w:rPr>
              <w:t>务</w:t>
            </w:r>
          </w:p>
        </w:tc>
        <w:tc>
          <w:tcPr>
            <w:tcW w:w="456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佩带有效证件上岗，全程服务不迟到早退</w:t>
            </w:r>
          </w:p>
        </w:tc>
        <w:tc>
          <w:tcPr>
            <w:tcW w:w="132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single" w:color="auto" w:sz="4" w:space="0"/>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无擅自增减旅游项目或擅自终止导游活动或无过度推销产品</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对可预见的情况有警示说明及防范措施</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21" w:type="dxa"/>
            <w:vMerge w:val="continue"/>
            <w:tcBorders>
              <w:top w:val="nil"/>
              <w:left w:val="single" w:color="auto" w:sz="4" w:space="0"/>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456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语言表达能力、沟通能力及专业知识掌握</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05" w:hRule="atLeast"/>
        </w:trPr>
        <w:tc>
          <w:tcPr>
            <w:tcW w:w="5081" w:type="dxa"/>
            <w:gridSpan w:val="2"/>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出行过程与旅行社事先承诺的符合程度</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r>
      <w:tr>
        <w:tblPrEx>
          <w:tblCellMar>
            <w:top w:w="0" w:type="dxa"/>
            <w:left w:w="108" w:type="dxa"/>
            <w:bottom w:w="0" w:type="dxa"/>
            <w:right w:w="108" w:type="dxa"/>
          </w:tblCellMar>
        </w:tblPrEx>
        <w:trPr>
          <w:trHeight w:val="405" w:hRule="atLeast"/>
        </w:trPr>
        <w:tc>
          <w:tcPr>
            <w:tcW w:w="5081" w:type="dxa"/>
            <w:gridSpan w:val="2"/>
            <w:tcBorders>
              <w:top w:val="nil"/>
              <w:left w:val="single" w:color="auto" w:sz="4" w:space="0"/>
              <w:bottom w:val="single" w:color="auto" w:sz="4" w:space="0"/>
              <w:right w:val="single" w:color="auto" w:sz="4" w:space="0"/>
            </w:tcBorders>
            <w:vAlign w:val="center"/>
          </w:tcPr>
          <w:p>
            <w:pPr>
              <w:widowControl/>
              <w:spacing w:before="156" w:line="288" w:lineRule="auto"/>
              <w:jc w:val="center"/>
              <w:rPr>
                <w:rFonts w:ascii="仿宋" w:hAnsi="仿宋" w:eastAsia="仿宋" w:cs="仿宋"/>
                <w:kern w:val="0"/>
                <w:sz w:val="24"/>
              </w:rPr>
            </w:pPr>
            <w:r>
              <w:rPr>
                <w:rFonts w:hint="eastAsia" w:ascii="仿宋" w:hAnsi="仿宋" w:eastAsia="仿宋" w:cs="仿宋"/>
                <w:kern w:val="0"/>
                <w:sz w:val="24"/>
              </w:rPr>
              <w:t>合计</w:t>
            </w:r>
          </w:p>
        </w:tc>
        <w:tc>
          <w:tcPr>
            <w:tcW w:w="132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780"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795"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c>
          <w:tcPr>
            <w:tcW w:w="1033" w:type="dxa"/>
            <w:tcBorders>
              <w:top w:val="nil"/>
              <w:left w:val="nil"/>
              <w:bottom w:val="single" w:color="auto" w:sz="4" w:space="0"/>
              <w:right w:val="single" w:color="auto" w:sz="4" w:space="0"/>
            </w:tcBorders>
            <w:vAlign w:val="center"/>
          </w:tcPr>
          <w:p>
            <w:pPr>
              <w:widowControl/>
              <w:spacing w:before="156" w:line="288" w:lineRule="auto"/>
              <w:jc w:val="left"/>
              <w:rPr>
                <w:rFonts w:ascii="仿宋" w:hAnsi="仿宋" w:eastAsia="仿宋" w:cs="仿宋"/>
                <w:kern w:val="0"/>
                <w:sz w:val="24"/>
              </w:rPr>
            </w:pPr>
          </w:p>
        </w:tc>
      </w:tr>
      <w:tr>
        <w:tblPrEx>
          <w:tblCellMar>
            <w:top w:w="0" w:type="dxa"/>
            <w:left w:w="108" w:type="dxa"/>
            <w:bottom w:w="0" w:type="dxa"/>
            <w:right w:w="108" w:type="dxa"/>
          </w:tblCellMar>
        </w:tblPrEx>
        <w:trPr>
          <w:trHeight w:val="720" w:hRule="atLeast"/>
        </w:trPr>
        <w:tc>
          <w:tcPr>
            <w:tcW w:w="9009" w:type="dxa"/>
            <w:gridSpan w:val="6"/>
            <w:tcBorders>
              <w:top w:val="single" w:color="auto" w:sz="4" w:space="0"/>
              <w:left w:val="nil"/>
              <w:bottom w:val="nil"/>
              <w:right w:val="nil"/>
            </w:tcBorders>
          </w:tcPr>
          <w:p>
            <w:pPr>
              <w:widowControl/>
              <w:spacing w:before="156" w:line="288" w:lineRule="auto"/>
              <w:jc w:val="left"/>
              <w:rPr>
                <w:rFonts w:ascii="仿宋" w:hAnsi="仿宋" w:eastAsia="仿宋" w:cs="仿宋"/>
                <w:kern w:val="0"/>
                <w:sz w:val="24"/>
              </w:rPr>
            </w:pPr>
            <w:r>
              <w:rPr>
                <w:rFonts w:hint="eastAsia" w:ascii="仿宋" w:hAnsi="仿宋" w:eastAsia="仿宋" w:cs="仿宋"/>
                <w:kern w:val="0"/>
                <w:sz w:val="24"/>
              </w:rPr>
              <w:t>您需要补充的意见和建议：</w:t>
            </w:r>
          </w:p>
        </w:tc>
      </w:tr>
    </w:tbl>
    <w:p>
      <w:pPr>
        <w:spacing w:line="288" w:lineRule="auto"/>
        <w:rPr>
          <w:rFonts w:ascii="仿宋" w:hAnsi="仿宋" w:eastAsia="仿宋" w:cs="仿宋"/>
          <w:sz w:val="24"/>
        </w:rPr>
      </w:pPr>
      <w:r>
        <w:rPr>
          <w:rFonts w:hint="eastAsia" w:ascii="仿宋" w:hAnsi="仿宋" w:eastAsia="仿宋" w:cs="仿宋"/>
          <w:sz w:val="24"/>
        </w:rPr>
        <w:t>2.10付款方式：每团成行一次结算一次，实际价格按每参加一名职工3000元（若</w:t>
      </w:r>
      <w:r>
        <w:rPr>
          <w:rFonts w:ascii="仿宋" w:hAnsi="仿宋" w:eastAsia="仿宋" w:cs="仿宋"/>
          <w:sz w:val="24"/>
        </w:rPr>
        <w:t>是省外合作、对口支援线路按</w:t>
      </w:r>
      <w:r>
        <w:rPr>
          <w:rFonts w:hint="eastAsia" w:ascii="仿宋" w:hAnsi="仿宋" w:eastAsia="仿宋" w:cs="仿宋"/>
          <w:sz w:val="24"/>
        </w:rPr>
        <w:t>60</w:t>
      </w:r>
      <w:r>
        <w:rPr>
          <w:rFonts w:ascii="仿宋" w:hAnsi="仿宋" w:eastAsia="仿宋" w:cs="仿宋"/>
          <w:sz w:val="24"/>
        </w:rPr>
        <w:t>00</w:t>
      </w:r>
      <w:r>
        <w:rPr>
          <w:rFonts w:hint="eastAsia" w:ascii="仿宋" w:hAnsi="仿宋" w:eastAsia="仿宋" w:cs="仿宋"/>
          <w:sz w:val="24"/>
        </w:rPr>
        <w:t>元）进行核算，具体付款由医院工会验收合格后按医院财务流程支付。</w:t>
      </w:r>
    </w:p>
    <w:p>
      <w:pPr>
        <w:spacing w:line="288" w:lineRule="auto"/>
        <w:rPr>
          <w:rFonts w:ascii="仿宋" w:hAnsi="仿宋" w:eastAsia="仿宋" w:cs="仿宋"/>
          <w:kern w:val="0"/>
          <w:sz w:val="24"/>
        </w:rPr>
      </w:pPr>
      <w:r>
        <w:rPr>
          <w:rFonts w:hint="eastAsia" w:ascii="仿宋" w:hAnsi="仿宋" w:eastAsia="仿宋" w:cs="仿宋"/>
          <w:sz w:val="24"/>
        </w:rPr>
        <w:t>2.11合同期：二年。</w:t>
      </w:r>
    </w:p>
    <w:p>
      <w:pPr>
        <w:spacing w:line="288" w:lineRule="auto"/>
        <w:outlineLvl w:val="0"/>
        <w:rPr>
          <w:rFonts w:ascii="仿宋" w:hAnsi="仿宋" w:eastAsia="仿宋" w:cs="仿宋"/>
          <w:b/>
          <w:sz w:val="36"/>
          <w:szCs w:val="36"/>
        </w:rPr>
      </w:pPr>
      <w:r>
        <w:rPr>
          <w:rFonts w:hint="eastAsia" w:ascii="仿宋" w:hAnsi="仿宋" w:eastAsia="仿宋" w:cs="仿宋"/>
          <w:sz w:val="24"/>
        </w:rPr>
        <w:t>2.12</w:t>
      </w:r>
      <w:r>
        <w:rPr>
          <w:rFonts w:hint="eastAsia" w:ascii="仿宋" w:hAnsi="仿宋" w:eastAsia="仿宋" w:cs="仿宋"/>
          <w:b/>
          <w:sz w:val="24"/>
        </w:rPr>
        <w:t>中标人因质疑、投诉被取消中标资格或不能履行合同的，则依名次进行替补。</w:t>
      </w: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rPr>
          <w:b/>
          <w:bCs/>
          <w:kern w:val="44"/>
          <w:sz w:val="44"/>
          <w:szCs w:val="44"/>
        </w:rPr>
      </w:pPr>
    </w:p>
    <w:p>
      <w:pPr>
        <w:pStyle w:val="713"/>
        <w:ind w:firstLine="480"/>
      </w:pPr>
    </w:p>
    <w:p>
      <w:pPr>
        <w:spacing w:line="360"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ind w:left="720" w:leftChars="343" w:firstLine="1084" w:firstLineChars="300"/>
        <w:outlineLvl w:val="0"/>
        <w:rPr>
          <w:rFonts w:ascii="仿宋" w:hAnsi="仿宋" w:eastAsia="仿宋" w:cs="仿宋"/>
          <w:b/>
          <w:sz w:val="36"/>
          <w:szCs w:val="36"/>
        </w:rPr>
      </w:pPr>
    </w:p>
    <w:p>
      <w:pPr>
        <w:spacing w:line="288" w:lineRule="auto"/>
        <w:jc w:val="both"/>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702"/>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 w:val="28"/>
          <w:szCs w:val="28"/>
        </w:rPr>
        <w:t>第一部分 合同书</w:t>
      </w:r>
    </w:p>
    <w:p>
      <w:pPr>
        <w:spacing w:before="120" w:line="288" w:lineRule="auto"/>
        <w:rPr>
          <w:rFonts w:ascii="仿宋" w:hAnsi="仿宋" w:eastAsia="仿宋" w:cs="仿宋"/>
          <w:sz w:val="24"/>
        </w:rPr>
      </w:pPr>
    </w:p>
    <w:p>
      <w:pPr>
        <w:pStyle w:val="3"/>
        <w:spacing w:line="288" w:lineRule="auto"/>
        <w:rPr>
          <w:rFonts w:ascii="仿宋" w:eastAsia="仿宋" w:cs="仿宋"/>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599"/>
        <w:spacing w:before="120" w:line="288" w:lineRule="auto"/>
        <w:rPr>
          <w:rFonts w:ascii="仿宋" w:hAnsi="仿宋" w:eastAsia="仿宋" w:cs="仿宋"/>
          <w:szCs w:val="24"/>
        </w:rPr>
      </w:pPr>
    </w:p>
    <w:p>
      <w:pPr>
        <w:pStyle w:val="599"/>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签订日期：年月日</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sz w:val="24"/>
        </w:rPr>
      </w:pPr>
      <w:bookmarkStart w:id="45" w:name="_Toc20421"/>
      <w:bookmarkStart w:id="46" w:name="_Toc15367"/>
      <w:bookmarkStart w:id="47" w:name="_Toc22967"/>
      <w:bookmarkStart w:id="48" w:name="_Toc28855"/>
      <w:bookmarkStart w:id="49" w:name="_Toc19273"/>
      <w:r>
        <w:rPr>
          <w:rFonts w:hint="eastAsia" w:ascii="仿宋" w:hAnsi="仿宋" w:eastAsia="仿宋" w:cs="仿宋"/>
          <w:b/>
          <w:sz w:val="24"/>
        </w:rPr>
        <w:t>1.1 合同组成部分</w:t>
      </w:r>
      <w:bookmarkEnd w:id="45"/>
      <w:bookmarkEnd w:id="46"/>
      <w:bookmarkEnd w:id="47"/>
      <w:bookmarkEnd w:id="48"/>
      <w:bookmarkEnd w:id="49"/>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50" w:name="_Toc18585"/>
      <w:bookmarkStart w:id="51" w:name="_Toc6773"/>
      <w:bookmarkStart w:id="52" w:name="_Toc2918"/>
      <w:bookmarkStart w:id="53" w:name="_Toc22185"/>
      <w:bookmarkStart w:id="54" w:name="_Toc6311"/>
      <w:r>
        <w:rPr>
          <w:rFonts w:hint="eastAsia" w:ascii="仿宋" w:hAnsi="仿宋" w:eastAsia="仿宋" w:cs="仿宋"/>
          <w:b/>
          <w:sz w:val="24"/>
        </w:rPr>
        <w:t>1.2 标的</w:t>
      </w:r>
      <w:bookmarkEnd w:id="50"/>
      <w:bookmarkEnd w:id="51"/>
      <w:bookmarkEnd w:id="52"/>
      <w:bookmarkEnd w:id="53"/>
      <w:bookmarkEnd w:id="54"/>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服务内容：；</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服务标准：；</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60"/>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1.2.5合同（是/否）涉及货物。若涉及货物的的，则：</w:t>
      </w:r>
    </w:p>
    <w:p>
      <w:pPr>
        <w:spacing w:line="288" w:lineRule="auto"/>
        <w:ind w:firstLine="480" w:firstLineChars="200"/>
        <w:rPr>
          <w:rFonts w:ascii="仿宋" w:hAnsi="仿宋" w:eastAsia="仿宋" w:cs="仿宋"/>
          <w:sz w:val="24"/>
          <w:u w:val="single"/>
        </w:rPr>
      </w:pPr>
      <w:bookmarkStart w:id="55" w:name="_Toc5635"/>
      <w:bookmarkStart w:id="56" w:name="_Toc13918"/>
      <w:bookmarkStart w:id="57" w:name="_Toc4929"/>
      <w:bookmarkStart w:id="58" w:name="_Toc21124"/>
      <w:bookmarkStart w:id="59" w:name="_Toc1386"/>
      <w:r>
        <w:rPr>
          <w:rFonts w:hint="eastAsia" w:ascii="仿宋" w:hAnsi="仿宋" w:eastAsia="仿宋" w:cs="仿宋"/>
          <w:sz w:val="24"/>
        </w:rPr>
        <w:t>1.2.5.1 货物名称、品牌、规格型号、花色：；</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1.2.5.2 货物数量：；</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55"/>
      <w:bookmarkEnd w:id="56"/>
      <w:bookmarkEnd w:id="57"/>
      <w:bookmarkEnd w:id="58"/>
      <w:bookmarkEnd w:id="59"/>
    </w:p>
    <w:p>
      <w:pPr>
        <w:spacing w:line="288" w:lineRule="auto"/>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1.3.1总价合同，本合同总价（含税）为：￥元（大写：元人民币）。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288" w:lineRule="auto"/>
              <w:ind w:firstLine="480" w:firstLineChars="200"/>
              <w:jc w:val="center"/>
              <w:rPr>
                <w:rFonts w:ascii="仿宋" w:hAnsi="仿宋" w:eastAsia="仿宋" w:cs="仿宋"/>
                <w:sz w:val="24"/>
                <w:szCs w:val="24"/>
              </w:rPr>
            </w:pPr>
          </w:p>
        </w:tc>
        <w:tc>
          <w:tcPr>
            <w:tcW w:w="3402" w:type="dxa"/>
            <w:vAlign w:val="center"/>
          </w:tcPr>
          <w:p>
            <w:pPr>
              <w:pStyle w:val="320"/>
              <w:spacing w:line="288" w:lineRule="auto"/>
              <w:ind w:firstLine="480" w:firstLineChars="200"/>
              <w:jc w:val="center"/>
              <w:rPr>
                <w:rFonts w:ascii="仿宋" w:hAnsi="仿宋" w:eastAsia="仿宋" w:cs="仿宋"/>
                <w:sz w:val="24"/>
                <w:szCs w:val="24"/>
              </w:rPr>
            </w:pPr>
          </w:p>
        </w:tc>
        <w:tc>
          <w:tcPr>
            <w:tcW w:w="2552" w:type="dxa"/>
            <w:vAlign w:val="center"/>
          </w:tcPr>
          <w:p>
            <w:pPr>
              <w:pStyle w:val="320"/>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288" w:lineRule="auto"/>
              <w:ind w:firstLine="480" w:firstLineChars="200"/>
              <w:jc w:val="center"/>
              <w:rPr>
                <w:rFonts w:ascii="仿宋" w:hAnsi="仿宋" w:eastAsia="仿宋" w:cs="仿宋"/>
                <w:sz w:val="24"/>
                <w:szCs w:val="24"/>
              </w:rPr>
            </w:pPr>
          </w:p>
        </w:tc>
        <w:tc>
          <w:tcPr>
            <w:tcW w:w="3402" w:type="dxa"/>
            <w:vAlign w:val="center"/>
          </w:tcPr>
          <w:p>
            <w:pPr>
              <w:pStyle w:val="320"/>
              <w:spacing w:line="288" w:lineRule="auto"/>
              <w:ind w:firstLine="480" w:firstLineChars="200"/>
              <w:jc w:val="center"/>
              <w:rPr>
                <w:rFonts w:ascii="仿宋" w:hAnsi="仿宋" w:eastAsia="仿宋" w:cs="仿宋"/>
                <w:sz w:val="24"/>
                <w:szCs w:val="24"/>
              </w:rPr>
            </w:pPr>
          </w:p>
        </w:tc>
        <w:tc>
          <w:tcPr>
            <w:tcW w:w="2552" w:type="dxa"/>
            <w:vAlign w:val="center"/>
          </w:tcPr>
          <w:p>
            <w:pPr>
              <w:pStyle w:val="320"/>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288" w:lineRule="auto"/>
              <w:ind w:firstLine="480" w:firstLineChars="200"/>
              <w:jc w:val="center"/>
              <w:rPr>
                <w:rFonts w:ascii="仿宋" w:hAnsi="仿宋" w:eastAsia="仿宋" w:cs="仿宋"/>
                <w:sz w:val="24"/>
                <w:szCs w:val="24"/>
              </w:rPr>
            </w:pPr>
          </w:p>
        </w:tc>
        <w:tc>
          <w:tcPr>
            <w:tcW w:w="3402" w:type="dxa"/>
            <w:vAlign w:val="center"/>
          </w:tcPr>
          <w:p>
            <w:pPr>
              <w:pStyle w:val="320"/>
              <w:spacing w:line="288" w:lineRule="auto"/>
              <w:ind w:firstLine="480" w:firstLineChars="200"/>
              <w:jc w:val="center"/>
              <w:rPr>
                <w:rFonts w:ascii="仿宋" w:hAnsi="仿宋" w:eastAsia="仿宋" w:cs="仿宋"/>
                <w:sz w:val="24"/>
                <w:szCs w:val="24"/>
              </w:rPr>
            </w:pPr>
          </w:p>
        </w:tc>
        <w:tc>
          <w:tcPr>
            <w:tcW w:w="2552" w:type="dxa"/>
            <w:vAlign w:val="center"/>
          </w:tcPr>
          <w:p>
            <w:pPr>
              <w:pStyle w:val="320"/>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288" w:lineRule="auto"/>
              <w:ind w:firstLine="480" w:firstLineChars="200"/>
              <w:jc w:val="center"/>
              <w:rPr>
                <w:rFonts w:ascii="仿宋" w:hAnsi="仿宋" w:eastAsia="仿宋" w:cs="仿宋"/>
                <w:sz w:val="24"/>
                <w:szCs w:val="24"/>
              </w:rPr>
            </w:pPr>
          </w:p>
        </w:tc>
        <w:tc>
          <w:tcPr>
            <w:tcW w:w="3402" w:type="dxa"/>
            <w:vAlign w:val="center"/>
          </w:tcPr>
          <w:p>
            <w:pPr>
              <w:pStyle w:val="320"/>
              <w:spacing w:line="288" w:lineRule="auto"/>
              <w:ind w:firstLine="480" w:firstLineChars="200"/>
              <w:jc w:val="center"/>
              <w:rPr>
                <w:rFonts w:ascii="仿宋" w:hAnsi="仿宋" w:eastAsia="仿宋" w:cs="仿宋"/>
                <w:sz w:val="24"/>
                <w:szCs w:val="24"/>
              </w:rPr>
            </w:pPr>
          </w:p>
        </w:tc>
        <w:tc>
          <w:tcPr>
            <w:tcW w:w="2552" w:type="dxa"/>
            <w:vAlign w:val="center"/>
          </w:tcPr>
          <w:p>
            <w:pPr>
              <w:pStyle w:val="320"/>
              <w:spacing w:line="288" w:lineRule="auto"/>
              <w:ind w:firstLine="480" w:firstLineChars="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spacing w:line="288" w:lineRule="auto"/>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spacing w:line="288" w:lineRule="auto"/>
              <w:ind w:firstLine="480" w:firstLineChars="200"/>
              <w:jc w:val="center"/>
              <w:rPr>
                <w:rFonts w:ascii="仿宋" w:hAnsi="仿宋" w:eastAsia="仿宋" w:cs="仿宋"/>
                <w:sz w:val="24"/>
                <w:szCs w:val="24"/>
              </w:rPr>
            </w:pPr>
          </w:p>
        </w:tc>
      </w:tr>
    </w:tbl>
    <w:p>
      <w:pPr>
        <w:spacing w:line="288" w:lineRule="auto"/>
        <w:ind w:firstLine="480" w:firstLineChars="200"/>
        <w:rPr>
          <w:rFonts w:ascii="仿宋" w:hAnsi="仿宋" w:eastAsia="仿宋" w:cs="仿宋"/>
          <w:sz w:val="24"/>
        </w:rPr>
      </w:pPr>
      <w:bookmarkStart w:id="60" w:name="_Toc26916"/>
      <w:bookmarkStart w:id="61" w:name="_Toc14993"/>
      <w:bookmarkStart w:id="62" w:name="_Toc30506"/>
      <w:bookmarkStart w:id="63" w:name="_Toc30158"/>
      <w:bookmarkStart w:id="64" w:name="_Toc3654"/>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pPr>
        <w:pStyle w:val="3"/>
        <w:spacing w:line="288" w:lineRule="auto"/>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rPr>
        <w:t>。</w:t>
      </w:r>
    </w:p>
    <w:bookmarkEnd w:id="60"/>
    <w:bookmarkEnd w:id="61"/>
    <w:bookmarkEnd w:id="62"/>
    <w:bookmarkEnd w:id="63"/>
    <w:bookmarkEnd w:id="64"/>
    <w:p>
      <w:pPr>
        <w:pStyle w:val="960"/>
        <w:spacing w:before="0" w:beforeAutospacing="0" w:after="0" w:afterAutospacing="0" w:line="288" w:lineRule="auto"/>
        <w:ind w:firstLine="482" w:firstLineChars="200"/>
        <w:rPr>
          <w:rFonts w:ascii="仿宋" w:hAnsi="仿宋" w:eastAsia="仿宋" w:cs="仿宋"/>
          <w:b/>
        </w:rPr>
      </w:pPr>
      <w:bookmarkStart w:id="65" w:name="_Toc1814"/>
      <w:bookmarkStart w:id="66" w:name="_Toc22618"/>
      <w:bookmarkStart w:id="67" w:name="_Toc10340"/>
      <w:bookmarkStart w:id="68" w:name="_Toc11108"/>
      <w:bookmarkStart w:id="69" w:name="_Toc8772"/>
      <w:bookmarkStart w:id="70" w:name="_Toc4760"/>
      <w:bookmarkStart w:id="71" w:name="_Toc31421"/>
      <w:bookmarkStart w:id="72" w:name="_Toc3625"/>
      <w:r>
        <w:rPr>
          <w:rFonts w:hint="eastAsia" w:ascii="仿宋" w:hAnsi="仿宋" w:eastAsia="仿宋" w:cs="仿宋"/>
          <w:b/>
        </w:rPr>
        <w:t>1.4履约保证金</w:t>
      </w:r>
    </w:p>
    <w:p>
      <w:pPr>
        <w:pStyle w:val="960"/>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left" w:pos="0"/>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65"/>
      <w:bookmarkEnd w:id="66"/>
      <w:bookmarkEnd w:id="67"/>
      <w:r>
        <w:rPr>
          <w:rFonts w:hint="eastAsia" w:ascii="仿宋" w:hAnsi="仿宋" w:eastAsia="仿宋" w:cs="仿宋"/>
          <w:b/>
          <w:sz w:val="24"/>
        </w:rPr>
        <w:t>预付款</w:t>
      </w:r>
    </w:p>
    <w:p>
      <w:pPr>
        <w:pStyle w:val="960"/>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288" w:lineRule="auto"/>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288" w:lineRule="auto"/>
        <w:ind w:firstLine="482" w:firstLineChars="200"/>
        <w:rPr>
          <w:rFonts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288" w:lineRule="auto"/>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68"/>
      <w:bookmarkEnd w:id="69"/>
      <w:bookmarkEnd w:id="70"/>
      <w:bookmarkEnd w:id="71"/>
      <w:bookmarkEnd w:id="72"/>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outlineLvl w:val="0"/>
        <w:rPr>
          <w:rFonts w:ascii="仿宋" w:hAnsi="仿宋" w:eastAsia="仿宋" w:cs="仿宋"/>
          <w:bCs/>
          <w:sz w:val="24"/>
        </w:rPr>
      </w:pPr>
      <w:bookmarkStart w:id="73" w:name="_Toc8586"/>
      <w:bookmarkStart w:id="74" w:name="_Toc24662"/>
      <w:bookmarkStart w:id="75" w:name="_Toc3079"/>
      <w:bookmarkStart w:id="76" w:name="_Toc2375"/>
      <w:bookmarkStart w:id="77" w:name="_Toc5698"/>
      <w:r>
        <w:rPr>
          <w:rFonts w:hint="eastAsia" w:ascii="仿宋" w:hAnsi="仿宋" w:eastAsia="仿宋" w:cs="仿宋"/>
          <w:bCs/>
          <w:sz w:val="24"/>
        </w:rPr>
        <w:t>1.7.4若服务涉及货物的，则货物的：</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73"/>
      <w:bookmarkEnd w:id="74"/>
      <w:bookmarkEnd w:id="75"/>
      <w:bookmarkEnd w:id="76"/>
      <w:bookmarkEnd w:id="77"/>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3"/>
        <w:spacing w:line="288" w:lineRule="auto"/>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bookmarkStart w:id="78" w:name="_Toc30329"/>
      <w:bookmarkStart w:id="79" w:name="_Toc32454"/>
      <w:bookmarkStart w:id="80" w:name="_Toc9497"/>
      <w:bookmarkStart w:id="81" w:name="_Toc18683"/>
      <w:bookmarkStart w:id="82"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8"/>
    <w:bookmarkEnd w:id="79"/>
    <w:bookmarkEnd w:id="80"/>
    <w:bookmarkEnd w:id="81"/>
    <w:bookmarkEnd w:id="82"/>
    <w:p>
      <w:pPr>
        <w:spacing w:line="288" w:lineRule="auto"/>
        <w:ind w:firstLine="482" w:firstLineChars="200"/>
        <w:outlineLvl w:val="0"/>
        <w:rPr>
          <w:rFonts w:ascii="仿宋" w:hAnsi="仿宋" w:eastAsia="仿宋" w:cs="仿宋"/>
          <w:b/>
          <w:sz w:val="24"/>
        </w:rPr>
      </w:pPr>
      <w:bookmarkStart w:id="83" w:name="_Toc28375"/>
      <w:bookmarkStart w:id="84" w:name="_Toc15583"/>
      <w:bookmarkStart w:id="85" w:name="_Toc16021"/>
      <w:r>
        <w:rPr>
          <w:rFonts w:hint="eastAsia" w:ascii="仿宋" w:hAnsi="仿宋" w:eastAsia="仿宋" w:cs="仿宋"/>
          <w:b/>
          <w:sz w:val="24"/>
        </w:rPr>
        <w:t>1.9合同争议的解决</w:t>
      </w:r>
      <w:bookmarkEnd w:id="83"/>
      <w:bookmarkEnd w:id="84"/>
      <w:bookmarkEnd w:id="85"/>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86" w:name="_Toc15322"/>
      <w:bookmarkStart w:id="87" w:name="_Toc11173"/>
      <w:bookmarkStart w:id="88" w:name="_Toc7245"/>
      <w:r>
        <w:rPr>
          <w:rFonts w:hint="eastAsia" w:ascii="仿宋" w:hAnsi="仿宋" w:eastAsia="仿宋" w:cs="仿宋"/>
          <w:b/>
          <w:sz w:val="24"/>
        </w:rPr>
        <w:t>2.0 合同生效</w:t>
      </w:r>
      <w:bookmarkEnd w:id="86"/>
      <w:bookmarkEnd w:id="87"/>
      <w:bookmarkEnd w:id="88"/>
    </w:p>
    <w:p>
      <w:pPr>
        <w:spacing w:line="288" w:lineRule="auto"/>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开户账号：开户账号：</w:t>
      </w:r>
    </w:p>
    <w:p>
      <w:pPr>
        <w:widowControl/>
        <w:adjustRightInd/>
        <w:spacing w:line="288" w:lineRule="auto"/>
        <w:jc w:val="left"/>
        <w:rPr>
          <w:rFonts w:ascii="仿宋" w:hAnsi="仿宋" w:eastAsia="仿宋" w:cs="仿宋"/>
          <w:b/>
          <w:sz w:val="24"/>
        </w:rPr>
      </w:pPr>
      <w:r>
        <w:rPr>
          <w:rFonts w:hint="eastAsia" w:ascii="仿宋" w:hAnsi="仿宋" w:eastAsia="仿宋" w:cs="仿宋"/>
          <w:b/>
        </w:rPr>
        <w:br w:type="page"/>
      </w:r>
    </w:p>
    <w:p>
      <w:pPr>
        <w:pStyle w:val="702"/>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pPr>
        <w:spacing w:line="288" w:lineRule="auto"/>
        <w:ind w:firstLine="482" w:firstLineChars="200"/>
        <w:outlineLvl w:val="0"/>
        <w:rPr>
          <w:rFonts w:ascii="仿宋" w:hAnsi="仿宋" w:eastAsia="仿宋" w:cs="仿宋"/>
          <w:b/>
          <w:sz w:val="24"/>
        </w:rPr>
      </w:pPr>
      <w:bookmarkStart w:id="89" w:name="_Toc19680"/>
      <w:bookmarkStart w:id="90" w:name="_Toc5228"/>
      <w:bookmarkStart w:id="91" w:name="_Toc31297"/>
      <w:bookmarkStart w:id="92" w:name="_Toc25079"/>
      <w:bookmarkStart w:id="93" w:name="_Toc14021"/>
      <w:r>
        <w:rPr>
          <w:rFonts w:hint="eastAsia" w:ascii="仿宋" w:hAnsi="仿宋" w:eastAsia="仿宋" w:cs="仿宋"/>
          <w:b/>
          <w:sz w:val="24"/>
        </w:rPr>
        <w:t>2.1 定义</w:t>
      </w:r>
      <w:bookmarkEnd w:id="89"/>
      <w:bookmarkEnd w:id="90"/>
      <w:bookmarkEnd w:id="91"/>
      <w:bookmarkEnd w:id="92"/>
      <w:bookmarkEnd w:id="93"/>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288"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288" w:lineRule="auto"/>
        <w:ind w:firstLine="482" w:firstLineChars="200"/>
        <w:outlineLvl w:val="0"/>
        <w:rPr>
          <w:rFonts w:ascii="仿宋" w:hAnsi="仿宋" w:eastAsia="仿宋" w:cs="仿宋"/>
          <w:b/>
          <w:sz w:val="24"/>
        </w:rPr>
      </w:pPr>
      <w:bookmarkStart w:id="94" w:name="_Toc19539"/>
      <w:bookmarkStart w:id="95" w:name="_Toc23289"/>
      <w:bookmarkStart w:id="96" w:name="_Toc31402"/>
      <w:bookmarkStart w:id="97" w:name="_Toc16752"/>
      <w:bookmarkStart w:id="98" w:name="_Toc3769"/>
      <w:r>
        <w:rPr>
          <w:rFonts w:hint="eastAsia" w:ascii="仿宋" w:hAnsi="仿宋" w:eastAsia="仿宋" w:cs="仿宋"/>
          <w:b/>
          <w:sz w:val="24"/>
        </w:rPr>
        <w:t>2.2 技术规范</w:t>
      </w:r>
      <w:bookmarkEnd w:id="94"/>
      <w:bookmarkEnd w:id="95"/>
      <w:bookmarkEnd w:id="96"/>
      <w:bookmarkEnd w:id="97"/>
      <w:bookmarkEnd w:id="98"/>
    </w:p>
    <w:p>
      <w:pPr>
        <w:spacing w:line="288"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99" w:name="_Toc13673"/>
      <w:bookmarkStart w:id="100" w:name="_Toc12412"/>
      <w:bookmarkStart w:id="101" w:name="_Toc9161"/>
      <w:bookmarkStart w:id="102" w:name="_Toc27945"/>
      <w:bookmarkStart w:id="103" w:name="_Toc4133"/>
      <w:r>
        <w:rPr>
          <w:rFonts w:hint="eastAsia" w:ascii="仿宋" w:hAnsi="仿宋" w:eastAsia="仿宋" w:cs="仿宋"/>
          <w:b/>
          <w:sz w:val="24"/>
        </w:rPr>
        <w:t>2.3 知识产权</w:t>
      </w:r>
      <w:bookmarkEnd w:id="99"/>
      <w:bookmarkEnd w:id="100"/>
      <w:bookmarkEnd w:id="101"/>
      <w:bookmarkEnd w:id="102"/>
      <w:bookmarkEnd w:id="103"/>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288"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288" w:lineRule="auto"/>
        <w:ind w:firstLine="482" w:firstLineChars="200"/>
        <w:outlineLvl w:val="0"/>
        <w:rPr>
          <w:rFonts w:ascii="仿宋" w:hAnsi="仿宋" w:eastAsia="仿宋" w:cs="仿宋"/>
          <w:b/>
          <w:sz w:val="24"/>
        </w:rPr>
      </w:pPr>
      <w:bookmarkStart w:id="104" w:name="_Toc32670"/>
      <w:bookmarkStart w:id="105" w:name="_Toc15447"/>
      <w:bookmarkStart w:id="106" w:name="_Toc26555"/>
      <w:bookmarkStart w:id="107" w:name="_Toc22011"/>
      <w:bookmarkStart w:id="108" w:name="_Toc31233"/>
      <w:r>
        <w:rPr>
          <w:rFonts w:hint="eastAsia" w:ascii="仿宋" w:hAnsi="仿宋" w:eastAsia="仿宋" w:cs="仿宋"/>
          <w:b/>
          <w:sz w:val="24"/>
        </w:rPr>
        <w:t>2.5 结算方式和付款条件</w:t>
      </w:r>
      <w:bookmarkEnd w:id="104"/>
      <w:bookmarkEnd w:id="105"/>
      <w:bookmarkEnd w:id="106"/>
      <w:bookmarkEnd w:id="107"/>
      <w:bookmarkEnd w:id="108"/>
    </w:p>
    <w:p>
      <w:pPr>
        <w:spacing w:line="288"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09" w:name="_Toc13467"/>
      <w:bookmarkStart w:id="110" w:name="_Toc18990"/>
      <w:bookmarkStart w:id="111" w:name="_Toc13154"/>
      <w:bookmarkStart w:id="112" w:name="_Toc30507"/>
      <w:bookmarkStart w:id="113" w:name="_Toc16163"/>
      <w:r>
        <w:rPr>
          <w:rFonts w:hint="eastAsia" w:ascii="仿宋" w:hAnsi="仿宋" w:eastAsia="仿宋" w:cs="仿宋"/>
          <w:b/>
          <w:sz w:val="24"/>
        </w:rPr>
        <w:t>2.6 技术资料和保密义务</w:t>
      </w:r>
      <w:bookmarkEnd w:id="109"/>
      <w:bookmarkEnd w:id="110"/>
      <w:bookmarkEnd w:id="111"/>
      <w:bookmarkEnd w:id="112"/>
      <w:bookmarkEnd w:id="113"/>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14" w:name="_Toc19069"/>
      <w:r>
        <w:rPr>
          <w:rFonts w:hint="eastAsia" w:ascii="仿宋" w:hAnsi="仿宋" w:eastAsia="仿宋" w:cs="仿宋"/>
          <w:b/>
          <w:sz w:val="24"/>
        </w:rPr>
        <w:t>2.7 质量保证</w:t>
      </w:r>
      <w:bookmarkEnd w:id="114"/>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15" w:name="_Toc22267"/>
      <w:r>
        <w:rPr>
          <w:rFonts w:hint="eastAsia" w:ascii="仿宋" w:hAnsi="仿宋" w:eastAsia="仿宋" w:cs="仿宋"/>
          <w:b/>
          <w:sz w:val="24"/>
        </w:rPr>
        <w:t>2.8 延迟履行</w:t>
      </w:r>
      <w:bookmarkEnd w:id="115"/>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288" w:lineRule="auto"/>
        <w:ind w:firstLine="482" w:firstLineChars="200"/>
        <w:outlineLvl w:val="0"/>
        <w:rPr>
          <w:rFonts w:ascii="仿宋" w:hAnsi="仿宋" w:eastAsia="仿宋" w:cs="仿宋"/>
          <w:b/>
          <w:sz w:val="24"/>
        </w:rPr>
      </w:pPr>
      <w:bookmarkStart w:id="116" w:name="_Toc10611"/>
      <w:r>
        <w:rPr>
          <w:rFonts w:hint="eastAsia" w:ascii="仿宋" w:hAnsi="仿宋" w:eastAsia="仿宋" w:cs="仿宋"/>
          <w:b/>
          <w:sz w:val="24"/>
        </w:rPr>
        <w:t>2.9 合同变更</w:t>
      </w:r>
      <w:bookmarkEnd w:id="116"/>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17" w:name="_Toc21830"/>
      <w:bookmarkStart w:id="118" w:name="_Toc26689"/>
      <w:bookmarkStart w:id="119" w:name="_Toc42"/>
      <w:bookmarkStart w:id="120" w:name="_Toc10663"/>
      <w:bookmarkStart w:id="121" w:name="_Toc23368"/>
      <w:r>
        <w:rPr>
          <w:rFonts w:hint="eastAsia" w:ascii="仿宋" w:hAnsi="仿宋" w:eastAsia="仿宋" w:cs="仿宋"/>
          <w:b/>
          <w:sz w:val="24"/>
        </w:rPr>
        <w:t>2.10 合同转让和分包</w:t>
      </w:r>
      <w:bookmarkEnd w:id="117"/>
      <w:bookmarkEnd w:id="118"/>
      <w:bookmarkEnd w:id="119"/>
      <w:bookmarkEnd w:id="120"/>
      <w:bookmarkEnd w:id="121"/>
    </w:p>
    <w:p>
      <w:pPr>
        <w:spacing w:line="288"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2" w:firstLineChars="200"/>
        <w:outlineLvl w:val="0"/>
        <w:rPr>
          <w:rFonts w:ascii="仿宋" w:hAnsi="仿宋" w:eastAsia="仿宋" w:cs="仿宋"/>
          <w:b/>
          <w:sz w:val="24"/>
        </w:rPr>
      </w:pPr>
      <w:bookmarkStart w:id="122" w:name="_Toc32494"/>
      <w:bookmarkStart w:id="123" w:name="_Toc14371"/>
      <w:bookmarkStart w:id="124" w:name="_Toc25571"/>
      <w:bookmarkStart w:id="125" w:name="_Toc26633"/>
      <w:bookmarkStart w:id="126" w:name="_Toc4720"/>
      <w:r>
        <w:rPr>
          <w:rFonts w:hint="eastAsia" w:ascii="仿宋" w:hAnsi="仿宋" w:eastAsia="仿宋" w:cs="仿宋"/>
          <w:b/>
          <w:sz w:val="24"/>
        </w:rPr>
        <w:t>2.11 不可抗力</w:t>
      </w:r>
      <w:bookmarkEnd w:id="122"/>
      <w:bookmarkEnd w:id="123"/>
      <w:bookmarkEnd w:id="124"/>
      <w:bookmarkEnd w:id="125"/>
      <w:bookmarkEnd w:id="126"/>
    </w:p>
    <w:p>
      <w:pPr>
        <w:spacing w:line="288"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27" w:name="_Toc23854"/>
      <w:bookmarkStart w:id="128" w:name="_Toc14115"/>
      <w:bookmarkStart w:id="129" w:name="_Toc24465"/>
      <w:bookmarkStart w:id="130" w:name="_Toc25783"/>
      <w:bookmarkStart w:id="131" w:name="_Toc3638"/>
      <w:r>
        <w:rPr>
          <w:rFonts w:hint="eastAsia" w:ascii="仿宋" w:hAnsi="仿宋" w:eastAsia="仿宋" w:cs="仿宋"/>
          <w:b/>
          <w:sz w:val="24"/>
        </w:rPr>
        <w:t>2.12 税费</w:t>
      </w:r>
      <w:bookmarkEnd w:id="127"/>
      <w:bookmarkEnd w:id="128"/>
      <w:bookmarkEnd w:id="129"/>
      <w:bookmarkEnd w:id="130"/>
      <w:bookmarkEnd w:id="131"/>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288" w:lineRule="auto"/>
        <w:ind w:firstLine="482" w:firstLineChars="200"/>
        <w:outlineLvl w:val="0"/>
        <w:rPr>
          <w:rFonts w:ascii="仿宋" w:hAnsi="仿宋" w:eastAsia="仿宋" w:cs="仿宋"/>
          <w:b/>
          <w:sz w:val="24"/>
        </w:rPr>
      </w:pPr>
      <w:bookmarkStart w:id="132" w:name="_Toc26883"/>
      <w:bookmarkStart w:id="133" w:name="_Toc7315"/>
      <w:bookmarkStart w:id="134" w:name="_Toc14814"/>
      <w:bookmarkStart w:id="135" w:name="_Toc30105"/>
      <w:bookmarkStart w:id="136" w:name="_Toc25525"/>
      <w:r>
        <w:rPr>
          <w:rFonts w:hint="eastAsia" w:ascii="仿宋" w:hAnsi="仿宋" w:eastAsia="仿宋" w:cs="仿宋"/>
          <w:b/>
          <w:sz w:val="24"/>
        </w:rPr>
        <w:t>2.13 乙方破产</w:t>
      </w:r>
      <w:bookmarkEnd w:id="132"/>
      <w:bookmarkEnd w:id="133"/>
      <w:bookmarkEnd w:id="134"/>
      <w:bookmarkEnd w:id="135"/>
      <w:bookmarkEnd w:id="136"/>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37" w:name="_Toc2016"/>
      <w:bookmarkStart w:id="138" w:name="_Toc1123"/>
      <w:bookmarkStart w:id="139" w:name="_Toc23323"/>
      <w:r>
        <w:rPr>
          <w:rFonts w:hint="eastAsia" w:ascii="仿宋" w:hAnsi="仿宋" w:eastAsia="仿宋" w:cs="仿宋"/>
          <w:b/>
          <w:sz w:val="24"/>
        </w:rPr>
        <w:t>2.14 合同中止、终止</w:t>
      </w:r>
      <w:bookmarkEnd w:id="137"/>
      <w:bookmarkEnd w:id="138"/>
      <w:bookmarkEnd w:id="139"/>
    </w:p>
    <w:p>
      <w:pPr>
        <w:spacing w:line="288"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40" w:name="_Toc14525"/>
      <w:bookmarkStart w:id="141" w:name="_Toc17363"/>
      <w:bookmarkStart w:id="142" w:name="_Toc1969"/>
      <w:r>
        <w:rPr>
          <w:rFonts w:hint="eastAsia" w:ascii="仿宋" w:hAnsi="仿宋" w:eastAsia="仿宋" w:cs="仿宋"/>
          <w:b/>
          <w:sz w:val="24"/>
        </w:rPr>
        <w:t>2.15 检验和验收</w:t>
      </w:r>
      <w:bookmarkEnd w:id="140"/>
      <w:bookmarkEnd w:id="141"/>
      <w:bookmarkEnd w:id="142"/>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288" w:lineRule="auto"/>
        <w:ind w:firstLine="482" w:firstLineChars="200"/>
        <w:outlineLvl w:val="0"/>
        <w:rPr>
          <w:rFonts w:ascii="仿宋" w:hAnsi="仿宋" w:eastAsia="仿宋" w:cs="仿宋"/>
          <w:b/>
          <w:sz w:val="24"/>
        </w:rPr>
      </w:pPr>
      <w:bookmarkStart w:id="143" w:name="_Toc12666"/>
      <w:bookmarkStart w:id="144" w:name="_Toc9808"/>
      <w:bookmarkStart w:id="145" w:name="_Toc31892"/>
      <w:bookmarkStart w:id="146" w:name="_Toc2308"/>
      <w:bookmarkStart w:id="147" w:name="_Toc25198"/>
      <w:r>
        <w:rPr>
          <w:rFonts w:hint="eastAsia" w:ascii="仿宋" w:hAnsi="仿宋" w:eastAsia="仿宋" w:cs="仿宋"/>
          <w:b/>
          <w:sz w:val="24"/>
        </w:rPr>
        <w:t>2.16 通知和送达</w:t>
      </w:r>
      <w:bookmarkEnd w:id="143"/>
      <w:bookmarkEnd w:id="144"/>
      <w:bookmarkEnd w:id="145"/>
      <w:bookmarkEnd w:id="146"/>
      <w:bookmarkEnd w:id="147"/>
    </w:p>
    <w:p>
      <w:pPr>
        <w:spacing w:line="288" w:lineRule="auto"/>
        <w:ind w:firstLine="480" w:firstLineChars="200"/>
        <w:rPr>
          <w:rFonts w:ascii="仿宋" w:hAnsi="仿宋" w:eastAsia="仿宋" w:cs="仿宋"/>
          <w:sz w:val="24"/>
        </w:rPr>
      </w:pPr>
      <w:bookmarkStart w:id="148" w:name="_Toc18401"/>
      <w:bookmarkStart w:id="149" w:name="_Toc27674"/>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288"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288" w:lineRule="auto"/>
        <w:ind w:firstLine="482" w:firstLineChars="200"/>
        <w:outlineLvl w:val="0"/>
        <w:rPr>
          <w:rFonts w:ascii="仿宋" w:hAnsi="仿宋" w:eastAsia="仿宋" w:cs="仿宋"/>
          <w:b/>
          <w:sz w:val="24"/>
        </w:rPr>
      </w:pPr>
      <w:bookmarkStart w:id="150" w:name="_Toc12254"/>
      <w:bookmarkStart w:id="151" w:name="_Toc28906"/>
      <w:bookmarkStart w:id="152" w:name="_Toc5063"/>
      <w:bookmarkStart w:id="153" w:name="_Toc20808"/>
      <w:bookmarkStart w:id="154" w:name="_Toc27644"/>
      <w:r>
        <w:rPr>
          <w:rFonts w:hint="eastAsia" w:ascii="仿宋" w:hAnsi="仿宋" w:eastAsia="仿宋" w:cs="仿宋"/>
          <w:b/>
          <w:sz w:val="24"/>
        </w:rPr>
        <w:t>2.17 合同使用的文字和适用的法律</w:t>
      </w:r>
      <w:bookmarkEnd w:id="150"/>
      <w:bookmarkEnd w:id="151"/>
      <w:bookmarkEnd w:id="152"/>
      <w:bookmarkEnd w:id="153"/>
      <w:bookmarkEnd w:id="154"/>
    </w:p>
    <w:p>
      <w:pPr>
        <w:spacing w:line="288"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288" w:lineRule="auto"/>
        <w:ind w:firstLine="482" w:firstLineChars="200"/>
        <w:outlineLvl w:val="0"/>
        <w:rPr>
          <w:rFonts w:ascii="仿宋" w:hAnsi="仿宋" w:eastAsia="仿宋" w:cs="仿宋"/>
          <w:b/>
          <w:sz w:val="24"/>
        </w:rPr>
      </w:pPr>
      <w:bookmarkStart w:id="155" w:name="_Toc4355"/>
      <w:bookmarkStart w:id="156" w:name="_Toc18540"/>
      <w:bookmarkStart w:id="157" w:name="_Toc30599"/>
      <w:r>
        <w:rPr>
          <w:rFonts w:hint="eastAsia" w:ascii="仿宋" w:hAnsi="仿宋" w:eastAsia="仿宋" w:cs="仿宋"/>
          <w:b/>
          <w:sz w:val="24"/>
        </w:rPr>
        <w:t>2.18 计量单位</w:t>
      </w:r>
      <w:bookmarkEnd w:id="155"/>
      <w:bookmarkEnd w:id="156"/>
      <w:bookmarkEnd w:id="157"/>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58" w:name="_Toc12773"/>
      <w:bookmarkStart w:id="159" w:name="_Toc10330"/>
      <w:bookmarkStart w:id="160" w:name="_Toc259093692"/>
      <w:bookmarkStart w:id="161" w:name="_Toc487900373"/>
      <w:bookmarkStart w:id="162" w:name="_Toc279701263"/>
      <w:bookmarkStart w:id="163" w:name="_Toc18567"/>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2.20合同份数</w:t>
      </w:r>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288" w:lineRule="auto"/>
        <w:ind w:firstLine="420" w:firstLineChars="200"/>
        <w:jc w:val="center"/>
        <w:outlineLvl w:val="0"/>
        <w:rPr>
          <w:rFonts w:ascii="仿宋" w:hAnsi="仿宋" w:eastAsia="仿宋" w:cs="仿宋"/>
          <w:b/>
          <w:sz w:val="28"/>
          <w:szCs w:val="28"/>
        </w:rPr>
      </w:pPr>
      <w:r>
        <w:rPr>
          <w:rFonts w:hint="eastAsia" w:ascii="仿宋" w:hAnsi="仿宋" w:eastAsia="仿宋" w:cs="仿宋"/>
          <w:kern w:val="0"/>
        </w:rPr>
        <w:br w:type="page"/>
      </w:r>
      <w:bookmarkStart w:id="164" w:name="_Toc331685784"/>
      <w:bookmarkEnd w:id="164"/>
      <w:r>
        <w:rPr>
          <w:rFonts w:hint="eastAsia" w:ascii="仿宋" w:hAnsi="仿宋" w:eastAsia="仿宋" w:cs="仿宋"/>
          <w:b/>
          <w:sz w:val="28"/>
          <w:szCs w:val="28"/>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42" w:type="dxa"/>
        <w:tblInd w:w="-38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36"/>
        <w:gridCol w:w="81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0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1.3.2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1.5.1 </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1.5.3 </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1.7.4.1</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1.7.4.3</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1.8.7</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1.9.1</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1.9.2</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10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2.5</w:t>
            </w:r>
          </w:p>
        </w:tc>
        <w:tc>
          <w:tcPr>
            <w:tcW w:w="810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2.11.3</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2.11.4 </w:t>
            </w:r>
          </w:p>
        </w:tc>
        <w:tc>
          <w:tcPr>
            <w:tcW w:w="810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2.15.1</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2.15.3</w:t>
            </w:r>
          </w:p>
        </w:tc>
        <w:tc>
          <w:tcPr>
            <w:tcW w:w="810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036"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2.19</w:t>
            </w:r>
          </w:p>
        </w:tc>
        <w:tc>
          <w:tcPr>
            <w:tcW w:w="8106" w:type="dxa"/>
          </w:tcPr>
          <w:p>
            <w:pPr>
              <w:spacing w:line="288" w:lineRule="auto"/>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rPr>
          <w:rFonts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2" w:firstLineChars="200"/>
        <w:jc w:val="left"/>
        <w:rPr>
          <w:rFonts w:ascii="仿宋" w:hAnsi="仿宋" w:eastAsia="仿宋" w:cs="仿宋"/>
          <w:b/>
          <w:bCs/>
          <w:kern w:val="0"/>
          <w:sz w:val="24"/>
        </w:rPr>
      </w:pPr>
      <w:r>
        <w:rPr>
          <w:rFonts w:hint="eastAsia" w:ascii="仿宋" w:hAnsi="仿宋" w:eastAsia="仿宋" w:cs="仿宋"/>
          <w:b/>
          <w:bCs/>
          <w:kern w:val="0"/>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前八</w:t>
      </w:r>
      <w:r>
        <w:rPr>
          <w:rFonts w:ascii="仿宋" w:hAnsi="仿宋" w:eastAsia="仿宋" w:cs="仿宋"/>
          <w:b/>
          <w:bCs/>
          <w:kern w:val="0"/>
          <w:sz w:val="24"/>
        </w:rPr>
        <w:t>名</w:t>
      </w:r>
      <w:r>
        <w:rPr>
          <w:rFonts w:hint="eastAsia" w:ascii="仿宋" w:hAnsi="仿宋" w:eastAsia="仿宋" w:cs="仿宋"/>
          <w:b/>
          <w:bCs/>
          <w:kern w:val="0"/>
          <w:sz w:val="24"/>
        </w:rPr>
        <w:t>的投标人为入围单位。入围单位并列的，采用随机抽取的方式确定。入围后按得分从高到低，由入围单位现场依次自主选择一类线路。当有效</w:t>
      </w:r>
      <w:r>
        <w:rPr>
          <w:rFonts w:ascii="仿宋" w:hAnsi="仿宋" w:eastAsia="仿宋" w:cs="仿宋"/>
          <w:b/>
          <w:bCs/>
          <w:kern w:val="0"/>
          <w:sz w:val="24"/>
        </w:rPr>
        <w:t>投标人少于</w:t>
      </w:r>
      <w:r>
        <w:rPr>
          <w:rFonts w:hint="eastAsia" w:ascii="仿宋" w:hAnsi="仿宋" w:eastAsia="仿宋" w:cs="仿宋"/>
          <w:b/>
          <w:bCs/>
          <w:kern w:val="0"/>
          <w:sz w:val="24"/>
        </w:rPr>
        <w:t>8家</w:t>
      </w:r>
      <w:r>
        <w:rPr>
          <w:rFonts w:ascii="仿宋" w:hAnsi="仿宋" w:eastAsia="仿宋" w:cs="仿宋"/>
          <w:b/>
          <w:bCs/>
          <w:kern w:val="0"/>
          <w:sz w:val="24"/>
        </w:rPr>
        <w:t>时，</w:t>
      </w:r>
      <w:r>
        <w:rPr>
          <w:rFonts w:hint="eastAsia" w:ascii="仿宋" w:hAnsi="仿宋" w:eastAsia="仿宋" w:cs="仿宋"/>
          <w:b/>
          <w:bCs/>
          <w:kern w:val="0"/>
          <w:sz w:val="24"/>
        </w:rPr>
        <w:t>全部入围,按</w:t>
      </w:r>
      <w:r>
        <w:rPr>
          <w:rFonts w:ascii="仿宋" w:hAnsi="仿宋" w:eastAsia="仿宋" w:cs="仿宋"/>
          <w:b/>
          <w:bCs/>
          <w:kern w:val="0"/>
          <w:sz w:val="24"/>
        </w:rPr>
        <w:t>得分高低</w:t>
      </w:r>
      <w:r>
        <w:rPr>
          <w:rFonts w:hint="eastAsia" w:ascii="仿宋" w:hAnsi="仿宋" w:eastAsia="仿宋" w:cs="仿宋"/>
          <w:b/>
          <w:bCs/>
          <w:kern w:val="0"/>
          <w:sz w:val="24"/>
        </w:rPr>
        <w:t>由入围单位</w:t>
      </w:r>
      <w:r>
        <w:rPr>
          <w:rFonts w:ascii="仿宋" w:hAnsi="仿宋" w:eastAsia="仿宋" w:cs="仿宋"/>
          <w:b/>
          <w:bCs/>
          <w:kern w:val="0"/>
          <w:sz w:val="24"/>
        </w:rPr>
        <w:t>依次</w:t>
      </w:r>
      <w:r>
        <w:rPr>
          <w:rFonts w:hint="eastAsia" w:ascii="仿宋" w:hAnsi="仿宋" w:eastAsia="仿宋" w:cs="仿宋"/>
          <w:b/>
          <w:bCs/>
          <w:kern w:val="0"/>
          <w:sz w:val="24"/>
        </w:rPr>
        <w:t>每次选择1类线路，</w:t>
      </w:r>
      <w:r>
        <w:rPr>
          <w:rFonts w:ascii="仿宋" w:hAnsi="仿宋" w:eastAsia="仿宋" w:cs="仿宋"/>
          <w:b/>
          <w:bCs/>
          <w:kern w:val="0"/>
          <w:sz w:val="24"/>
        </w:rPr>
        <w:t>直</w:t>
      </w:r>
      <w:r>
        <w:rPr>
          <w:rFonts w:hint="eastAsia" w:ascii="仿宋" w:hAnsi="仿宋" w:eastAsia="仿宋" w:cs="仿宋"/>
          <w:b/>
          <w:bCs/>
          <w:kern w:val="0"/>
          <w:sz w:val="24"/>
        </w:rPr>
        <w:t>至所有</w:t>
      </w:r>
      <w:r>
        <w:rPr>
          <w:rFonts w:ascii="仿宋" w:hAnsi="仿宋" w:eastAsia="仿宋" w:cs="仿宋"/>
          <w:b/>
          <w:bCs/>
          <w:kern w:val="0"/>
          <w:sz w:val="24"/>
        </w:rPr>
        <w:t>线路</w:t>
      </w:r>
      <w:r>
        <w:rPr>
          <w:rFonts w:hint="eastAsia" w:ascii="仿宋" w:hAnsi="仿宋" w:eastAsia="仿宋" w:cs="仿宋"/>
          <w:b/>
          <w:bCs/>
          <w:kern w:val="0"/>
          <w:sz w:val="24"/>
        </w:rPr>
        <w:t>选择</w:t>
      </w:r>
      <w:r>
        <w:rPr>
          <w:rFonts w:ascii="仿宋" w:hAnsi="仿宋" w:eastAsia="仿宋" w:cs="仿宋"/>
          <w:b/>
          <w:bCs/>
          <w:kern w:val="0"/>
          <w:sz w:val="24"/>
        </w:rPr>
        <w:t>完毕。</w:t>
      </w:r>
      <w:r>
        <w:rPr>
          <w:rFonts w:hint="eastAsia" w:ascii="仿宋" w:hAnsi="仿宋" w:eastAsia="仿宋" w:cs="仿宋"/>
          <w:b/>
          <w:bCs/>
          <w:kern w:val="0"/>
          <w:sz w:val="24"/>
        </w:rPr>
        <w:t>入围单位现场不得放弃，否则视情节报告给相关部门。</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共100分，其中商务技术分90分，价格分10分。评分依下述所列为评标打分依据，分值如下（计算分值时，按其算术平均值保留小数2位）。</w:t>
      </w:r>
    </w:p>
    <w:p>
      <w:pPr>
        <w:spacing w:line="288" w:lineRule="auto"/>
        <w:rPr>
          <w:rFonts w:ascii="仿宋" w:hAnsi="仿宋" w:eastAsia="仿宋" w:cs="仿宋"/>
          <w:b/>
          <w:bCs/>
          <w:iCs/>
          <w:sz w:val="24"/>
        </w:rPr>
      </w:pPr>
      <w:r>
        <w:rPr>
          <w:rFonts w:hint="eastAsia" w:ascii="仿宋" w:hAnsi="仿宋" w:eastAsia="仿宋" w:cs="仿宋"/>
          <w:b/>
          <w:bCs/>
          <w:iCs/>
          <w:sz w:val="24"/>
        </w:rPr>
        <w:t>2.1商务技术分（90分）</w:t>
      </w:r>
    </w:p>
    <w:tbl>
      <w:tblPr>
        <w:tblStyle w:val="63"/>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66"/>
        <w:gridCol w:w="1388"/>
        <w:gridCol w:w="4866"/>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b/>
                <w:bCs/>
                <w:sz w:val="24"/>
              </w:rPr>
            </w:pPr>
            <w:r>
              <w:rPr>
                <w:rFonts w:hint="eastAsia" w:ascii="仿宋" w:hAnsi="仿宋" w:eastAsia="仿宋" w:cs="仿宋"/>
                <w:b/>
                <w:bCs/>
                <w:sz w:val="24"/>
              </w:rPr>
              <w:t>序号</w:t>
            </w:r>
          </w:p>
        </w:tc>
        <w:tc>
          <w:tcPr>
            <w:tcW w:w="136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b/>
                <w:bCs/>
                <w:sz w:val="24"/>
              </w:rPr>
            </w:pPr>
            <w:r>
              <w:rPr>
                <w:rFonts w:hint="eastAsia" w:ascii="仿宋" w:hAnsi="仿宋" w:eastAsia="仿宋" w:cs="仿宋"/>
                <w:b/>
                <w:bCs/>
                <w:sz w:val="24"/>
              </w:rPr>
              <w:t>评分因素</w:t>
            </w:r>
          </w:p>
        </w:tc>
        <w:tc>
          <w:tcPr>
            <w:tcW w:w="6254"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b/>
                <w:bCs/>
                <w:sz w:val="24"/>
              </w:rPr>
            </w:pPr>
            <w:r>
              <w:rPr>
                <w:rFonts w:hint="eastAsia" w:ascii="仿宋" w:hAnsi="仿宋" w:eastAsia="仿宋" w:cs="仿宋"/>
                <w:b/>
                <w:bCs/>
                <w:sz w:val="24"/>
              </w:rPr>
              <w:t>评分标准</w:t>
            </w:r>
          </w:p>
        </w:tc>
        <w:tc>
          <w:tcPr>
            <w:tcW w:w="995" w:type="dxa"/>
            <w:tcBorders>
              <w:top w:val="single" w:color="auto" w:sz="4" w:space="0"/>
              <w:left w:val="single" w:color="auto" w:sz="4" w:space="0"/>
              <w:bottom w:val="single" w:color="auto" w:sz="4" w:space="0"/>
              <w:right w:val="single" w:color="auto" w:sz="4" w:space="0"/>
            </w:tcBorders>
          </w:tcPr>
          <w:p>
            <w:pPr>
              <w:spacing w:line="288" w:lineRule="auto"/>
              <w:jc w:val="center"/>
              <w:rPr>
                <w:rFonts w:ascii="仿宋" w:hAnsi="仿宋" w:eastAsia="仿宋" w:cs="仿宋"/>
                <w:b/>
                <w:bCs/>
                <w:sz w:val="24"/>
              </w:rPr>
            </w:pPr>
            <w:r>
              <w:rPr>
                <w:rFonts w:hint="eastAsia" w:ascii="仿宋" w:hAnsi="仿宋" w:eastAsia="仿宋" w:cs="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822" w:type="dxa"/>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1366" w:type="dxa"/>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企业类似业绩</w:t>
            </w:r>
          </w:p>
        </w:tc>
        <w:tc>
          <w:tcPr>
            <w:tcW w:w="6254" w:type="dxa"/>
            <w:gridSpan w:val="2"/>
            <w:tcBorders>
              <w:top w:val="single" w:color="auto" w:sz="4" w:space="0"/>
              <w:left w:val="single" w:color="auto" w:sz="4" w:space="0"/>
              <w:right w:val="single" w:color="auto" w:sz="4" w:space="0"/>
            </w:tcBorders>
            <w:vAlign w:val="center"/>
          </w:tcPr>
          <w:p>
            <w:pPr>
              <w:spacing w:line="288" w:lineRule="auto"/>
              <w:jc w:val="left"/>
              <w:rPr>
                <w:rFonts w:ascii="仿宋" w:hAnsi="仿宋" w:eastAsia="仿宋" w:cs="仿宋"/>
                <w:sz w:val="24"/>
              </w:rPr>
            </w:pPr>
            <w:r>
              <w:rPr>
                <w:rFonts w:hint="eastAsia" w:ascii="仿宋" w:hAnsi="仿宋" w:eastAsia="仿宋" w:cs="仿宋"/>
                <w:sz w:val="24"/>
              </w:rPr>
              <w:t>近三年</w:t>
            </w:r>
            <w:r>
              <w:rPr>
                <w:rFonts w:ascii="仿宋" w:hAnsi="仿宋" w:eastAsia="仿宋" w:cs="仿宋"/>
                <w:sz w:val="24"/>
              </w:rPr>
              <w:t>(自2021年1月1日起)承担机关单位</w:t>
            </w:r>
            <w:r>
              <w:rPr>
                <w:rFonts w:hint="eastAsia" w:ascii="仿宋" w:hAnsi="仿宋" w:eastAsia="仿宋" w:cs="仿宋"/>
                <w:sz w:val="24"/>
              </w:rPr>
              <w:t>、大中型企事业单位类似疗休养服务</w:t>
            </w:r>
            <w:r>
              <w:rPr>
                <w:rFonts w:ascii="仿宋" w:hAnsi="仿宋" w:eastAsia="仿宋" w:cs="仿宋"/>
                <w:sz w:val="24"/>
              </w:rPr>
              <w:t>，</w:t>
            </w:r>
            <w:r>
              <w:rPr>
                <w:rFonts w:hint="eastAsia" w:ascii="仿宋" w:hAnsi="仿宋" w:eastAsia="仿宋" w:cs="仿宋"/>
                <w:sz w:val="24"/>
              </w:rPr>
              <w:t>每提供一份合同得1分</w:t>
            </w:r>
            <w:r>
              <w:rPr>
                <w:rFonts w:ascii="仿宋" w:hAnsi="仿宋" w:eastAsia="仿宋" w:cs="仿宋"/>
                <w:sz w:val="24"/>
              </w:rPr>
              <w:t>，最高得4分。</w:t>
            </w:r>
          </w:p>
          <w:p>
            <w:pPr>
              <w:spacing w:line="288" w:lineRule="auto"/>
              <w:jc w:val="left"/>
              <w:rPr>
                <w:rFonts w:ascii="仿宋" w:hAnsi="仿宋" w:eastAsia="仿宋" w:cs="仿宋"/>
                <w:sz w:val="24"/>
              </w:rPr>
            </w:pPr>
            <w:r>
              <w:rPr>
                <w:rFonts w:hint="eastAsia" w:ascii="仿宋" w:hAnsi="仿宋" w:eastAsia="仿宋" w:cs="仿宋"/>
                <w:bCs/>
                <w:sz w:val="24"/>
              </w:rPr>
              <w:t>注：提供合同</w:t>
            </w:r>
            <w:r>
              <w:rPr>
                <w:rFonts w:ascii="仿宋" w:hAnsi="仿宋" w:eastAsia="仿宋" w:cs="仿宋"/>
                <w:bCs/>
                <w:sz w:val="24"/>
              </w:rPr>
              <w:t>和发票</w:t>
            </w:r>
            <w:r>
              <w:rPr>
                <w:rFonts w:hint="eastAsia" w:ascii="仿宋" w:hAnsi="仿宋" w:eastAsia="仿宋" w:cs="仿宋"/>
                <w:bCs/>
                <w:sz w:val="24"/>
              </w:rPr>
              <w:t>复印件并加盖公章，同一单位只计算一份。</w:t>
            </w:r>
          </w:p>
        </w:tc>
        <w:tc>
          <w:tcPr>
            <w:tcW w:w="995" w:type="dxa"/>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trike/>
                <w:sz w:val="24"/>
              </w:rPr>
            </w:pPr>
            <w:r>
              <w:rPr>
                <w:rFonts w:hint="eastAsia" w:ascii="仿宋" w:hAnsi="仿宋" w:eastAsia="仿宋" w:cs="仿宋"/>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822" w:type="dxa"/>
            <w:vMerge w:val="restart"/>
            <w:tcBorders>
              <w:top w:val="nil"/>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p>
          <w:p>
            <w:pPr>
              <w:spacing w:line="288" w:lineRule="auto"/>
              <w:jc w:val="center"/>
              <w:rPr>
                <w:rFonts w:ascii="仿宋" w:hAnsi="仿宋" w:eastAsia="仿宋" w:cs="仿宋"/>
                <w:sz w:val="24"/>
              </w:rPr>
            </w:pPr>
            <w:r>
              <w:rPr>
                <w:rFonts w:hint="eastAsia" w:ascii="仿宋" w:hAnsi="仿宋" w:eastAsia="仿宋" w:cs="仿宋"/>
                <w:sz w:val="24"/>
              </w:rPr>
              <w:t>2</w:t>
            </w:r>
          </w:p>
          <w:p>
            <w:pPr>
              <w:spacing w:line="288" w:lineRule="auto"/>
              <w:jc w:val="center"/>
              <w:rPr>
                <w:rFonts w:ascii="仿宋" w:hAnsi="仿宋" w:eastAsia="仿宋" w:cs="仿宋"/>
                <w:sz w:val="24"/>
              </w:rPr>
            </w:pPr>
          </w:p>
        </w:tc>
        <w:tc>
          <w:tcPr>
            <w:tcW w:w="1366" w:type="dxa"/>
            <w:vMerge w:val="restart"/>
            <w:tcBorders>
              <w:top w:val="nil"/>
              <w:left w:val="nil"/>
              <w:bottom w:val="single" w:color="auto" w:sz="4" w:space="0"/>
              <w:right w:val="single" w:color="auto" w:sz="4" w:space="0"/>
            </w:tcBorders>
            <w:vAlign w:val="center"/>
          </w:tcPr>
          <w:p>
            <w:pPr>
              <w:spacing w:line="288" w:lineRule="auto"/>
              <w:jc w:val="center"/>
              <w:rPr>
                <w:rFonts w:ascii="仿宋" w:hAnsi="仿宋" w:eastAsia="仿宋" w:cs="仿宋"/>
                <w:sz w:val="24"/>
              </w:rPr>
            </w:pPr>
          </w:p>
          <w:p>
            <w:pPr>
              <w:spacing w:line="288" w:lineRule="auto"/>
              <w:jc w:val="center"/>
              <w:rPr>
                <w:rFonts w:ascii="仿宋" w:hAnsi="仿宋" w:eastAsia="仿宋" w:cs="仿宋"/>
                <w:sz w:val="24"/>
              </w:rPr>
            </w:pPr>
            <w:r>
              <w:rPr>
                <w:rFonts w:hint="eastAsia" w:ascii="仿宋" w:hAnsi="仿宋" w:eastAsia="仿宋" w:cs="仿宋"/>
                <w:sz w:val="24"/>
              </w:rPr>
              <w:t>企业资信</w:t>
            </w:r>
          </w:p>
          <w:p>
            <w:pPr>
              <w:spacing w:line="288" w:lineRule="auto"/>
              <w:jc w:val="center"/>
              <w:rPr>
                <w:rFonts w:ascii="仿宋" w:hAnsi="仿宋" w:eastAsia="仿宋" w:cs="仿宋"/>
                <w:sz w:val="24"/>
              </w:rPr>
            </w:pPr>
          </w:p>
        </w:tc>
        <w:tc>
          <w:tcPr>
            <w:tcW w:w="6254" w:type="dxa"/>
            <w:gridSpan w:val="2"/>
            <w:tcBorders>
              <w:top w:val="single" w:color="auto" w:sz="4" w:space="0"/>
              <w:left w:val="nil"/>
              <w:bottom w:val="single" w:color="auto" w:sz="4" w:space="0"/>
              <w:righ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被认定为五星级旅行社的得</w:t>
            </w:r>
            <w:r>
              <w:rPr>
                <w:rFonts w:ascii="仿宋" w:hAnsi="仿宋" w:eastAsia="仿宋" w:cs="仿宋"/>
                <w:sz w:val="24"/>
              </w:rPr>
              <w:t>5分，</w:t>
            </w:r>
            <w:r>
              <w:rPr>
                <w:rFonts w:hint="eastAsia" w:ascii="仿宋" w:hAnsi="仿宋" w:eastAsia="仿宋" w:cs="仿宋"/>
                <w:sz w:val="24"/>
              </w:rPr>
              <w:t>认定</w:t>
            </w:r>
            <w:r>
              <w:rPr>
                <w:rFonts w:ascii="仿宋" w:hAnsi="仿宋" w:eastAsia="仿宋" w:cs="仿宋"/>
                <w:sz w:val="24"/>
              </w:rPr>
              <w:t>为</w:t>
            </w:r>
            <w:r>
              <w:rPr>
                <w:rFonts w:hint="eastAsia" w:ascii="仿宋" w:hAnsi="仿宋" w:eastAsia="仿宋" w:cs="仿宋"/>
                <w:sz w:val="24"/>
              </w:rPr>
              <w:t>四星级</w:t>
            </w:r>
            <w:r>
              <w:rPr>
                <w:rFonts w:ascii="仿宋" w:hAnsi="仿宋" w:eastAsia="仿宋" w:cs="仿宋"/>
                <w:sz w:val="24"/>
              </w:rPr>
              <w:t>旅行社的得3</w:t>
            </w:r>
            <w:r>
              <w:rPr>
                <w:rFonts w:hint="eastAsia" w:ascii="仿宋" w:hAnsi="仿宋" w:eastAsia="仿宋" w:cs="仿宋"/>
                <w:sz w:val="24"/>
              </w:rPr>
              <w:t>分</w:t>
            </w:r>
            <w:r>
              <w:rPr>
                <w:rFonts w:ascii="仿宋" w:hAnsi="仿宋" w:eastAsia="仿宋" w:cs="仿宋"/>
                <w:sz w:val="24"/>
              </w:rPr>
              <w:t>，认定为三星级的得1</w:t>
            </w:r>
            <w:r>
              <w:rPr>
                <w:rFonts w:hint="eastAsia" w:ascii="仿宋" w:hAnsi="仿宋" w:eastAsia="仿宋" w:cs="仿宋"/>
                <w:sz w:val="24"/>
              </w:rPr>
              <w:t>分</w:t>
            </w:r>
            <w:r>
              <w:rPr>
                <w:rFonts w:ascii="仿宋" w:hAnsi="仿宋" w:eastAsia="仿宋" w:cs="仿宋"/>
                <w:sz w:val="24"/>
              </w:rPr>
              <w:t>，否则不得分。</w:t>
            </w:r>
          </w:p>
          <w:p>
            <w:pPr>
              <w:spacing w:line="288" w:lineRule="auto"/>
              <w:rPr>
                <w:rFonts w:ascii="仿宋" w:hAnsi="仿宋" w:eastAsia="仿宋" w:cs="仿宋"/>
                <w:sz w:val="24"/>
              </w:rPr>
            </w:pPr>
            <w:r>
              <w:rPr>
                <w:rFonts w:hint="eastAsia" w:ascii="仿宋" w:hAnsi="仿宋" w:eastAsia="仿宋" w:cs="仿宋"/>
                <w:b/>
                <w:sz w:val="24"/>
              </w:rPr>
              <w:t>注：</w:t>
            </w:r>
            <w:r>
              <w:rPr>
                <w:rFonts w:hint="eastAsia" w:ascii="仿宋" w:hAnsi="仿宋" w:eastAsia="仿宋" w:cs="仿宋"/>
                <w:b/>
                <w:bCs/>
                <w:sz w:val="24"/>
              </w:rPr>
              <w:t>省级及以上</w:t>
            </w:r>
            <w:r>
              <w:rPr>
                <w:rFonts w:hint="eastAsia" w:ascii="仿宋" w:hAnsi="仿宋" w:eastAsia="仿宋" w:cs="仿宋"/>
                <w:b/>
                <w:sz w:val="24"/>
              </w:rPr>
              <w:t>旅游主管部门颁发的证书或证明材料复印件并加盖公章。</w:t>
            </w:r>
          </w:p>
        </w:tc>
        <w:tc>
          <w:tcPr>
            <w:tcW w:w="995" w:type="dxa"/>
            <w:tcBorders>
              <w:top w:val="single" w:color="auto" w:sz="4" w:space="0"/>
              <w:left w:val="nil"/>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822"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66" w:type="dxa"/>
            <w:vMerge w:val="continue"/>
            <w:tcBorders>
              <w:left w:val="nil"/>
              <w:right w:val="single" w:color="auto" w:sz="4" w:space="0"/>
            </w:tcBorders>
            <w:vAlign w:val="center"/>
          </w:tcPr>
          <w:p>
            <w:pPr>
              <w:spacing w:line="288" w:lineRule="auto"/>
              <w:jc w:val="center"/>
              <w:rPr>
                <w:rFonts w:ascii="仿宋" w:hAnsi="仿宋" w:eastAsia="仿宋" w:cs="仿宋"/>
                <w:sz w:val="24"/>
              </w:rPr>
            </w:pPr>
          </w:p>
        </w:tc>
        <w:tc>
          <w:tcPr>
            <w:tcW w:w="6254" w:type="dxa"/>
            <w:gridSpan w:val="2"/>
            <w:tcBorders>
              <w:top w:val="single" w:color="auto" w:sz="4" w:space="0"/>
              <w:left w:val="nil"/>
              <w:bottom w:val="single" w:color="auto" w:sz="4" w:space="0"/>
              <w:right w:val="single" w:color="auto" w:sz="4" w:space="0"/>
            </w:tcBorders>
            <w:vAlign w:val="center"/>
          </w:tcPr>
          <w:p>
            <w:pPr>
              <w:widowControl/>
              <w:kinsoku w:val="0"/>
              <w:snapToGrid w:val="0"/>
              <w:spacing w:line="288" w:lineRule="auto"/>
              <w:jc w:val="left"/>
              <w:textAlignment w:val="baseline"/>
              <w:rPr>
                <w:rFonts w:ascii="仿宋" w:hAnsi="仿宋" w:eastAsia="仿宋" w:cs="仿宋"/>
                <w:snapToGrid w:val="0"/>
                <w:kern w:val="0"/>
                <w:sz w:val="24"/>
              </w:rPr>
            </w:pPr>
            <w:r>
              <w:rPr>
                <w:rFonts w:hint="eastAsia" w:ascii="仿宋" w:hAnsi="仿宋" w:eastAsia="仿宋" w:cs="仿宋"/>
                <w:sz w:val="24"/>
              </w:rPr>
              <w:t>投标人具有有效的质量体系认证、环境管理体系认证、职业健康安全管理体系认证</w:t>
            </w:r>
            <w:r>
              <w:rPr>
                <w:rFonts w:ascii="仿宋" w:hAnsi="仿宋" w:eastAsia="仿宋" w:cs="仿宋"/>
                <w:sz w:val="24"/>
              </w:rPr>
              <w:t>，</w:t>
            </w:r>
            <w:r>
              <w:rPr>
                <w:rFonts w:hint="eastAsia" w:ascii="仿宋" w:hAnsi="仿宋" w:eastAsia="仿宋" w:cs="仿宋"/>
                <w:sz w:val="24"/>
              </w:rPr>
              <w:t>各</w:t>
            </w:r>
            <w:r>
              <w:rPr>
                <w:rFonts w:ascii="仿宋" w:hAnsi="仿宋" w:eastAsia="仿宋" w:cs="仿宋"/>
                <w:sz w:val="24"/>
              </w:rPr>
              <w:t>得1</w:t>
            </w:r>
            <w:r>
              <w:rPr>
                <w:rFonts w:hint="eastAsia" w:ascii="仿宋" w:hAnsi="仿宋" w:eastAsia="仿宋" w:cs="仿宋"/>
                <w:sz w:val="24"/>
              </w:rPr>
              <w:t>分</w:t>
            </w:r>
            <w:r>
              <w:rPr>
                <w:rFonts w:hint="eastAsia" w:ascii="仿宋" w:hAnsi="仿宋" w:eastAsia="仿宋" w:cs="仿宋"/>
                <w:snapToGrid w:val="0"/>
                <w:kern w:val="0"/>
                <w:sz w:val="24"/>
              </w:rPr>
              <w:t>，最高</w:t>
            </w:r>
            <w:r>
              <w:rPr>
                <w:rFonts w:ascii="仿宋" w:hAnsi="仿宋" w:eastAsia="仿宋" w:cs="仿宋"/>
                <w:snapToGrid w:val="0"/>
                <w:kern w:val="0"/>
                <w:sz w:val="24"/>
              </w:rPr>
              <w:t>得3</w:t>
            </w:r>
            <w:r>
              <w:rPr>
                <w:rFonts w:hint="eastAsia" w:ascii="仿宋" w:hAnsi="仿宋" w:eastAsia="仿宋" w:cs="仿宋"/>
                <w:snapToGrid w:val="0"/>
                <w:kern w:val="0"/>
                <w:sz w:val="24"/>
              </w:rPr>
              <w:t>分</w:t>
            </w:r>
            <w:r>
              <w:rPr>
                <w:rFonts w:ascii="仿宋" w:hAnsi="仿宋" w:eastAsia="仿宋" w:cs="仿宋"/>
                <w:snapToGrid w:val="0"/>
                <w:kern w:val="0"/>
                <w:sz w:val="24"/>
              </w:rPr>
              <w:t>。</w:t>
            </w:r>
          </w:p>
          <w:p>
            <w:pPr>
              <w:widowControl/>
              <w:kinsoku w:val="0"/>
              <w:snapToGrid w:val="0"/>
              <w:spacing w:line="288" w:lineRule="auto"/>
              <w:jc w:val="left"/>
              <w:textAlignment w:val="baseline"/>
              <w:rPr>
                <w:rFonts w:ascii="仿宋" w:hAnsi="仿宋" w:eastAsia="仿宋" w:cs="仿宋"/>
                <w:b/>
                <w:sz w:val="24"/>
              </w:rPr>
            </w:pPr>
            <w:r>
              <w:rPr>
                <w:rFonts w:hint="eastAsia" w:ascii="仿宋" w:hAnsi="仿宋" w:eastAsia="仿宋" w:cs="仿宋"/>
                <w:b/>
                <w:sz w:val="24"/>
              </w:rPr>
              <w:t>注：提供证书复印件并加盖单位公章。</w:t>
            </w:r>
          </w:p>
        </w:tc>
        <w:tc>
          <w:tcPr>
            <w:tcW w:w="995" w:type="dxa"/>
            <w:tcBorders>
              <w:top w:val="single" w:color="auto" w:sz="4" w:space="0"/>
              <w:left w:val="nil"/>
              <w:bottom w:val="single" w:color="auto" w:sz="4" w:space="0"/>
              <w:right w:val="single" w:color="auto" w:sz="4" w:space="0"/>
            </w:tcBorders>
            <w:vAlign w:val="center"/>
          </w:tcPr>
          <w:p>
            <w:pPr>
              <w:pStyle w:val="24"/>
              <w:spacing w:line="288" w:lineRule="auto"/>
              <w:ind w:firstLine="0" w:firstLineChars="0"/>
              <w:jc w:val="center"/>
              <w:rPr>
                <w:rFonts w:ascii="仿宋" w:hAnsi="仿宋" w:eastAsia="仿宋" w:cs="仿宋"/>
              </w:rPr>
            </w:pPr>
            <w:r>
              <w:rPr>
                <w:rFonts w:ascii="仿宋" w:hAnsi="仿宋" w:eastAsia="仿宋" w:cs="仿宋"/>
              </w:rPr>
              <w:t>3</w:t>
            </w:r>
            <w:r>
              <w:rPr>
                <w:rFonts w:hint="eastAsia" w:ascii="仿宋" w:hAnsi="仿宋" w:eastAsia="仿宋" w:cs="仿宋"/>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822" w:type="dxa"/>
            <w:vMerge w:val="continue"/>
            <w:tcBorders>
              <w:top w:val="nil"/>
              <w:left w:val="single" w:color="auto" w:sz="4" w:space="0"/>
              <w:bottom w:val="single" w:color="auto" w:sz="4" w:space="0"/>
              <w:right w:val="single" w:color="auto" w:sz="4" w:space="0"/>
            </w:tcBorders>
            <w:vAlign w:val="center"/>
          </w:tcPr>
          <w:p>
            <w:pPr>
              <w:widowControl/>
              <w:spacing w:line="288" w:lineRule="auto"/>
              <w:jc w:val="left"/>
              <w:rPr>
                <w:rFonts w:ascii="仿宋" w:hAnsi="仿宋" w:eastAsia="仿宋" w:cs="仿宋"/>
                <w:sz w:val="24"/>
              </w:rPr>
            </w:pPr>
          </w:p>
        </w:tc>
        <w:tc>
          <w:tcPr>
            <w:tcW w:w="1366" w:type="dxa"/>
            <w:vMerge w:val="continue"/>
            <w:tcBorders>
              <w:top w:val="nil"/>
              <w:left w:val="nil"/>
              <w:bottom w:val="single" w:color="auto" w:sz="4" w:space="0"/>
              <w:right w:val="single" w:color="auto" w:sz="4" w:space="0"/>
            </w:tcBorders>
            <w:vAlign w:val="center"/>
          </w:tcPr>
          <w:p>
            <w:pPr>
              <w:widowControl/>
              <w:spacing w:line="288" w:lineRule="auto"/>
              <w:jc w:val="center"/>
              <w:rPr>
                <w:rFonts w:ascii="仿宋" w:hAnsi="仿宋" w:eastAsia="仿宋" w:cs="仿宋"/>
                <w:sz w:val="24"/>
              </w:rPr>
            </w:pPr>
          </w:p>
        </w:tc>
        <w:tc>
          <w:tcPr>
            <w:tcW w:w="6254" w:type="dxa"/>
            <w:gridSpan w:val="2"/>
            <w:tcBorders>
              <w:top w:val="single" w:color="auto" w:sz="4" w:space="0"/>
              <w:left w:val="nil"/>
              <w:bottom w:val="single" w:color="auto" w:sz="4" w:space="0"/>
              <w:righ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投标人单位或为本项目投入的导游获得政府或旅游行政主管部门颁发的省（部）级及以上荣誉的，每一个得</w:t>
            </w:r>
            <w:r>
              <w:rPr>
                <w:rFonts w:ascii="仿宋" w:hAnsi="仿宋" w:eastAsia="仿宋" w:cs="仿宋"/>
                <w:sz w:val="24"/>
              </w:rPr>
              <w:t>2</w:t>
            </w:r>
            <w:r>
              <w:rPr>
                <w:rFonts w:hint="eastAsia" w:ascii="仿宋" w:hAnsi="仿宋" w:eastAsia="仿宋" w:cs="仿宋"/>
                <w:sz w:val="24"/>
              </w:rPr>
              <w:t>分，市（厅</w:t>
            </w:r>
            <w:r>
              <w:rPr>
                <w:rFonts w:ascii="仿宋" w:hAnsi="仿宋" w:eastAsia="仿宋" w:cs="仿宋"/>
                <w:sz w:val="24"/>
              </w:rPr>
              <w:t>）</w:t>
            </w:r>
            <w:r>
              <w:rPr>
                <w:rFonts w:hint="eastAsia" w:ascii="仿宋" w:hAnsi="仿宋" w:eastAsia="仿宋" w:cs="仿宋"/>
                <w:sz w:val="24"/>
              </w:rPr>
              <w:t>级荣誉的，每一个得</w:t>
            </w:r>
            <w:r>
              <w:rPr>
                <w:rFonts w:ascii="仿宋" w:hAnsi="仿宋" w:eastAsia="仿宋" w:cs="仿宋"/>
                <w:sz w:val="24"/>
              </w:rPr>
              <w:t>1</w:t>
            </w:r>
            <w:r>
              <w:rPr>
                <w:rFonts w:hint="eastAsia" w:ascii="仿宋" w:hAnsi="仿宋" w:eastAsia="仿宋" w:cs="仿宋"/>
                <w:sz w:val="24"/>
              </w:rPr>
              <w:t>分，本项最多得4分。</w:t>
            </w:r>
          </w:p>
          <w:p>
            <w:pPr>
              <w:spacing w:line="288" w:lineRule="auto"/>
              <w:rPr>
                <w:rFonts w:ascii="仿宋" w:hAnsi="仿宋" w:eastAsia="仿宋" w:cs="仿宋"/>
                <w:sz w:val="24"/>
              </w:rPr>
            </w:pPr>
            <w:r>
              <w:rPr>
                <w:rFonts w:hint="eastAsia" w:ascii="仿宋" w:hAnsi="仿宋" w:eastAsia="仿宋" w:cs="仿宋"/>
                <w:sz w:val="24"/>
              </w:rPr>
              <w:t>获得其他荣誉的，每个得</w:t>
            </w:r>
            <w:r>
              <w:rPr>
                <w:rFonts w:ascii="仿宋" w:hAnsi="仿宋" w:eastAsia="仿宋" w:cs="仿宋"/>
                <w:sz w:val="24"/>
              </w:rPr>
              <w:t>0.5</w:t>
            </w:r>
            <w:r>
              <w:rPr>
                <w:rFonts w:hint="eastAsia" w:ascii="仿宋" w:hAnsi="仿宋" w:eastAsia="仿宋" w:cs="仿宋"/>
                <w:sz w:val="24"/>
              </w:rPr>
              <w:t>分，最多不超过2分。</w:t>
            </w:r>
          </w:p>
          <w:p>
            <w:pPr>
              <w:spacing w:line="288" w:lineRule="auto"/>
              <w:rPr>
                <w:rFonts w:ascii="仿宋" w:hAnsi="仿宋" w:eastAsia="仿宋" w:cs="仿宋"/>
                <w:sz w:val="24"/>
              </w:rPr>
            </w:pPr>
            <w:r>
              <w:rPr>
                <w:rFonts w:hint="eastAsia" w:ascii="仿宋" w:hAnsi="仿宋" w:eastAsia="仿宋" w:cs="仿宋"/>
                <w:sz w:val="24"/>
              </w:rPr>
              <w:t>同一项目或同一人的荣誉，不重复计分，按最高奖项计分，最高不超过</w:t>
            </w:r>
            <w:r>
              <w:rPr>
                <w:rFonts w:ascii="仿宋" w:hAnsi="仿宋" w:eastAsia="仿宋" w:cs="仿宋"/>
                <w:sz w:val="24"/>
              </w:rPr>
              <w:t>4分。</w:t>
            </w:r>
          </w:p>
          <w:p>
            <w:pPr>
              <w:spacing w:line="288" w:lineRule="auto"/>
              <w:rPr>
                <w:rFonts w:ascii="仿宋" w:hAnsi="仿宋" w:eastAsia="仿宋" w:cs="仿宋"/>
                <w:snapToGrid w:val="0"/>
                <w:kern w:val="0"/>
                <w:sz w:val="24"/>
              </w:rPr>
            </w:pPr>
            <w:r>
              <w:rPr>
                <w:rFonts w:hint="eastAsia" w:ascii="仿宋" w:hAnsi="仿宋" w:eastAsia="仿宋" w:cs="仿宋"/>
                <w:b/>
                <w:sz w:val="24"/>
              </w:rPr>
              <w:t>注：</w:t>
            </w:r>
            <w:r>
              <w:rPr>
                <w:rFonts w:hint="eastAsia" w:ascii="仿宋" w:hAnsi="仿宋" w:eastAsia="仿宋" w:cs="仿宋"/>
                <w:b/>
                <w:bCs/>
                <w:sz w:val="24"/>
              </w:rPr>
              <w:t>提供证书复印件加盖单位公章，导游提供</w:t>
            </w:r>
            <w:r>
              <w:rPr>
                <w:rFonts w:hint="eastAsia" w:ascii="仿宋" w:hAnsi="仿宋" w:eastAsia="仿宋" w:cs="仿宋"/>
                <w:b/>
                <w:sz w:val="24"/>
              </w:rPr>
              <w:t>社保证明复印件并加盖公章。</w:t>
            </w:r>
          </w:p>
        </w:tc>
        <w:tc>
          <w:tcPr>
            <w:tcW w:w="995" w:type="dxa"/>
            <w:tcBorders>
              <w:top w:val="single" w:color="auto" w:sz="4" w:space="0"/>
              <w:left w:val="nil"/>
              <w:bottom w:val="single" w:color="auto" w:sz="4" w:space="0"/>
              <w:right w:val="single" w:color="auto" w:sz="4" w:space="0"/>
            </w:tcBorders>
            <w:vAlign w:val="center"/>
          </w:tcPr>
          <w:p>
            <w:pPr>
              <w:widowControl/>
              <w:kinsoku w:val="0"/>
              <w:snapToGrid w:val="0"/>
              <w:spacing w:line="288" w:lineRule="auto"/>
              <w:jc w:val="center"/>
              <w:textAlignment w:val="baseline"/>
              <w:rPr>
                <w:rFonts w:ascii="仿宋" w:hAnsi="仿宋" w:eastAsia="仿宋" w:cs="仿宋"/>
                <w:snapToGrid w:val="0"/>
                <w:kern w:val="0"/>
                <w:sz w:val="24"/>
              </w:rPr>
            </w:pPr>
            <w:r>
              <w:rPr>
                <w:rFonts w:ascii="仿宋" w:hAnsi="仿宋" w:eastAsia="仿宋" w:cs="仿宋"/>
                <w:snapToGrid w:val="0"/>
                <w:kern w:val="0"/>
                <w:sz w:val="24"/>
              </w:rPr>
              <w:t>6</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1366"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企业人力资源</w:t>
            </w:r>
          </w:p>
        </w:tc>
        <w:tc>
          <w:tcPr>
            <w:tcW w:w="6254" w:type="dxa"/>
            <w:gridSpan w:val="2"/>
            <w:tcBorders>
              <w:top w:val="single" w:color="auto" w:sz="4" w:space="0"/>
              <w:left w:val="single" w:color="auto" w:sz="4" w:space="0"/>
              <w:right w:val="single" w:color="auto" w:sz="4" w:space="0"/>
            </w:tcBorders>
            <w:vAlign w:val="center"/>
          </w:tcPr>
          <w:p>
            <w:pPr>
              <w:spacing w:line="288" w:lineRule="auto"/>
              <w:jc w:val="left"/>
              <w:rPr>
                <w:rFonts w:ascii="仿宋" w:hAnsi="仿宋" w:eastAsia="仿宋" w:cs="仿宋"/>
                <w:sz w:val="24"/>
              </w:rPr>
            </w:pPr>
            <w:r>
              <w:rPr>
                <w:rFonts w:hint="eastAsia" w:ascii="仿宋" w:hAnsi="仿宋" w:eastAsia="仿宋" w:cs="仿宋"/>
                <w:sz w:val="24"/>
              </w:rPr>
              <w:t>投标人针对本项目投入的导游人数：16-</w:t>
            </w:r>
            <w:r>
              <w:rPr>
                <w:rFonts w:ascii="仿宋" w:hAnsi="仿宋" w:eastAsia="仿宋" w:cs="仿宋"/>
                <w:sz w:val="24"/>
              </w:rPr>
              <w:t>2</w:t>
            </w:r>
            <w:r>
              <w:rPr>
                <w:rFonts w:hint="eastAsia" w:ascii="仿宋" w:hAnsi="仿宋" w:eastAsia="仿宋" w:cs="仿宋"/>
                <w:sz w:val="24"/>
              </w:rPr>
              <w:t>0名及以上得</w:t>
            </w:r>
            <w:r>
              <w:rPr>
                <w:rFonts w:ascii="仿宋" w:hAnsi="仿宋" w:eastAsia="仿宋" w:cs="仿宋"/>
                <w:sz w:val="24"/>
              </w:rPr>
              <w:t>5</w:t>
            </w:r>
            <w:r>
              <w:rPr>
                <w:rFonts w:hint="eastAsia" w:ascii="仿宋" w:hAnsi="仿宋" w:eastAsia="仿宋" w:cs="仿宋"/>
                <w:sz w:val="24"/>
              </w:rPr>
              <w:t>分；</w:t>
            </w:r>
            <w:r>
              <w:rPr>
                <w:rFonts w:ascii="仿宋" w:hAnsi="仿宋" w:eastAsia="仿宋" w:cs="仿宋"/>
                <w:sz w:val="24"/>
              </w:rPr>
              <w:t>11</w:t>
            </w:r>
            <w:r>
              <w:rPr>
                <w:rFonts w:hint="eastAsia" w:ascii="仿宋" w:hAnsi="仿宋" w:eastAsia="仿宋" w:cs="仿宋"/>
                <w:sz w:val="24"/>
              </w:rPr>
              <w:t>-15名得</w:t>
            </w:r>
            <w:r>
              <w:rPr>
                <w:rFonts w:ascii="仿宋" w:hAnsi="仿宋" w:eastAsia="仿宋" w:cs="仿宋"/>
                <w:sz w:val="24"/>
              </w:rPr>
              <w:t>4</w:t>
            </w:r>
            <w:r>
              <w:rPr>
                <w:rFonts w:hint="eastAsia" w:ascii="仿宋" w:hAnsi="仿宋" w:eastAsia="仿宋" w:cs="仿宋"/>
                <w:sz w:val="24"/>
              </w:rPr>
              <w:t>分，</w:t>
            </w:r>
            <w:r>
              <w:rPr>
                <w:rFonts w:ascii="仿宋" w:hAnsi="仿宋" w:eastAsia="仿宋" w:cs="仿宋"/>
                <w:sz w:val="24"/>
              </w:rPr>
              <w:t>6</w:t>
            </w:r>
            <w:r>
              <w:rPr>
                <w:rFonts w:hint="eastAsia" w:ascii="仿宋" w:hAnsi="仿宋" w:eastAsia="仿宋" w:cs="仿宋"/>
                <w:sz w:val="24"/>
              </w:rPr>
              <w:t>-10名得</w:t>
            </w:r>
            <w:r>
              <w:rPr>
                <w:rFonts w:ascii="仿宋" w:hAnsi="仿宋" w:eastAsia="仿宋" w:cs="仿宋"/>
                <w:sz w:val="24"/>
              </w:rPr>
              <w:t>3</w:t>
            </w:r>
            <w:r>
              <w:rPr>
                <w:rFonts w:hint="eastAsia" w:ascii="仿宋" w:hAnsi="仿宋" w:eastAsia="仿宋" w:cs="仿宋"/>
                <w:sz w:val="24"/>
              </w:rPr>
              <w:t>分；</w:t>
            </w:r>
            <w:r>
              <w:rPr>
                <w:rFonts w:ascii="仿宋" w:hAnsi="仿宋" w:eastAsia="仿宋" w:cs="仿宋"/>
                <w:sz w:val="24"/>
              </w:rPr>
              <w:t>5</w:t>
            </w:r>
            <w:r>
              <w:rPr>
                <w:rFonts w:hint="eastAsia" w:ascii="仿宋" w:hAnsi="仿宋" w:eastAsia="仿宋" w:cs="仿宋"/>
                <w:sz w:val="24"/>
              </w:rPr>
              <w:t>名得2分</w:t>
            </w:r>
            <w:r>
              <w:rPr>
                <w:rFonts w:ascii="仿宋" w:hAnsi="仿宋" w:eastAsia="仿宋" w:cs="仿宋"/>
                <w:sz w:val="24"/>
              </w:rPr>
              <w:t>，</w:t>
            </w:r>
            <w:r>
              <w:rPr>
                <w:rFonts w:hint="eastAsia" w:ascii="仿宋" w:hAnsi="仿宋" w:eastAsia="仿宋" w:cs="仿宋"/>
                <w:sz w:val="24"/>
              </w:rPr>
              <w:t>4名得1分；3名及以下不得分。</w:t>
            </w:r>
          </w:p>
          <w:p>
            <w:pPr>
              <w:spacing w:line="288" w:lineRule="auto"/>
              <w:jc w:val="left"/>
              <w:rPr>
                <w:rFonts w:ascii="仿宋" w:hAnsi="仿宋" w:eastAsia="仿宋" w:cs="仿宋"/>
                <w:sz w:val="24"/>
              </w:rPr>
            </w:pPr>
            <w:r>
              <w:rPr>
                <w:rFonts w:hint="eastAsia" w:ascii="仿宋" w:hAnsi="仿宋" w:eastAsia="仿宋" w:cs="仿宋"/>
                <w:b/>
                <w:sz w:val="24"/>
              </w:rPr>
              <w:t>注：提供有效的导游证书、社保证明复印件并加盖公章。</w:t>
            </w:r>
          </w:p>
        </w:tc>
        <w:tc>
          <w:tcPr>
            <w:tcW w:w="99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3" w:hRule="atLeast"/>
          <w:jc w:val="center"/>
        </w:trPr>
        <w:tc>
          <w:tcPr>
            <w:tcW w:w="822"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1366"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旅游保险</w:t>
            </w:r>
          </w:p>
        </w:tc>
        <w:tc>
          <w:tcPr>
            <w:tcW w:w="6254"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投标人在投标截止日前有购买旅行社责任险：全团保额1500万（含）及以上的得5分，全团保额1200万（含）-1500万的得3分，全团保额800万（含）-1200万的得2分，全团保额400万（含）-800万的得1分，400万以下不得分。</w:t>
            </w:r>
          </w:p>
          <w:p>
            <w:pPr>
              <w:spacing w:line="288" w:lineRule="auto"/>
              <w:rPr>
                <w:rFonts w:ascii="仿宋" w:hAnsi="仿宋" w:eastAsia="仿宋" w:cs="仿宋"/>
                <w:sz w:val="24"/>
              </w:rPr>
            </w:pPr>
            <w:r>
              <w:rPr>
                <w:rFonts w:hint="eastAsia" w:ascii="仿宋" w:hAnsi="仿宋" w:eastAsia="仿宋" w:cs="仿宋"/>
                <w:sz w:val="24"/>
              </w:rPr>
              <w:t>2、投标人在投标截止日前有购买旅行社责任险：每人责任险额度150万的得5分，每人责任险额度100万的得3分，每人责任险额度50万的得2分。</w:t>
            </w:r>
          </w:p>
          <w:p>
            <w:pPr>
              <w:spacing w:line="288" w:lineRule="auto"/>
              <w:rPr>
                <w:rFonts w:ascii="仿宋" w:hAnsi="仿宋" w:eastAsia="仿宋" w:cs="仿宋"/>
                <w:sz w:val="24"/>
              </w:rPr>
            </w:pPr>
            <w:r>
              <w:rPr>
                <w:rFonts w:hint="eastAsia" w:ascii="仿宋" w:hAnsi="仿宋" w:eastAsia="仿宋" w:cs="仿宋"/>
                <w:b/>
                <w:sz w:val="24"/>
              </w:rPr>
              <w:t>注：投标文件中需提供保险合同或保单复印件并加盖公章</w:t>
            </w:r>
          </w:p>
        </w:tc>
        <w:tc>
          <w:tcPr>
            <w:tcW w:w="995"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822" w:type="dxa"/>
            <w:vMerge w:val="restart"/>
            <w:tcBorders>
              <w:top w:val="single" w:color="auto" w:sz="4" w:space="0"/>
              <w:left w:val="single" w:color="auto" w:sz="4" w:space="0"/>
              <w:right w:val="single" w:color="auto" w:sz="4" w:space="0"/>
            </w:tcBorders>
          </w:tcPr>
          <w:p>
            <w:pPr>
              <w:spacing w:line="288" w:lineRule="auto"/>
              <w:jc w:val="left"/>
              <w:rPr>
                <w:rFonts w:hint="eastAsia" w:ascii="仿宋" w:hAnsi="仿宋" w:eastAsia="仿宋" w:cs="仿宋"/>
                <w:sz w:val="24"/>
              </w:rPr>
            </w:pPr>
          </w:p>
          <w:p>
            <w:pPr>
              <w:spacing w:line="288" w:lineRule="auto"/>
              <w:jc w:val="left"/>
              <w:rPr>
                <w:rFonts w:hint="eastAsia" w:ascii="仿宋" w:hAnsi="仿宋" w:eastAsia="仿宋" w:cs="仿宋"/>
                <w:sz w:val="24"/>
              </w:rPr>
            </w:pPr>
          </w:p>
          <w:p>
            <w:pPr>
              <w:spacing w:line="288" w:lineRule="auto"/>
              <w:jc w:val="left"/>
              <w:rPr>
                <w:rFonts w:hint="eastAsia" w:ascii="仿宋" w:hAnsi="仿宋" w:eastAsia="仿宋" w:cs="仿宋"/>
                <w:sz w:val="24"/>
              </w:rPr>
            </w:pPr>
          </w:p>
          <w:p>
            <w:pPr>
              <w:spacing w:line="288" w:lineRule="auto"/>
              <w:jc w:val="left"/>
              <w:rPr>
                <w:rFonts w:hint="eastAsia" w:ascii="仿宋" w:hAnsi="仿宋" w:eastAsia="仿宋" w:cs="仿宋"/>
                <w:sz w:val="24"/>
              </w:rPr>
            </w:pPr>
          </w:p>
          <w:p>
            <w:pPr>
              <w:spacing w:line="288" w:lineRule="auto"/>
              <w:jc w:val="left"/>
              <w:rPr>
                <w:rFonts w:hint="eastAsia" w:ascii="仿宋" w:hAnsi="仿宋" w:eastAsia="仿宋" w:cs="仿宋"/>
                <w:sz w:val="24"/>
              </w:rPr>
            </w:pPr>
          </w:p>
          <w:p>
            <w:pPr>
              <w:spacing w:line="288" w:lineRule="auto"/>
              <w:jc w:val="left"/>
              <w:rPr>
                <w:rFonts w:hint="eastAsia" w:ascii="仿宋" w:hAnsi="仿宋" w:eastAsia="仿宋" w:cs="仿宋"/>
                <w:sz w:val="24"/>
              </w:rPr>
            </w:pPr>
          </w:p>
          <w:p>
            <w:pPr>
              <w:spacing w:line="288" w:lineRule="auto"/>
              <w:jc w:val="left"/>
              <w:rPr>
                <w:rFonts w:ascii="仿宋" w:hAnsi="仿宋" w:eastAsia="仿宋" w:cs="仿宋"/>
                <w:sz w:val="24"/>
              </w:rPr>
            </w:pPr>
          </w:p>
          <w:p>
            <w:pPr>
              <w:spacing w:line="288" w:lineRule="auto"/>
              <w:ind w:firstLine="240" w:firstLineChars="100"/>
              <w:jc w:val="left"/>
              <w:rPr>
                <w:rFonts w:ascii="仿宋" w:hAnsi="仿宋" w:eastAsia="仿宋" w:cs="仿宋"/>
                <w:sz w:val="24"/>
              </w:rPr>
            </w:pPr>
            <w:r>
              <w:rPr>
                <w:rFonts w:hint="eastAsia" w:ascii="仿宋" w:hAnsi="仿宋" w:eastAsia="仿宋" w:cs="仿宋"/>
                <w:sz w:val="24"/>
              </w:rPr>
              <w:t>5</w:t>
            </w:r>
          </w:p>
        </w:tc>
        <w:tc>
          <w:tcPr>
            <w:tcW w:w="1366"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企业服务能力：</w:t>
            </w:r>
          </w:p>
          <w:p>
            <w:pPr>
              <w:spacing w:line="288" w:lineRule="auto"/>
              <w:jc w:val="center"/>
              <w:rPr>
                <w:rFonts w:ascii="仿宋" w:hAnsi="仿宋" w:eastAsia="仿宋" w:cs="仿宋"/>
                <w:sz w:val="24"/>
              </w:rPr>
            </w:pPr>
            <w:r>
              <w:rPr>
                <w:rFonts w:hint="eastAsia" w:ascii="仿宋" w:hAnsi="仿宋" w:eastAsia="仿宋" w:cs="仿宋"/>
                <w:sz w:val="24"/>
              </w:rPr>
              <w:t>根据省、市职工疗休养文件政策和要求，选择一号线路制作服务方案，达到放松身心的疗休养目的，出行时间必须包含周末</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rPr>
              <w:t>注：投标人应当在投标文件中提供其余线路的详细出行方案（含行程安排、餐饮、住宿、车辆等，内容参照一号线路），要求提供的服务标准不低于标书中一号线路服务方案的标准，否则按无效标处理。</w:t>
            </w: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1行程安排</w:t>
            </w:r>
          </w:p>
          <w:p>
            <w:pPr>
              <w:snapToGrid w:val="0"/>
              <w:spacing w:line="288" w:lineRule="auto"/>
              <w:jc w:val="center"/>
              <w:rPr>
                <w:rFonts w:ascii="仿宋" w:hAnsi="仿宋" w:eastAsia="仿宋" w:cs="仿宋"/>
                <w:sz w:val="24"/>
              </w:rPr>
            </w:pPr>
            <w:r>
              <w:rPr>
                <w:rFonts w:hint="eastAsia" w:ascii="仿宋" w:hAnsi="仿宋" w:eastAsia="仿宋" w:cs="仿宋"/>
                <w:sz w:val="24"/>
              </w:rPr>
              <w:t>（12分）</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sz w:val="24"/>
              </w:rPr>
              <w:t>提供个性化服务方案：方案应针对该条线路具体编制，需列出每天具体详实的行程安排，包括每个参观景点及计划参观时间等，方案应以放松身心为</w:t>
            </w:r>
            <w:r>
              <w:rPr>
                <w:rFonts w:ascii="仿宋" w:hAnsi="仿宋" w:eastAsia="仿宋" w:cs="仿宋"/>
                <w:sz w:val="24"/>
              </w:rPr>
              <w:t>主</w:t>
            </w:r>
            <w:r>
              <w:rPr>
                <w:rFonts w:hint="eastAsia" w:ascii="仿宋" w:hAnsi="仿宋" w:eastAsia="仿宋" w:cs="仿宋"/>
                <w:sz w:val="24"/>
              </w:rPr>
              <w:t>。（省内0-6分，省外0-6分）</w:t>
            </w:r>
          </w:p>
        </w:tc>
        <w:tc>
          <w:tcPr>
            <w:tcW w:w="995" w:type="dxa"/>
            <w:vMerge w:val="restart"/>
            <w:tcBorders>
              <w:top w:val="single" w:color="auto" w:sz="4" w:space="0"/>
              <w:left w:val="single" w:color="auto" w:sz="4" w:space="0"/>
              <w:right w:val="single" w:color="auto" w:sz="4" w:space="0"/>
            </w:tcBorders>
            <w:vAlign w:val="center"/>
          </w:tcPr>
          <w:p>
            <w:pPr>
              <w:spacing w:line="288" w:lineRule="auto"/>
              <w:jc w:val="center"/>
              <w:rPr>
                <w:rFonts w:ascii="仿宋" w:hAnsi="仿宋" w:eastAsia="仿宋" w:cs="仿宋"/>
                <w:sz w:val="24"/>
              </w:rPr>
            </w:pPr>
            <w:r>
              <w:rPr>
                <w:rFonts w:hint="eastAsia" w:ascii="仿宋" w:hAnsi="仿宋" w:eastAsia="仿宋" w:cs="仿宋"/>
                <w:sz w:val="24"/>
              </w:rPr>
              <w:t>48分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2餐饮安排</w:t>
            </w:r>
          </w:p>
          <w:p>
            <w:pPr>
              <w:snapToGrid w:val="0"/>
              <w:spacing w:line="288" w:lineRule="auto"/>
              <w:jc w:val="center"/>
              <w:rPr>
                <w:rFonts w:ascii="仿宋" w:hAnsi="仿宋" w:eastAsia="仿宋" w:cs="仿宋"/>
                <w:sz w:val="24"/>
              </w:rPr>
            </w:pPr>
            <w:r>
              <w:rPr>
                <w:rFonts w:hint="eastAsia" w:ascii="仿宋" w:hAnsi="仿宋" w:eastAsia="仿宋" w:cs="仿宋"/>
                <w:sz w:val="24"/>
              </w:rPr>
              <w:t>（10分）</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ascii="仿宋" w:hAnsi="仿宋" w:eastAsia="仿宋" w:cs="仿宋"/>
                <w:sz w:val="24"/>
              </w:rPr>
              <w:t>1、用餐地点、就餐环境和饮品、菜</w:t>
            </w:r>
            <w:r>
              <w:rPr>
                <w:rFonts w:hint="eastAsia" w:ascii="仿宋" w:hAnsi="仿宋" w:eastAsia="仿宋" w:cs="仿宋"/>
                <w:sz w:val="24"/>
              </w:rPr>
              <w:t>品</w:t>
            </w:r>
            <w:r>
              <w:rPr>
                <w:rFonts w:ascii="仿宋" w:hAnsi="仿宋" w:eastAsia="仿宋" w:cs="仿宋"/>
                <w:sz w:val="24"/>
              </w:rPr>
              <w:t>，搭配合理性，</w:t>
            </w:r>
            <w:r>
              <w:rPr>
                <w:rFonts w:hint="eastAsia" w:ascii="仿宋" w:hAnsi="仿宋" w:eastAsia="仿宋" w:cs="仿宋"/>
                <w:sz w:val="24"/>
              </w:rPr>
              <w:t>省内0-2分，省外0-2分。（0-4分）</w:t>
            </w:r>
          </w:p>
          <w:p>
            <w:pPr>
              <w:snapToGrid w:val="0"/>
              <w:spacing w:line="288" w:lineRule="auto"/>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每人</w:t>
            </w:r>
            <w:r>
              <w:rPr>
                <w:rFonts w:ascii="仿宋" w:hAnsi="仿宋" w:eastAsia="仿宋" w:cs="仿宋"/>
                <w:sz w:val="24"/>
              </w:rPr>
              <w:t>用餐标准：根据在招标文件服务要求的基准（</w:t>
            </w:r>
            <w:r>
              <w:rPr>
                <w:rFonts w:hint="eastAsia" w:ascii="仿宋" w:hAnsi="仿宋" w:eastAsia="仿宋" w:cs="仿宋"/>
                <w:sz w:val="24"/>
              </w:rPr>
              <w:t>1</w:t>
            </w:r>
            <w:r>
              <w:rPr>
                <w:rFonts w:ascii="仿宋" w:hAnsi="仿宋" w:eastAsia="仿宋" w:cs="仿宋"/>
                <w:sz w:val="24"/>
              </w:rPr>
              <w:t>00</w:t>
            </w:r>
            <w:r>
              <w:rPr>
                <w:rFonts w:hint="eastAsia" w:ascii="仿宋" w:hAnsi="仿宋" w:eastAsia="仿宋" w:cs="仿宋"/>
                <w:sz w:val="24"/>
              </w:rPr>
              <w:t>元/天</w:t>
            </w:r>
            <w:r>
              <w:rPr>
                <w:rFonts w:ascii="仿宋" w:hAnsi="仿宋" w:eastAsia="仿宋" w:cs="仿宋"/>
                <w:sz w:val="24"/>
              </w:rPr>
              <w:t>）上提供更高的餐饮标准，</w:t>
            </w:r>
            <w:r>
              <w:rPr>
                <w:rFonts w:hint="eastAsia" w:ascii="仿宋" w:hAnsi="仿宋" w:eastAsia="仿宋" w:cs="仿宋"/>
                <w:sz w:val="24"/>
              </w:rPr>
              <w:t>省内用</w:t>
            </w:r>
            <w:r>
              <w:rPr>
                <w:rFonts w:ascii="仿宋" w:hAnsi="仿宋" w:eastAsia="仿宋" w:cs="仿宋"/>
                <w:sz w:val="24"/>
              </w:rPr>
              <w:t>餐标准</w:t>
            </w:r>
            <w:r>
              <w:rPr>
                <w:rFonts w:hint="eastAsia" w:ascii="仿宋" w:hAnsi="仿宋" w:eastAsia="仿宋" w:cs="仿宋"/>
                <w:sz w:val="24"/>
              </w:rPr>
              <w:t>每人每天</w:t>
            </w:r>
            <w:r>
              <w:rPr>
                <w:rFonts w:ascii="仿宋" w:hAnsi="仿宋" w:eastAsia="仿宋" w:cs="仿宋"/>
                <w:sz w:val="24"/>
              </w:rPr>
              <w:t>提高</w:t>
            </w:r>
            <w:r>
              <w:rPr>
                <w:rFonts w:hint="eastAsia" w:ascii="仿宋" w:hAnsi="仿宋" w:eastAsia="仿宋" w:cs="仿宋"/>
                <w:sz w:val="24"/>
              </w:rPr>
              <w:t>15元</w:t>
            </w:r>
            <w:r>
              <w:rPr>
                <w:rFonts w:ascii="仿宋" w:hAnsi="仿宋" w:eastAsia="仿宋" w:cs="仿宋"/>
                <w:sz w:val="24"/>
              </w:rPr>
              <w:t>，</w:t>
            </w:r>
            <w:r>
              <w:rPr>
                <w:rFonts w:hint="eastAsia" w:ascii="仿宋" w:hAnsi="仿宋" w:eastAsia="仿宋" w:cs="仿宋"/>
                <w:sz w:val="24"/>
              </w:rPr>
              <w:t>加0.5分，最多</w:t>
            </w:r>
            <w:r>
              <w:rPr>
                <w:rFonts w:ascii="仿宋" w:hAnsi="仿宋" w:eastAsia="仿宋" w:cs="仿宋"/>
                <w:sz w:val="24"/>
              </w:rPr>
              <w:t>加</w:t>
            </w:r>
            <w:r>
              <w:rPr>
                <w:rFonts w:hint="eastAsia" w:ascii="仿宋" w:hAnsi="仿宋" w:eastAsia="仿宋" w:cs="仿宋"/>
                <w:sz w:val="24"/>
              </w:rPr>
              <w:t>3</w:t>
            </w:r>
            <w:r>
              <w:rPr>
                <w:rFonts w:ascii="仿宋" w:hAnsi="仿宋" w:eastAsia="仿宋" w:cs="仿宋"/>
                <w:sz w:val="24"/>
              </w:rPr>
              <w:t>分，</w:t>
            </w:r>
            <w:r>
              <w:rPr>
                <w:rFonts w:hint="eastAsia" w:ascii="仿宋" w:hAnsi="仿宋" w:eastAsia="仿宋" w:cs="仿宋"/>
                <w:sz w:val="24"/>
              </w:rPr>
              <w:t>省外用</w:t>
            </w:r>
            <w:r>
              <w:rPr>
                <w:rFonts w:ascii="仿宋" w:hAnsi="仿宋" w:eastAsia="仿宋" w:cs="仿宋"/>
                <w:sz w:val="24"/>
              </w:rPr>
              <w:t>餐标准</w:t>
            </w:r>
            <w:r>
              <w:rPr>
                <w:rFonts w:hint="eastAsia" w:ascii="仿宋" w:hAnsi="仿宋" w:eastAsia="仿宋" w:cs="仿宋"/>
                <w:sz w:val="24"/>
              </w:rPr>
              <w:t>每人每天</w:t>
            </w:r>
            <w:r>
              <w:rPr>
                <w:rFonts w:ascii="仿宋" w:hAnsi="仿宋" w:eastAsia="仿宋" w:cs="仿宋"/>
                <w:sz w:val="24"/>
              </w:rPr>
              <w:t>提高</w:t>
            </w:r>
            <w:r>
              <w:rPr>
                <w:rFonts w:hint="eastAsia" w:ascii="仿宋" w:hAnsi="仿宋" w:eastAsia="仿宋" w:cs="仿宋"/>
                <w:sz w:val="24"/>
              </w:rPr>
              <w:t>15元</w:t>
            </w:r>
            <w:r>
              <w:rPr>
                <w:rFonts w:ascii="仿宋" w:hAnsi="仿宋" w:eastAsia="仿宋" w:cs="仿宋"/>
                <w:sz w:val="24"/>
              </w:rPr>
              <w:t>，</w:t>
            </w:r>
            <w:r>
              <w:rPr>
                <w:rFonts w:hint="eastAsia" w:ascii="仿宋" w:hAnsi="仿宋" w:eastAsia="仿宋" w:cs="仿宋"/>
                <w:sz w:val="24"/>
              </w:rPr>
              <w:t>加0.5分，最多</w:t>
            </w:r>
            <w:r>
              <w:rPr>
                <w:rFonts w:ascii="仿宋" w:hAnsi="仿宋" w:eastAsia="仿宋" w:cs="仿宋"/>
                <w:sz w:val="24"/>
              </w:rPr>
              <w:t>加</w:t>
            </w:r>
            <w:r>
              <w:rPr>
                <w:rFonts w:hint="eastAsia" w:ascii="仿宋" w:hAnsi="仿宋" w:eastAsia="仿宋" w:cs="仿宋"/>
                <w:sz w:val="24"/>
              </w:rPr>
              <w:t>3</w:t>
            </w:r>
            <w:r>
              <w:rPr>
                <w:rFonts w:ascii="仿宋" w:hAnsi="仿宋" w:eastAsia="仿宋" w:cs="仿宋"/>
                <w:sz w:val="24"/>
              </w:rPr>
              <w:t>分</w:t>
            </w:r>
            <w:r>
              <w:rPr>
                <w:rFonts w:hint="eastAsia" w:ascii="仿宋" w:hAnsi="仿宋" w:eastAsia="仿宋" w:cs="仿宋"/>
                <w:sz w:val="24"/>
              </w:rPr>
              <w:t>。</w:t>
            </w:r>
            <w:r>
              <w:rPr>
                <w:rFonts w:ascii="仿宋" w:hAnsi="仿宋" w:eastAsia="仿宋" w:cs="仿宋"/>
                <w:sz w:val="24"/>
              </w:rPr>
              <w:t>低于或等于基准要求的不得分。</w:t>
            </w:r>
            <w:r>
              <w:rPr>
                <w:rFonts w:hint="eastAsia" w:ascii="仿宋" w:hAnsi="仿宋" w:eastAsia="仿宋" w:cs="仿宋"/>
                <w:sz w:val="24"/>
              </w:rPr>
              <w:t>（0-6分）</w:t>
            </w:r>
          </w:p>
        </w:tc>
        <w:tc>
          <w:tcPr>
            <w:tcW w:w="995" w:type="dxa"/>
            <w:vMerge w:val="continue"/>
            <w:tcBorders>
              <w:left w:val="single" w:color="auto" w:sz="4" w:space="0"/>
              <w:right w:val="single" w:color="auto" w:sz="4" w:space="0"/>
            </w:tcBorders>
            <w:vAlign w:val="center"/>
          </w:tcPr>
          <w:p>
            <w:pPr>
              <w:pStyle w:val="24"/>
              <w:spacing w:line="288"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8"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3住宿安排</w:t>
            </w:r>
          </w:p>
          <w:p>
            <w:pPr>
              <w:snapToGrid w:val="0"/>
              <w:spacing w:line="288" w:lineRule="auto"/>
              <w:jc w:val="center"/>
              <w:rPr>
                <w:rFonts w:ascii="仿宋" w:hAnsi="仿宋" w:eastAsia="仿宋" w:cs="仿宋"/>
                <w:sz w:val="24"/>
              </w:rPr>
            </w:pPr>
            <w:r>
              <w:rPr>
                <w:rFonts w:hint="eastAsia" w:ascii="仿宋" w:hAnsi="仿宋" w:eastAsia="仿宋" w:cs="仿宋"/>
                <w:sz w:val="24"/>
              </w:rPr>
              <w:t>（13分）</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sz w:val="24"/>
              </w:rPr>
              <w:t>在招标文件服务要求的基准上提供更优的住宿（需提供酒店名称、地址和证明资料）。</w:t>
            </w:r>
          </w:p>
          <w:p>
            <w:pPr>
              <w:snapToGrid w:val="0"/>
              <w:spacing w:line="288" w:lineRule="auto"/>
              <w:rPr>
                <w:rFonts w:ascii="仿宋" w:hAnsi="仿宋" w:eastAsia="仿宋" w:cs="仿宋"/>
                <w:sz w:val="24"/>
              </w:rPr>
            </w:pPr>
            <w:r>
              <w:rPr>
                <w:rFonts w:ascii="仿宋" w:hAnsi="仿宋" w:eastAsia="仿宋" w:cs="仿宋"/>
                <w:sz w:val="24"/>
              </w:rPr>
              <w:t>1、酒店星级安排（</w:t>
            </w:r>
            <w:r>
              <w:rPr>
                <w:rFonts w:hint="eastAsia" w:ascii="仿宋" w:hAnsi="仿宋" w:eastAsia="仿宋" w:cs="仿宋"/>
                <w:sz w:val="24"/>
              </w:rPr>
              <w:t>8</w:t>
            </w:r>
            <w:r>
              <w:rPr>
                <w:rFonts w:ascii="仿宋" w:hAnsi="仿宋" w:eastAsia="仿宋" w:cs="仿宋"/>
                <w:sz w:val="24"/>
              </w:rPr>
              <w:t>分）：</w:t>
            </w:r>
            <w:r>
              <w:rPr>
                <w:rFonts w:hint="eastAsia" w:ascii="仿宋" w:hAnsi="仿宋" w:eastAsia="仿宋" w:cs="仿宋"/>
                <w:sz w:val="24"/>
              </w:rPr>
              <w:t>省内全程五星（或五钻）得4分，每少一晚减0.5分，全程四星（或四钻）得2分，低于四星（或四钻）的不得分。省外全程五星（或五钻）得4分，每少一晚减0.5分，全程四星（或四钻）得2分，低于四星（或四钻）的不得分。</w:t>
            </w:r>
          </w:p>
          <w:p>
            <w:pPr>
              <w:snapToGrid w:val="0"/>
              <w:spacing w:line="288" w:lineRule="auto"/>
              <w:rPr>
                <w:rFonts w:ascii="仿宋" w:hAnsi="仿宋" w:eastAsia="仿宋" w:cs="仿宋"/>
                <w:sz w:val="24"/>
              </w:rPr>
            </w:pPr>
            <w:r>
              <w:rPr>
                <w:rFonts w:ascii="仿宋" w:hAnsi="仿宋" w:eastAsia="仿宋" w:cs="仿宋"/>
                <w:sz w:val="24"/>
              </w:rPr>
              <w:t>2、酒店位置（3分）：评审专家根据安排酒店的位置与行程安排的贴合度高低综合评分，</w:t>
            </w:r>
            <w:r>
              <w:rPr>
                <w:rFonts w:hint="eastAsia" w:ascii="仿宋" w:hAnsi="仿宋" w:eastAsia="仿宋" w:cs="仿宋"/>
                <w:sz w:val="24"/>
              </w:rPr>
              <w:t>省内</w:t>
            </w:r>
            <w:r>
              <w:rPr>
                <w:rFonts w:ascii="仿宋" w:hAnsi="仿宋" w:eastAsia="仿宋" w:cs="仿宋"/>
                <w:sz w:val="24"/>
              </w:rPr>
              <w:t>0-</w:t>
            </w:r>
            <w:r>
              <w:rPr>
                <w:rFonts w:hint="eastAsia" w:ascii="仿宋" w:hAnsi="仿宋" w:eastAsia="仿宋" w:cs="仿宋"/>
                <w:sz w:val="24"/>
              </w:rPr>
              <w:t>1.5分；省外0-1.5分</w:t>
            </w:r>
            <w:r>
              <w:rPr>
                <w:rFonts w:ascii="仿宋" w:hAnsi="仿宋" w:eastAsia="仿宋" w:cs="仿宋"/>
                <w:sz w:val="24"/>
              </w:rPr>
              <w:t>。需提供景点与酒店距离和往返所需时间，否则不得分。</w:t>
            </w:r>
          </w:p>
          <w:p>
            <w:pPr>
              <w:snapToGrid w:val="0"/>
              <w:spacing w:line="288" w:lineRule="auto"/>
              <w:rPr>
                <w:rFonts w:ascii="仿宋" w:hAnsi="仿宋" w:eastAsia="仿宋" w:cs="仿宋"/>
                <w:sz w:val="24"/>
              </w:rPr>
            </w:pPr>
            <w:r>
              <w:rPr>
                <w:rFonts w:ascii="仿宋" w:hAnsi="仿宋" w:eastAsia="仿宋" w:cs="仿宋"/>
                <w:sz w:val="24"/>
              </w:rPr>
              <w:t>3、备选酒店（2分）：</w:t>
            </w:r>
            <w:r>
              <w:rPr>
                <w:rFonts w:hint="eastAsia" w:ascii="仿宋" w:hAnsi="仿宋" w:eastAsia="仿宋" w:cs="仿宋"/>
                <w:sz w:val="24"/>
              </w:rPr>
              <w:t>省内</w:t>
            </w:r>
            <w:r>
              <w:rPr>
                <w:rFonts w:ascii="仿宋" w:hAnsi="仿宋" w:eastAsia="仿宋" w:cs="仿宋"/>
                <w:sz w:val="24"/>
              </w:rPr>
              <w:t>备选酒店级别高于首选酒店得</w:t>
            </w:r>
            <w:r>
              <w:rPr>
                <w:rFonts w:hint="eastAsia" w:ascii="仿宋" w:hAnsi="仿宋" w:eastAsia="仿宋" w:cs="仿宋"/>
                <w:sz w:val="24"/>
              </w:rPr>
              <w:t>1</w:t>
            </w:r>
            <w:r>
              <w:rPr>
                <w:rFonts w:ascii="仿宋" w:hAnsi="仿宋" w:eastAsia="仿宋" w:cs="仿宋"/>
                <w:sz w:val="24"/>
              </w:rPr>
              <w:t>分，</w:t>
            </w:r>
            <w:r>
              <w:rPr>
                <w:rFonts w:hint="eastAsia" w:ascii="仿宋" w:hAnsi="仿宋" w:eastAsia="仿宋" w:cs="仿宋"/>
                <w:sz w:val="24"/>
              </w:rPr>
              <w:t>省外</w:t>
            </w:r>
            <w:r>
              <w:rPr>
                <w:rFonts w:ascii="仿宋" w:hAnsi="仿宋" w:eastAsia="仿宋" w:cs="仿宋"/>
                <w:sz w:val="24"/>
              </w:rPr>
              <w:t>备选酒店级别高于首选酒店得</w:t>
            </w:r>
            <w:r>
              <w:rPr>
                <w:rFonts w:hint="eastAsia" w:ascii="仿宋" w:hAnsi="仿宋" w:eastAsia="仿宋" w:cs="仿宋"/>
                <w:sz w:val="24"/>
              </w:rPr>
              <w:t>1</w:t>
            </w:r>
            <w:r>
              <w:rPr>
                <w:rFonts w:ascii="仿宋" w:hAnsi="仿宋" w:eastAsia="仿宋" w:cs="仿宋"/>
                <w:sz w:val="24"/>
              </w:rPr>
              <w:t>分</w:t>
            </w:r>
            <w:r>
              <w:rPr>
                <w:rFonts w:hint="eastAsia" w:ascii="仿宋" w:hAnsi="仿宋" w:eastAsia="仿宋" w:cs="仿宋"/>
                <w:sz w:val="24"/>
              </w:rPr>
              <w:t>，</w:t>
            </w:r>
            <w:r>
              <w:rPr>
                <w:rFonts w:ascii="仿宋" w:hAnsi="仿宋" w:eastAsia="仿宋" w:cs="仿宋"/>
                <w:sz w:val="24"/>
              </w:rPr>
              <w:t>否则不得分。</w:t>
            </w:r>
          </w:p>
        </w:tc>
        <w:tc>
          <w:tcPr>
            <w:tcW w:w="995"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4车辆安排</w:t>
            </w:r>
          </w:p>
          <w:p>
            <w:pPr>
              <w:snapToGrid w:val="0"/>
              <w:spacing w:line="288" w:lineRule="auto"/>
              <w:jc w:val="center"/>
              <w:rPr>
                <w:rFonts w:ascii="仿宋" w:hAnsi="仿宋" w:eastAsia="仿宋" w:cs="仿宋"/>
                <w:sz w:val="24"/>
              </w:rPr>
            </w:pPr>
            <w:r>
              <w:rPr>
                <w:rFonts w:hint="eastAsia" w:ascii="仿宋" w:hAnsi="仿宋" w:eastAsia="仿宋" w:cs="仿宋"/>
                <w:sz w:val="24"/>
              </w:rPr>
              <w:t>（4分）</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sz w:val="24"/>
              </w:rPr>
              <w:t>投标人针对项目投入车辆配置及驾驶员情况：需提供有效的车辆购买合同或租赁协议、行驶证及其他相关证明材料的复印件或扫描件，0-4分。</w:t>
            </w:r>
          </w:p>
        </w:tc>
        <w:tc>
          <w:tcPr>
            <w:tcW w:w="995" w:type="dxa"/>
            <w:vMerge w:val="continue"/>
            <w:tcBorders>
              <w:left w:val="single" w:color="auto" w:sz="4" w:space="0"/>
              <w:right w:val="single" w:color="auto" w:sz="4" w:space="0"/>
            </w:tcBorders>
            <w:vAlign w:val="center"/>
          </w:tcPr>
          <w:p>
            <w:pPr>
              <w:pStyle w:val="24"/>
              <w:spacing w:line="288"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5服务团队</w:t>
            </w:r>
          </w:p>
          <w:p>
            <w:pPr>
              <w:snapToGrid w:val="0"/>
              <w:spacing w:line="288" w:lineRule="auto"/>
              <w:jc w:val="center"/>
              <w:rPr>
                <w:rFonts w:ascii="仿宋" w:hAnsi="仿宋" w:eastAsia="仿宋" w:cs="仿宋"/>
                <w:sz w:val="24"/>
              </w:rPr>
            </w:pPr>
            <w:r>
              <w:rPr>
                <w:rFonts w:hint="eastAsia" w:ascii="仿宋" w:hAnsi="仿宋" w:eastAsia="仿宋" w:cs="仿宋"/>
                <w:sz w:val="24"/>
              </w:rPr>
              <w:t>（3分）</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sz w:val="24"/>
              </w:rPr>
              <w:t>投标人为本项目设立团队人员：包含项目负责人、工作人员（提供相关人员劳动合同及近期社保缴纳证明材料复印件并加盖单位公章），评委根据团队成员的资质、经验及综合能力打分，0-3分。</w:t>
            </w:r>
          </w:p>
        </w:tc>
        <w:tc>
          <w:tcPr>
            <w:tcW w:w="995" w:type="dxa"/>
            <w:vMerge w:val="continue"/>
            <w:tcBorders>
              <w:left w:val="single" w:color="auto" w:sz="4" w:space="0"/>
              <w:right w:val="single" w:color="auto" w:sz="4" w:space="0"/>
            </w:tcBorders>
            <w:vAlign w:val="center"/>
          </w:tcPr>
          <w:p>
            <w:pPr>
              <w:pStyle w:val="24"/>
              <w:spacing w:line="288"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6服务承诺</w:t>
            </w:r>
          </w:p>
          <w:p>
            <w:pPr>
              <w:snapToGrid w:val="0"/>
              <w:spacing w:line="288" w:lineRule="auto"/>
              <w:jc w:val="center"/>
              <w:rPr>
                <w:rFonts w:ascii="仿宋" w:hAnsi="仿宋" w:eastAsia="仿宋" w:cs="仿宋"/>
                <w:sz w:val="24"/>
              </w:rPr>
            </w:pPr>
            <w:r>
              <w:rPr>
                <w:rFonts w:hint="eastAsia" w:ascii="仿宋" w:hAnsi="仿宋" w:eastAsia="仿宋" w:cs="仿宋"/>
                <w:sz w:val="24"/>
              </w:rPr>
              <w:t>（3分）</w:t>
            </w:r>
          </w:p>
        </w:tc>
        <w:tc>
          <w:tcPr>
            <w:tcW w:w="4866"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sz w:val="24"/>
              </w:rPr>
              <w:t>投标人承诺20人成团、一车一团一导游、行程结束后接受满意度调查得3分，否则不得分。</w:t>
            </w:r>
          </w:p>
        </w:tc>
        <w:tc>
          <w:tcPr>
            <w:tcW w:w="995" w:type="dxa"/>
            <w:vMerge w:val="continue"/>
            <w:tcBorders>
              <w:left w:val="single" w:color="auto" w:sz="4" w:space="0"/>
              <w:right w:val="single" w:color="auto" w:sz="4" w:space="0"/>
            </w:tcBorders>
            <w:vAlign w:val="center"/>
          </w:tcPr>
          <w:p>
            <w:pPr>
              <w:pStyle w:val="24"/>
              <w:spacing w:line="288"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1388"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仿宋" w:hAnsi="仿宋" w:eastAsia="仿宋" w:cs="仿宋"/>
                <w:sz w:val="24"/>
              </w:rPr>
            </w:pPr>
            <w:r>
              <w:rPr>
                <w:rFonts w:hint="eastAsia" w:ascii="仿宋" w:hAnsi="仿宋" w:eastAsia="仿宋" w:cs="仿宋"/>
                <w:sz w:val="24"/>
              </w:rPr>
              <w:t>7应急措施（3分）</w:t>
            </w:r>
          </w:p>
        </w:tc>
        <w:tc>
          <w:tcPr>
            <w:tcW w:w="4866" w:type="dxa"/>
            <w:tcBorders>
              <w:top w:val="single" w:color="auto" w:sz="4" w:space="0"/>
              <w:left w:val="single" w:color="auto" w:sz="4" w:space="0"/>
              <w:bottom w:val="single" w:color="auto" w:sz="4" w:space="0"/>
              <w:right w:val="single" w:color="auto" w:sz="4" w:space="0"/>
            </w:tcBorders>
            <w:vAlign w:val="center"/>
          </w:tcPr>
          <w:p>
            <w:pPr>
              <w:pStyle w:val="24"/>
              <w:spacing w:line="288" w:lineRule="auto"/>
              <w:ind w:firstLine="0" w:firstLineChars="0"/>
              <w:outlineLvl w:val="0"/>
              <w:rPr>
                <w:rFonts w:ascii="仿宋" w:hAnsi="仿宋" w:eastAsia="仿宋" w:cs="仿宋"/>
              </w:rPr>
            </w:pPr>
            <w:r>
              <w:rPr>
                <w:rFonts w:hint="eastAsia" w:ascii="仿宋" w:hAnsi="仿宋" w:eastAsia="仿宋" w:cs="仿宋"/>
              </w:rPr>
              <w:t>投标人对可能出现的突发事件或者旅游安全事故的预防与应急处置措施，主要针对疫情</w:t>
            </w:r>
            <w:r>
              <w:rPr>
                <w:rFonts w:ascii="仿宋" w:hAnsi="仿宋" w:eastAsia="仿宋" w:cs="仿宋"/>
              </w:rPr>
              <w:t>、疾病、自然灾害、交通意外等突发情况。</w:t>
            </w:r>
            <w:r>
              <w:rPr>
                <w:rFonts w:hint="eastAsia" w:ascii="仿宋" w:hAnsi="仿宋" w:eastAsia="仿宋" w:cs="仿宋"/>
              </w:rPr>
              <w:t>0-</w:t>
            </w:r>
            <w:r>
              <w:rPr>
                <w:rFonts w:ascii="仿宋" w:hAnsi="仿宋" w:eastAsia="仿宋" w:cs="仿宋"/>
              </w:rPr>
              <w:t>3</w:t>
            </w:r>
            <w:r>
              <w:rPr>
                <w:rFonts w:hint="eastAsia" w:ascii="仿宋" w:hAnsi="仿宋" w:eastAsia="仿宋" w:cs="仿宋"/>
              </w:rPr>
              <w:t>分。</w:t>
            </w:r>
          </w:p>
        </w:tc>
        <w:tc>
          <w:tcPr>
            <w:tcW w:w="995" w:type="dxa"/>
            <w:vMerge w:val="continue"/>
            <w:tcBorders>
              <w:left w:val="single" w:color="auto" w:sz="4" w:space="0"/>
              <w:right w:val="single" w:color="auto" w:sz="4" w:space="0"/>
            </w:tcBorders>
            <w:vAlign w:val="center"/>
          </w:tcPr>
          <w:p>
            <w:pPr>
              <w:pStyle w:val="24"/>
              <w:spacing w:line="288" w:lineRule="auto"/>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822" w:type="dxa"/>
            <w:vMerge w:val="restart"/>
            <w:tcBorders>
              <w:left w:val="single" w:color="auto" w:sz="4" w:space="0"/>
              <w:right w:val="single" w:color="auto" w:sz="4" w:space="0"/>
            </w:tcBorders>
          </w:tcPr>
          <w:p>
            <w:pPr>
              <w:spacing w:line="288" w:lineRule="auto"/>
              <w:jc w:val="center"/>
              <w:rPr>
                <w:rFonts w:ascii="仿宋" w:hAnsi="仿宋" w:eastAsia="仿宋" w:cs="仿宋"/>
                <w:color w:val="auto"/>
                <w:sz w:val="24"/>
              </w:rPr>
            </w:pPr>
          </w:p>
          <w:p>
            <w:pPr>
              <w:spacing w:line="288" w:lineRule="auto"/>
              <w:jc w:val="center"/>
              <w:rPr>
                <w:rFonts w:ascii="仿宋" w:hAnsi="仿宋" w:eastAsia="仿宋" w:cs="仿宋"/>
                <w:color w:val="auto"/>
                <w:sz w:val="24"/>
              </w:rPr>
            </w:pPr>
          </w:p>
          <w:p>
            <w:pPr>
              <w:spacing w:line="288" w:lineRule="auto"/>
              <w:jc w:val="center"/>
              <w:rPr>
                <w:rFonts w:ascii="仿宋" w:hAnsi="仿宋" w:eastAsia="仿宋" w:cs="仿宋"/>
                <w:color w:val="auto"/>
                <w:sz w:val="24"/>
              </w:rPr>
            </w:pPr>
          </w:p>
          <w:p>
            <w:pPr>
              <w:spacing w:line="288" w:lineRule="auto"/>
              <w:jc w:val="center"/>
              <w:rPr>
                <w:rFonts w:ascii="仿宋" w:hAnsi="仿宋" w:eastAsia="仿宋" w:cs="仿宋"/>
                <w:color w:val="auto"/>
                <w:sz w:val="24"/>
              </w:rPr>
            </w:pPr>
            <w:r>
              <w:rPr>
                <w:rFonts w:ascii="仿宋" w:hAnsi="仿宋" w:eastAsia="仿宋" w:cs="仿宋"/>
                <w:color w:val="auto"/>
                <w:sz w:val="24"/>
              </w:rPr>
              <w:t>6</w:t>
            </w:r>
          </w:p>
        </w:tc>
        <w:tc>
          <w:tcPr>
            <w:tcW w:w="1366" w:type="dxa"/>
            <w:vMerge w:val="restart"/>
            <w:tcBorders>
              <w:left w:val="single" w:color="auto" w:sz="4" w:space="0"/>
              <w:right w:val="single" w:color="auto" w:sz="4" w:space="0"/>
            </w:tcBorders>
            <w:vAlign w:val="center"/>
          </w:tcPr>
          <w:p>
            <w:pPr>
              <w:adjustRightInd/>
              <w:spacing w:line="288" w:lineRule="auto"/>
              <w:jc w:val="center"/>
              <w:rPr>
                <w:rFonts w:ascii="仿宋" w:hAnsi="仿宋" w:eastAsia="仿宋" w:cs="仿宋"/>
                <w:color w:val="auto"/>
                <w:sz w:val="24"/>
              </w:rPr>
            </w:pPr>
            <w:r>
              <w:rPr>
                <w:rFonts w:hint="eastAsia" w:ascii="仿宋" w:hAnsi="仿宋" w:eastAsia="仿宋" w:cs="仿宋"/>
                <w:color w:val="auto"/>
                <w:sz w:val="24"/>
              </w:rPr>
              <w:t>其他服务</w:t>
            </w:r>
          </w:p>
          <w:p>
            <w:pPr>
              <w:adjustRightInd/>
              <w:spacing w:line="288" w:lineRule="auto"/>
              <w:jc w:val="center"/>
              <w:rPr>
                <w:rFonts w:ascii="仿宋" w:hAnsi="仿宋" w:eastAsia="仿宋" w:cs="仿宋"/>
                <w:color w:val="auto"/>
                <w:sz w:val="24"/>
              </w:rPr>
            </w:pPr>
          </w:p>
        </w:tc>
        <w:tc>
          <w:tcPr>
            <w:tcW w:w="6254" w:type="dxa"/>
            <w:gridSpan w:val="2"/>
            <w:tcBorders>
              <w:left w:val="single" w:color="auto" w:sz="4" w:space="0"/>
              <w:right w:val="single" w:color="auto" w:sz="4" w:space="0"/>
            </w:tcBorders>
            <w:vAlign w:val="center"/>
          </w:tcPr>
          <w:p>
            <w:pPr>
              <w:snapToGrid w:val="0"/>
              <w:spacing w:line="288" w:lineRule="auto"/>
              <w:rPr>
                <w:rFonts w:ascii="仿宋" w:hAnsi="仿宋" w:eastAsia="仿宋" w:cs="仿宋"/>
                <w:color w:val="auto"/>
                <w:sz w:val="24"/>
              </w:rPr>
            </w:pPr>
            <w:r>
              <w:rPr>
                <w:rFonts w:hint="eastAsia" w:ascii="仿宋" w:hAnsi="仿宋" w:eastAsia="仿宋" w:cs="仿宋"/>
                <w:color w:val="auto"/>
                <w:sz w:val="24"/>
              </w:rPr>
              <w:t>额外优惠措施方案及增值服务承诺（如生日派对、篝火</w:t>
            </w:r>
            <w:r>
              <w:rPr>
                <w:rFonts w:ascii="仿宋" w:hAnsi="仿宋" w:eastAsia="仿宋" w:cs="仿宋"/>
                <w:color w:val="auto"/>
                <w:sz w:val="24"/>
              </w:rPr>
              <w:t>晚会、</w:t>
            </w:r>
            <w:r>
              <w:rPr>
                <w:rFonts w:hint="eastAsia" w:ascii="仿宋" w:hAnsi="仿宋" w:eastAsia="仿宋" w:cs="仿宋"/>
                <w:color w:val="auto"/>
                <w:sz w:val="24"/>
              </w:rPr>
              <w:t>团建活动等），由评标委员会认定，每满足一项得1</w:t>
            </w:r>
            <w:r>
              <w:rPr>
                <w:rFonts w:ascii="仿宋" w:hAnsi="仿宋" w:eastAsia="仿宋" w:cs="仿宋"/>
                <w:color w:val="auto"/>
                <w:sz w:val="24"/>
              </w:rPr>
              <w:t>分，最高得4分；承诺书格式自拟，无承诺不得分。</w:t>
            </w:r>
          </w:p>
        </w:tc>
        <w:tc>
          <w:tcPr>
            <w:tcW w:w="995" w:type="dxa"/>
            <w:tcBorders>
              <w:left w:val="single" w:color="auto" w:sz="4" w:space="0"/>
              <w:right w:val="single" w:color="auto" w:sz="4" w:space="0"/>
            </w:tcBorders>
            <w:vAlign w:val="center"/>
          </w:tcPr>
          <w:p>
            <w:pPr>
              <w:pStyle w:val="24"/>
              <w:spacing w:line="288" w:lineRule="auto"/>
              <w:ind w:firstLine="0" w:firstLineChars="0"/>
              <w:jc w:val="center"/>
              <w:rPr>
                <w:rFonts w:ascii="仿宋" w:hAnsi="仿宋" w:eastAsia="仿宋" w:cs="仿宋"/>
                <w:color w:val="auto"/>
              </w:rPr>
            </w:pPr>
            <w:r>
              <w:rPr>
                <w:rFonts w:ascii="仿宋" w:hAnsi="仿宋" w:eastAsia="仿宋" w:cs="仿宋"/>
                <w:color w:val="auto"/>
              </w:rPr>
              <w:t>4</w:t>
            </w:r>
            <w:r>
              <w:rPr>
                <w:rFonts w:hint="eastAsia" w:ascii="仿宋" w:hAnsi="仿宋" w:eastAsia="仿宋" w:cs="仿宋"/>
                <w:color w:val="auto"/>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822" w:type="dxa"/>
            <w:vMerge w:val="continue"/>
            <w:tcBorders>
              <w:left w:val="single" w:color="auto" w:sz="4" w:space="0"/>
              <w:right w:val="single" w:color="auto" w:sz="4" w:space="0"/>
            </w:tcBorders>
          </w:tcPr>
          <w:p>
            <w:pPr>
              <w:spacing w:line="288" w:lineRule="auto"/>
              <w:jc w:val="left"/>
              <w:rPr>
                <w:rFonts w:ascii="仿宋" w:hAnsi="仿宋" w:eastAsia="仿宋" w:cs="仿宋"/>
                <w:sz w:val="24"/>
              </w:rPr>
            </w:pPr>
          </w:p>
        </w:tc>
        <w:tc>
          <w:tcPr>
            <w:tcW w:w="1366" w:type="dxa"/>
            <w:vMerge w:val="continue"/>
            <w:tcBorders>
              <w:left w:val="single" w:color="auto" w:sz="4" w:space="0"/>
              <w:right w:val="single" w:color="auto" w:sz="4" w:space="0"/>
            </w:tcBorders>
            <w:vAlign w:val="center"/>
          </w:tcPr>
          <w:p>
            <w:pPr>
              <w:spacing w:line="288" w:lineRule="auto"/>
              <w:jc w:val="center"/>
              <w:rPr>
                <w:rFonts w:ascii="仿宋" w:hAnsi="仿宋" w:eastAsia="仿宋" w:cs="仿宋"/>
                <w:sz w:val="24"/>
              </w:rPr>
            </w:pPr>
          </w:p>
        </w:tc>
        <w:tc>
          <w:tcPr>
            <w:tcW w:w="6254" w:type="dxa"/>
            <w:gridSpan w:val="2"/>
            <w:tcBorders>
              <w:left w:val="single" w:color="auto" w:sz="4" w:space="0"/>
              <w:bottom w:val="single" w:color="auto" w:sz="4" w:space="0"/>
              <w:right w:val="single" w:color="auto" w:sz="4" w:space="0"/>
            </w:tcBorders>
            <w:vAlign w:val="center"/>
          </w:tcPr>
          <w:p>
            <w:pPr>
              <w:snapToGrid w:val="0"/>
              <w:spacing w:line="288" w:lineRule="auto"/>
              <w:rPr>
                <w:rFonts w:ascii="仿宋" w:hAnsi="仿宋" w:eastAsia="仿宋" w:cs="仿宋"/>
                <w:sz w:val="24"/>
              </w:rPr>
            </w:pPr>
            <w:r>
              <w:rPr>
                <w:rFonts w:hint="eastAsia" w:ascii="仿宋" w:hAnsi="仿宋" w:eastAsia="仿宋" w:cs="仿宋"/>
                <w:sz w:val="24"/>
              </w:rPr>
              <w:t>投标人对招标人职工一同参加疗休养的家属的收费标准，</w:t>
            </w:r>
            <w:r>
              <w:rPr>
                <w:rFonts w:ascii="仿宋" w:hAnsi="仿宋" w:eastAsia="仿宋" w:cs="仿宋"/>
                <w:sz w:val="24"/>
              </w:rPr>
              <w:t>收费标准应根据年龄、身高以及出行线路等实际情况分别作出详细说明。收费标准高于职工额定标准的不得分，无收费标准或者只针对成人的得1分，有标准但不具体详实的得3分，标准全面且详实的得5分。</w:t>
            </w:r>
          </w:p>
        </w:tc>
        <w:tc>
          <w:tcPr>
            <w:tcW w:w="995" w:type="dxa"/>
            <w:tcBorders>
              <w:left w:val="single" w:color="auto" w:sz="4" w:space="0"/>
              <w:right w:val="single" w:color="auto" w:sz="4" w:space="0"/>
            </w:tcBorders>
            <w:vAlign w:val="center"/>
          </w:tcPr>
          <w:p>
            <w:pPr>
              <w:pStyle w:val="24"/>
              <w:spacing w:line="288" w:lineRule="auto"/>
              <w:ind w:firstLine="0" w:firstLineChars="0"/>
              <w:jc w:val="center"/>
              <w:rPr>
                <w:rFonts w:ascii="仿宋" w:hAnsi="仿宋" w:eastAsia="仿宋" w:cs="仿宋"/>
              </w:rPr>
            </w:pPr>
            <w:r>
              <w:rPr>
                <w:rFonts w:hint="eastAsia" w:ascii="仿宋" w:hAnsi="仿宋" w:eastAsia="仿宋" w:cs="仿宋"/>
              </w:rPr>
              <w:t>5分</w:t>
            </w:r>
          </w:p>
        </w:tc>
      </w:tr>
    </w:tbl>
    <w:p>
      <w:pPr>
        <w:spacing w:line="288" w:lineRule="auto"/>
        <w:rPr>
          <w:rFonts w:ascii="仿宋" w:hAnsi="仿宋" w:eastAsia="仿宋" w:cs="仿宋"/>
          <w:b/>
          <w:bCs/>
          <w:iCs/>
          <w:sz w:val="24"/>
        </w:rPr>
      </w:pPr>
      <w:r>
        <w:rPr>
          <w:rFonts w:hint="eastAsia" w:ascii="仿宋" w:hAnsi="仿宋" w:eastAsia="仿宋" w:cs="仿宋"/>
          <w:b/>
          <w:bCs/>
          <w:iCs/>
          <w:sz w:val="24"/>
        </w:rPr>
        <w:t>2.2价格分（10分）</w:t>
      </w:r>
    </w:p>
    <w:p>
      <w:pPr>
        <w:snapToGrid w:val="0"/>
        <w:spacing w:line="288" w:lineRule="auto"/>
        <w:rPr>
          <w:rFonts w:ascii="仿宋" w:hAnsi="仿宋" w:eastAsia="仿宋" w:cs="仿宋"/>
          <w:sz w:val="24"/>
        </w:rPr>
      </w:pPr>
      <w:r>
        <w:rPr>
          <w:rFonts w:hint="eastAsia" w:ascii="仿宋" w:hAnsi="仿宋" w:eastAsia="仿宋" w:cs="仿宋"/>
          <w:sz w:val="24"/>
        </w:rPr>
        <w:t>2.2.1每条路线每人额定消费为3000元，若</w:t>
      </w:r>
      <w:r>
        <w:rPr>
          <w:rFonts w:ascii="仿宋" w:hAnsi="仿宋" w:eastAsia="仿宋" w:cs="仿宋"/>
          <w:sz w:val="24"/>
        </w:rPr>
        <w:t>是</w:t>
      </w:r>
      <w:r>
        <w:rPr>
          <w:rFonts w:hint="eastAsia" w:ascii="仿宋" w:hAnsi="仿宋" w:eastAsia="仿宋" w:cs="仿宋"/>
          <w:sz w:val="24"/>
        </w:rPr>
        <w:t>省外合作</w:t>
      </w:r>
      <w:r>
        <w:rPr>
          <w:rFonts w:ascii="仿宋" w:hAnsi="仿宋" w:eastAsia="仿宋" w:cs="仿宋"/>
          <w:sz w:val="24"/>
        </w:rPr>
        <w:t>、对口支援</w:t>
      </w:r>
      <w:r>
        <w:rPr>
          <w:rFonts w:hint="eastAsia" w:ascii="仿宋" w:hAnsi="仿宋" w:eastAsia="仿宋" w:cs="仿宋"/>
          <w:sz w:val="24"/>
        </w:rPr>
        <w:t>路线的每人额定消费为6000元。</w:t>
      </w:r>
    </w:p>
    <w:p>
      <w:pPr>
        <w:spacing w:line="288" w:lineRule="auto"/>
        <w:rPr>
          <w:rFonts w:ascii="仿宋" w:hAnsi="仿宋" w:eastAsia="仿宋" w:cs="仿宋"/>
          <w:bCs/>
          <w:iCs/>
          <w:sz w:val="24"/>
        </w:rPr>
      </w:pPr>
      <w:r>
        <w:rPr>
          <w:rFonts w:hint="eastAsia" w:ascii="仿宋" w:hAnsi="仿宋" w:eastAsia="仿宋" w:cs="仿宋"/>
          <w:sz w:val="24"/>
        </w:rPr>
        <w:t>2.2.2投标人响应以上采购文件报价要求的，商务报价得10分；投标人未响应以上采购文件报价要求的，商务报价得0分。</w:t>
      </w:r>
    </w:p>
    <w:p>
      <w:pPr>
        <w:spacing w:line="288" w:lineRule="auto"/>
        <w:rPr>
          <w:rFonts w:ascii="仿宋" w:hAnsi="仿宋" w:eastAsia="仿宋" w:cs="仿宋"/>
          <w:bCs/>
          <w:iCs/>
          <w:sz w:val="24"/>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pPr>
        <w:widowControl/>
        <w:spacing w:line="360" w:lineRule="auto"/>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ascii="仿宋" w:hAnsi="仿宋" w:eastAsia="仿宋" w:cs="仿宋"/>
          <w:color w:val="auto"/>
        </w:rPr>
      </w:pPr>
    </w:p>
    <w:p>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0"/>
          <w:szCs w:val="30"/>
        </w:rPr>
      </w:pPr>
    </w:p>
    <w:p>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ascii="仿宋" w:eastAsia="仿宋" w:cs="仿宋"/>
        </w:rPr>
      </w:pPr>
      <w:r>
        <w:rPr>
          <w:rFonts w:hint="eastAsia" w:ascii="仿宋" w:eastAsia="仿宋" w:cs="仿宋"/>
        </w:rPr>
        <w:t>（1）投标函……………………………………………………………………（页码）</w:t>
      </w:r>
    </w:p>
    <w:p>
      <w:pPr>
        <w:pStyle w:val="906"/>
        <w:spacing w:line="336" w:lineRule="auto"/>
        <w:ind w:left="0" w:firstLine="0" w:firstLineChars="0"/>
        <w:rPr>
          <w:rFonts w:ascii="仿宋" w:eastAsia="仿宋" w:cs="仿宋"/>
        </w:rPr>
      </w:pPr>
      <w:r>
        <w:rPr>
          <w:rFonts w:hint="eastAsia" w:ascii="仿宋" w:eastAsia="仿宋" w:cs="仿宋"/>
        </w:rPr>
        <w:t>（2）法定代表人授权书………………………………………………………（页码）</w:t>
      </w:r>
    </w:p>
    <w:p>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6"/>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6"/>
        <w:spacing w:line="336" w:lineRule="auto"/>
        <w:ind w:left="0" w:firstLine="0" w:firstLineChars="0"/>
        <w:rPr>
          <w:rFonts w:ascii="仿宋" w:eastAsia="仿宋" w:cs="仿宋"/>
        </w:rPr>
      </w:pPr>
      <w:r>
        <w:rPr>
          <w:rFonts w:hint="eastAsia" w:ascii="仿宋" w:eastAsia="仿宋" w:cs="仿宋"/>
        </w:rPr>
        <w:t>（6）商务技术偏离表…………………………………………………………（页码）</w:t>
      </w:r>
    </w:p>
    <w:p>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kern w:val="0"/>
          <w:sz w:val="24"/>
          <w:lang w:val="zh-CN"/>
        </w:rPr>
        <w:t>…</w:t>
      </w:r>
      <w:r>
        <w:rPr>
          <w:rFonts w:hint="eastAsia" w:ascii="仿宋" w:hAnsi="仿宋" w:eastAsia="仿宋" w:cs="仿宋"/>
          <w:kern w:val="0"/>
          <w:sz w:val="24"/>
        </w:rPr>
        <w:t>……</w:t>
      </w:r>
      <w:r>
        <w:rPr>
          <w:rFonts w:hint="eastAsia" w:ascii="仿宋" w:hAnsi="仿宋" w:eastAsia="仿宋" w:cs="仿宋"/>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outlineLvl w:val="0"/>
        <w:rPr>
          <w:rFonts w:ascii="仿宋" w:hAnsi="仿宋" w:eastAsia="仿宋" w:cs="仿宋"/>
          <w:b/>
          <w:kern w:val="0"/>
          <w:sz w:val="32"/>
          <w:szCs w:val="32"/>
        </w:rPr>
      </w:pPr>
    </w:p>
    <w:p>
      <w:pPr>
        <w:snapToGrid w:val="0"/>
        <w:spacing w:line="288" w:lineRule="auto"/>
        <w:outlineLvl w:val="0"/>
        <w:rPr>
          <w:rFonts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7"/>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7"/>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ind w:firstLine="6000" w:firstLineChars="2500"/>
        <w:jc w:val="left"/>
        <w:rPr>
          <w:rFonts w:ascii="仿宋" w:hAnsi="仿宋" w:eastAsia="仿宋" w:cs="仿宋"/>
          <w:sz w:val="24"/>
        </w:rPr>
      </w:pPr>
      <w:r>
        <w:rPr>
          <w:rFonts w:hint="eastAsia" w:ascii="仿宋" w:hAnsi="仿宋" w:eastAsia="仿宋" w:cs="仿宋"/>
          <w:sz w:val="24"/>
        </w:rPr>
        <w:t>日期：年月日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480" w:lineRule="auto"/>
        <w:jc w:val="left"/>
        <w:rPr>
          <w:rFonts w:ascii="仿宋" w:hAnsi="仿宋" w:eastAsia="仿宋" w:cs="仿宋"/>
          <w:sz w:val="24"/>
          <w:u w:val="wave"/>
        </w:rPr>
      </w:pPr>
    </w:p>
    <w:p>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0"/>
        <w:rPr>
          <w:rFonts w:ascii="仿宋" w:hAnsi="仿宋" w:eastAsia="仿宋" w:cs="仿宋"/>
          <w:b/>
        </w:rPr>
      </w:pPr>
    </w:p>
    <w:p>
      <w:pPr>
        <w:pStyle w:val="80"/>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投标人：</w:t>
      </w:r>
    </w:p>
    <w:p>
      <w:pPr>
        <w:spacing w:line="440" w:lineRule="exact"/>
        <w:rPr>
          <w:rFonts w:ascii="仿宋" w:hAnsi="仿宋" w:eastAsia="仿宋" w:cs="仿宋"/>
          <w:sz w:val="24"/>
        </w:rPr>
      </w:pPr>
      <w:r>
        <w:rPr>
          <w:rFonts w:hint="eastAsia" w:ascii="仿宋" w:hAnsi="仿宋" w:eastAsia="仿宋" w:cs="仿宋"/>
          <w:sz w:val="24"/>
        </w:rPr>
        <w:t>地址：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pPr>
              <w:jc w:val="center"/>
              <w:rPr>
                <w:rFonts w:ascii="仿宋" w:hAnsi="仿宋" w:eastAsia="仿宋" w:cs="仿宋"/>
                <w:b/>
                <w:kern w:val="0"/>
                <w:sz w:val="32"/>
                <w:szCs w:val="32"/>
              </w:rPr>
            </w:pPr>
          </w:p>
        </w:tc>
        <w:tc>
          <w:tcPr>
            <w:tcW w:w="3169" w:type="dxa"/>
          </w:tcPr>
          <w:p>
            <w:pPr>
              <w:jc w:val="center"/>
              <w:rPr>
                <w:rFonts w:ascii="仿宋" w:hAnsi="仿宋" w:eastAsia="仿宋" w:cs="仿宋"/>
                <w:b/>
                <w:kern w:val="0"/>
                <w:sz w:val="32"/>
                <w:szCs w:val="32"/>
              </w:rPr>
            </w:pPr>
          </w:p>
        </w:tc>
        <w:tc>
          <w:tcPr>
            <w:tcW w:w="1330"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pPr>
              <w:jc w:val="center"/>
              <w:rPr>
                <w:rFonts w:ascii="仿宋" w:hAnsi="仿宋" w:eastAsia="仿宋" w:cs="仿宋"/>
                <w:b/>
                <w:kern w:val="0"/>
                <w:sz w:val="32"/>
                <w:szCs w:val="32"/>
              </w:rPr>
            </w:pPr>
          </w:p>
        </w:tc>
        <w:tc>
          <w:tcPr>
            <w:tcW w:w="3169" w:type="dxa"/>
          </w:tcPr>
          <w:p>
            <w:pPr>
              <w:jc w:val="center"/>
              <w:rPr>
                <w:rFonts w:ascii="仿宋" w:hAnsi="仿宋" w:eastAsia="仿宋" w:cs="仿宋"/>
                <w:b/>
                <w:kern w:val="0"/>
                <w:sz w:val="32"/>
                <w:szCs w:val="32"/>
              </w:rPr>
            </w:pPr>
          </w:p>
        </w:tc>
        <w:tc>
          <w:tcPr>
            <w:tcW w:w="1330"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pPr>
              <w:jc w:val="center"/>
              <w:rPr>
                <w:rFonts w:ascii="仿宋" w:hAnsi="仿宋" w:eastAsia="仿宋" w:cs="仿宋"/>
                <w:b/>
                <w:kern w:val="0"/>
                <w:sz w:val="32"/>
                <w:szCs w:val="32"/>
              </w:rPr>
            </w:pPr>
          </w:p>
        </w:tc>
        <w:tc>
          <w:tcPr>
            <w:tcW w:w="3169" w:type="dxa"/>
          </w:tcPr>
          <w:p>
            <w:pPr>
              <w:jc w:val="center"/>
              <w:rPr>
                <w:rFonts w:ascii="仿宋" w:hAnsi="仿宋" w:eastAsia="仿宋" w:cs="仿宋"/>
                <w:b/>
                <w:kern w:val="0"/>
                <w:sz w:val="32"/>
                <w:szCs w:val="32"/>
              </w:rPr>
            </w:pPr>
          </w:p>
        </w:tc>
        <w:tc>
          <w:tcPr>
            <w:tcW w:w="1330"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right"/>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49"/>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jc w:val="center"/>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1"/>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sz w:val="24"/>
        </w:rPr>
      </w:pP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spacing w:line="288" w:lineRule="auto"/>
        <w:rPr>
          <w:rFonts w:ascii="仿宋" w:hAnsi="仿宋" w:eastAsia="仿宋" w:cs="仿宋"/>
          <w:color w:val="auto"/>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spacing w:line="288" w:lineRule="auto"/>
        <w:rPr>
          <w:rFonts w:ascii="仿宋" w:hAnsi="仿宋" w:eastAsia="仿宋" w:cs="仿宋"/>
          <w:color w:val="auto"/>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1"/>
        <w:rPr>
          <w:rFonts w:ascii="仿宋" w:hAnsi="仿宋" w:eastAsia="仿宋" w:cs="仿宋"/>
          <w:color w:val="auto"/>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36" w:lineRule="auto"/>
        <w:jc w:val="center"/>
        <w:rPr>
          <w:rFonts w:ascii="仿宋" w:hAnsi="仿宋" w:eastAsia="仿宋" w:cs="仿宋"/>
          <w:sz w:val="24"/>
        </w:rPr>
      </w:pPr>
    </w:p>
    <w:p>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pStyle w:val="693"/>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440" w:right="1800" w:bottom="1440" w:left="1800" w:header="851" w:footer="992" w:gutter="0"/>
          <w:cols w:space="720" w:num="1"/>
          <w:titlePg/>
          <w:docGrid w:linePitch="312" w:charSpace="0"/>
        </w:sectPr>
      </w:pPr>
    </w:p>
    <w:p>
      <w:pPr>
        <w:pStyle w:val="693"/>
        <w:keepNext w:val="0"/>
        <w:pageBreakBefore w:val="0"/>
        <w:tabs>
          <w:tab w:val="clear" w:pos="720"/>
        </w:tabs>
        <w:snapToGrid w:val="0"/>
        <w:spacing w:before="120" w:after="120" w:line="288" w:lineRule="auto"/>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288"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288"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288"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w:t>
      </w:r>
    </w:p>
    <w:tbl>
      <w:tblPr>
        <w:tblStyle w:val="63"/>
        <w:tblW w:w="9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256"/>
        <w:gridCol w:w="3541"/>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03" w:type="dxa"/>
            <w:vAlign w:val="center"/>
          </w:tcPr>
          <w:p>
            <w:pPr>
              <w:spacing w:line="288"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3256" w:type="dxa"/>
            <w:vAlign w:val="center"/>
          </w:tcPr>
          <w:p>
            <w:pPr>
              <w:spacing w:line="288" w:lineRule="auto"/>
              <w:jc w:val="center"/>
              <w:rPr>
                <w:rFonts w:ascii="仿宋" w:hAnsi="仿宋" w:eastAsia="仿宋" w:cs="仿宋"/>
                <w:b/>
                <w:color w:val="auto"/>
                <w:sz w:val="24"/>
              </w:rPr>
            </w:pPr>
            <w:r>
              <w:rPr>
                <w:rFonts w:hint="eastAsia" w:ascii="仿宋" w:hAnsi="仿宋" w:eastAsia="仿宋" w:cs="仿宋"/>
                <w:b/>
                <w:color w:val="auto"/>
                <w:sz w:val="24"/>
              </w:rPr>
              <w:t>项目名称</w:t>
            </w:r>
          </w:p>
        </w:tc>
        <w:tc>
          <w:tcPr>
            <w:tcW w:w="3541" w:type="dxa"/>
            <w:vAlign w:val="center"/>
          </w:tcPr>
          <w:p>
            <w:pPr>
              <w:spacing w:line="288" w:lineRule="auto"/>
              <w:jc w:val="center"/>
              <w:rPr>
                <w:rFonts w:ascii="仿宋" w:hAnsi="仿宋" w:eastAsia="仿宋" w:cs="仿宋"/>
                <w:b/>
                <w:color w:val="auto"/>
                <w:sz w:val="24"/>
              </w:rPr>
            </w:pPr>
            <w:r>
              <w:rPr>
                <w:rFonts w:hint="eastAsia" w:ascii="仿宋" w:hAnsi="仿宋" w:eastAsia="仿宋" w:cs="仿宋"/>
                <w:b/>
                <w:color w:val="auto"/>
                <w:sz w:val="24"/>
              </w:rPr>
              <w:t>报价</w:t>
            </w:r>
          </w:p>
        </w:tc>
        <w:tc>
          <w:tcPr>
            <w:tcW w:w="1738" w:type="dxa"/>
            <w:vAlign w:val="center"/>
          </w:tcPr>
          <w:p>
            <w:pPr>
              <w:spacing w:line="288" w:lineRule="auto"/>
              <w:jc w:val="center"/>
              <w:rPr>
                <w:rFonts w:ascii="仿宋" w:hAnsi="仿宋" w:eastAsia="仿宋" w:cs="仿宋"/>
                <w:b/>
                <w:color w:val="auto"/>
                <w:sz w:val="24"/>
              </w:rPr>
            </w:pPr>
          </w:p>
          <w:p>
            <w:pPr>
              <w:spacing w:line="288" w:lineRule="auto"/>
              <w:jc w:val="center"/>
              <w:rPr>
                <w:rFonts w:ascii="仿宋" w:hAnsi="仿宋" w:eastAsia="仿宋" w:cs="仿宋"/>
                <w:b/>
                <w:color w:val="auto"/>
                <w:sz w:val="24"/>
              </w:rPr>
            </w:pPr>
            <w:r>
              <w:rPr>
                <w:rFonts w:hint="eastAsia" w:ascii="仿宋" w:hAnsi="仿宋" w:eastAsia="仿宋" w:cs="仿宋"/>
                <w:b/>
                <w:color w:val="auto"/>
                <w:sz w:val="24"/>
              </w:rPr>
              <w:t>是否响应</w:t>
            </w:r>
          </w:p>
          <w:p>
            <w:pPr>
              <w:spacing w:line="288"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03" w:type="dxa"/>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1</w:t>
            </w:r>
          </w:p>
        </w:tc>
        <w:tc>
          <w:tcPr>
            <w:tcW w:w="3256" w:type="dxa"/>
            <w:vAlign w:val="center"/>
          </w:tcPr>
          <w:p>
            <w:pPr>
              <w:snapToGrid w:val="0"/>
              <w:spacing w:line="288" w:lineRule="auto"/>
              <w:jc w:val="center"/>
              <w:rPr>
                <w:rFonts w:ascii="仿宋" w:hAnsi="仿宋" w:eastAsia="仿宋" w:cs="仿宋"/>
                <w:color w:val="auto"/>
                <w:sz w:val="24"/>
              </w:rPr>
            </w:pPr>
            <w:r>
              <w:rPr>
                <w:rFonts w:hint="eastAsia" w:ascii="仿宋" w:hAnsi="仿宋" w:eastAsia="仿宋" w:cs="仿宋"/>
                <w:color w:val="auto"/>
                <w:sz w:val="24"/>
              </w:rPr>
              <w:t>绍兴市人民医院2024年职工疗休养项目</w:t>
            </w:r>
          </w:p>
        </w:tc>
        <w:tc>
          <w:tcPr>
            <w:tcW w:w="3541"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每条路线每人额定消费为3000元，若</w:t>
            </w:r>
            <w:r>
              <w:rPr>
                <w:rFonts w:ascii="仿宋" w:hAnsi="仿宋" w:eastAsia="仿宋" w:cs="仿宋"/>
                <w:color w:val="auto"/>
                <w:sz w:val="24"/>
              </w:rPr>
              <w:t>是</w:t>
            </w:r>
            <w:r>
              <w:rPr>
                <w:rFonts w:hint="eastAsia" w:ascii="仿宋" w:hAnsi="仿宋" w:eastAsia="仿宋" w:cs="仿宋"/>
                <w:color w:val="auto"/>
                <w:sz w:val="24"/>
              </w:rPr>
              <w:t>省外合作</w:t>
            </w:r>
            <w:r>
              <w:rPr>
                <w:rFonts w:ascii="仿宋" w:hAnsi="仿宋" w:eastAsia="仿宋" w:cs="仿宋"/>
                <w:color w:val="auto"/>
                <w:sz w:val="24"/>
              </w:rPr>
              <w:t>、对口支援</w:t>
            </w:r>
            <w:r>
              <w:rPr>
                <w:rFonts w:hint="eastAsia" w:ascii="仿宋" w:hAnsi="仿宋" w:eastAsia="仿宋" w:cs="仿宋"/>
                <w:color w:val="auto"/>
                <w:sz w:val="24"/>
              </w:rPr>
              <w:t>路线的每人额定消费为6000元。</w:t>
            </w:r>
          </w:p>
        </w:tc>
        <w:tc>
          <w:tcPr>
            <w:tcW w:w="1738" w:type="dxa"/>
            <w:vAlign w:val="center"/>
          </w:tcPr>
          <w:p>
            <w:pPr>
              <w:spacing w:line="288" w:lineRule="auto"/>
              <w:jc w:val="center"/>
              <w:rPr>
                <w:rFonts w:ascii="仿宋" w:hAnsi="仿宋" w:eastAsia="仿宋" w:cs="仿宋"/>
                <w:color w:val="auto"/>
                <w:sz w:val="24"/>
              </w:rPr>
            </w:pPr>
          </w:p>
        </w:tc>
      </w:tr>
    </w:tbl>
    <w:p>
      <w:pPr>
        <w:snapToGrid w:val="0"/>
        <w:spacing w:line="288"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288" w:lineRule="auto"/>
        <w:ind w:firstLine="480" w:firstLineChars="200"/>
        <w:jc w:val="left"/>
        <w:rPr>
          <w:rFonts w:ascii="仿宋" w:hAnsi="仿宋" w:eastAsia="仿宋" w:cs="仿宋"/>
          <w:kern w:val="0"/>
          <w:sz w:val="24"/>
          <w:lang w:val="zh-CN"/>
        </w:rPr>
      </w:pPr>
    </w:p>
    <w:p>
      <w:pPr>
        <w:spacing w:line="288" w:lineRule="auto"/>
        <w:ind w:firstLine="482" w:firstLineChars="200"/>
        <w:rPr>
          <w:rFonts w:ascii="仿宋" w:hAnsi="仿宋" w:eastAsia="仿宋" w:cs="仿宋"/>
          <w:b/>
          <w:kern w:val="0"/>
          <w:sz w:val="24"/>
        </w:rPr>
      </w:pPr>
    </w:p>
    <w:p>
      <w:pPr>
        <w:snapToGrid w:val="0"/>
        <w:spacing w:line="288" w:lineRule="auto"/>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288" w:lineRule="auto"/>
        <w:ind w:firstLine="4560" w:firstLineChars="19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288" w:lineRule="auto"/>
        <w:ind w:firstLine="6000" w:firstLineChars="25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1906" w:h="16838"/>
          <w:pgMar w:top="1800" w:right="1440" w:bottom="1800" w:left="1440" w:header="851" w:footer="992" w:gutter="0"/>
          <w:cols w:space="720" w:num="1"/>
          <w:titlePg/>
          <w:docGrid w:linePitch="312" w:charSpace="0"/>
        </w:sectPr>
      </w:pPr>
    </w:p>
    <w:p>
      <w:pPr>
        <w:pStyle w:val="693"/>
        <w:keepNext w:val="0"/>
        <w:pageBreakBefore w:val="0"/>
        <w:tabs>
          <w:tab w:val="clear" w:pos="720"/>
        </w:tabs>
        <w:snapToGrid w:val="0"/>
        <w:spacing w:before="120" w:after="120"/>
        <w:jc w:val="both"/>
        <w:outlineLvl w:val="9"/>
        <w:rPr>
          <w:rFonts w:ascii="仿宋" w:hAnsi="仿宋" w:eastAsia="仿宋" w:cs="仿宋"/>
          <w:kern w:val="2"/>
          <w:sz w:val="32"/>
          <w:szCs w:val="32"/>
        </w:rPr>
      </w:pPr>
    </w:p>
    <w:p>
      <w:pPr>
        <w:pStyle w:val="693"/>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5" w:name="_Hlk101259491"/>
      <w:r>
        <w:rPr>
          <w:rFonts w:hint="eastAsia" w:ascii="仿宋" w:hAnsi="仿宋" w:eastAsia="仿宋" w:cs="仿宋"/>
          <w:sz w:val="32"/>
          <w:szCs w:val="32"/>
        </w:rPr>
        <w:t>（如果有）</w:t>
      </w:r>
      <w:bookmarkEnd w:id="165"/>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sz w:val="24"/>
        </w:rPr>
      </w:pPr>
    </w:p>
    <w:p>
      <w:pPr>
        <w:rPr>
          <w:rFonts w:ascii="仿宋" w:hAnsi="仿宋" w:eastAsia="仿宋" w:cs="仿宋"/>
          <w:b/>
          <w:sz w:val="24"/>
        </w:rPr>
      </w:pPr>
    </w:p>
    <w:p>
      <w:pPr>
        <w:pStyle w:val="81"/>
        <w:rPr>
          <w:rFonts w:ascii="仿宋" w:hAnsi="仿宋" w:eastAsia="仿宋" w:cs="仿宋"/>
          <w:b/>
          <w:color w:val="auto"/>
        </w:rPr>
      </w:pPr>
    </w:p>
    <w:p>
      <w:pPr>
        <w:pStyle w:val="82"/>
        <w:rPr>
          <w:rFonts w:ascii="仿宋" w:hAnsi="仿宋" w:eastAsia="仿宋" w:cs="仿宋"/>
        </w:rPr>
      </w:pPr>
    </w:p>
    <w:p>
      <w:pPr>
        <w:pStyle w:val="82"/>
        <w:rPr>
          <w:rFonts w:ascii="仿宋" w:hAnsi="仿宋" w:eastAsia="仿宋" w:cs="仿宋"/>
        </w:rPr>
      </w:pPr>
    </w:p>
    <w:p>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sz w:val="24"/>
        </w:rPr>
      </w:pPr>
      <w:bookmarkStart w:id="166" w:name="_Toc465665161"/>
      <w:r>
        <w:rPr>
          <w:rFonts w:hint="eastAsia" w:ascii="仿宋" w:hAnsi="仿宋" w:eastAsia="仿宋" w:cs="仿宋"/>
        </w:rPr>
        <w:t>附件</w:t>
      </w:r>
      <w:bookmarkEnd w:id="166"/>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                    公章：</w:t>
      </w:r>
    </w:p>
    <w:p>
      <w:pPr>
        <w:spacing w:line="360" w:lineRule="auto"/>
        <w:rPr>
          <w:rFonts w:ascii="仿宋" w:hAnsi="仿宋" w:eastAsia="仿宋" w:cs="仿宋"/>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ascii="仿宋" w:hAnsi="仿宋" w:eastAsia="仿宋" w:cs="仿宋"/>
          <w:sz w:val="24"/>
          <w:u w:val="dotted"/>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u w:val="dotted"/>
        </w:rPr>
      </w:pPr>
      <w:r>
        <w:rPr>
          <w:rFonts w:hint="eastAsia" w:ascii="仿宋" w:hAnsi="仿宋" w:eastAsia="仿宋" w:cs="仿宋"/>
          <w:sz w:val="24"/>
        </w:rPr>
        <w:t>事实依据：</w:t>
      </w:r>
    </w:p>
    <w:p>
      <w:pPr>
        <w:spacing w:line="360" w:lineRule="auto"/>
        <w:rPr>
          <w:rFonts w:ascii="仿宋" w:hAnsi="仿宋" w:eastAsia="仿宋" w:cs="仿宋"/>
          <w:sz w:val="24"/>
          <w:u w:val="dotted"/>
        </w:rPr>
      </w:pPr>
      <w:r>
        <w:rPr>
          <w:rFonts w:hint="eastAsia" w:ascii="仿宋" w:hAnsi="仿宋" w:eastAsia="仿宋" w:cs="仿宋"/>
          <w:sz w:val="24"/>
        </w:rPr>
        <w:t>法律依据：</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u w:val="single"/>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签字(签章)：                  公章：</w:t>
      </w:r>
    </w:p>
    <w:p>
      <w:pPr>
        <w:spacing w:line="360" w:lineRule="auto"/>
        <w:rPr>
          <w:rFonts w:ascii="仿宋" w:hAnsi="仿宋" w:eastAsia="仿宋" w:cs="仿宋"/>
          <w:b/>
          <w:sz w:val="24"/>
        </w:rPr>
      </w:pPr>
      <w:r>
        <w:rPr>
          <w:rFonts w:hint="eastAsia" w:ascii="仿宋" w:hAnsi="仿宋" w:eastAsia="仿宋" w:cs="仿宋"/>
          <w:sz w:val="24"/>
        </w:rPr>
        <w:t>日期：</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pPr>
        <w:pStyle w:val="81"/>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Rectangle 17" o:spid="_x0000_s1026"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sz w:val="24"/>
        </w:rPr>
        <w:pict>
          <v:rect id="Rectangle 16" o:spid="_x0000_s1027"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sz w:val="24"/>
        </w:rPr>
        <w:t>投标单位法定名称章（印模）投标单位“XX专用章”（印模）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6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7"/>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36" w:lineRule="auto"/>
        <w:jc w:val="center"/>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36" w:lineRule="auto"/>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napToGrid w:val="0"/>
        <w:spacing w:line="288"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pPr>
        <w:spacing w:line="288"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tabs>
          <w:tab w:val="left" w:pos="4860"/>
        </w:tabs>
        <w:spacing w:line="360" w:lineRule="auto"/>
        <w:ind w:right="1560" w:firstLine="480" w:firstLineChars="200"/>
        <w:jc w:val="center"/>
        <w:rPr>
          <w:rFonts w:ascii="仿宋" w:hAnsi="仿宋" w:eastAsia="仿宋" w:cs="仿宋"/>
          <w:kern w:val="0"/>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投标人名称（公章）</w:t>
      </w:r>
      <w:r>
        <w:rPr>
          <w:rFonts w:hint="eastAsia" w:ascii="仿宋" w:hAnsi="仿宋" w:eastAsia="仿宋" w:cs="仿宋"/>
          <w:sz w:val="24"/>
        </w:rPr>
        <w:t>：</w:t>
      </w:r>
    </w:p>
    <w:p>
      <w:pPr>
        <w:spacing w:line="288" w:lineRule="auto"/>
        <w:ind w:right="1120"/>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pPr>
        <w:spacing w:line="288" w:lineRule="auto"/>
        <w:ind w:right="420" w:firstLine="482" w:firstLineChars="200"/>
        <w:rPr>
          <w:rFonts w:ascii="仿宋" w:hAnsi="仿宋" w:eastAsia="仿宋" w:cs="仿宋"/>
          <w:b/>
          <w:bCs/>
          <w:sz w:val="24"/>
        </w:rPr>
      </w:pPr>
    </w:p>
    <w:p>
      <w:pPr>
        <w:spacing w:line="288" w:lineRule="auto"/>
        <w:ind w:right="420" w:firstLine="482" w:firstLineChars="200"/>
        <w:rPr>
          <w:rFonts w:ascii="仿宋" w:hAnsi="仿宋" w:eastAsia="仿宋" w:cs="仿宋"/>
          <w:b/>
          <w:bCs/>
          <w:sz w:val="24"/>
        </w:rPr>
      </w:pPr>
      <w:r>
        <w:rPr>
          <w:rFonts w:hint="eastAsia" w:ascii="仿宋" w:hAnsi="仿宋" w:eastAsia="仿宋" w:cs="仿宋"/>
          <w:b/>
          <w:bCs/>
          <w:sz w:val="24"/>
        </w:rPr>
        <w:t>从业人员、营业收入、资产总额填报上一年度数据，无上一年度数据的新成立企业可不填报。</w:t>
      </w:r>
    </w:p>
    <w:p>
      <w:pPr>
        <w:ind w:right="420"/>
        <w:rPr>
          <w:rFonts w:ascii="仿宋" w:hAnsi="仿宋" w:eastAsia="仿宋" w:cs="仿宋"/>
          <w:b/>
          <w:bCs/>
          <w:sz w:val="24"/>
        </w:rPr>
      </w:pPr>
      <w:r>
        <w:rPr>
          <w:rFonts w:hint="eastAsia" w:ascii="仿宋" w:hAnsi="仿宋" w:eastAsia="仿宋" w:cs="仿宋"/>
          <w:b/>
          <w:bCs/>
          <w:sz w:val="24"/>
        </w:rPr>
        <w:t>注：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30</w:t>
                </w:r>
                <w:r>
                  <w:fldChar w:fldCharType="end"/>
                </w:r>
                <w:r>
                  <w:t>页共</w:t>
                </w:r>
                <w:r>
                  <w:fldChar w:fldCharType="begin"/>
                </w:r>
                <w:r>
                  <w:instrText xml:space="preserve"> NUMPAGES  \* MERGEFORMAT </w:instrText>
                </w:r>
                <w:r>
                  <w:fldChar w:fldCharType="separate"/>
                </w:r>
                <w:r>
                  <w:t>80</w:t>
                </w:r>
                <w:r>
                  <w:fldChar w:fldCharType="end"/>
                </w:r>
                <w:r>
                  <w:t>页</w:t>
                </w:r>
              </w:p>
            </w:txbxContent>
          </v:textbox>
        </v:shape>
      </w:pic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58</w:t>
                </w:r>
                <w:r>
                  <w:fldChar w:fldCharType="end"/>
                </w:r>
                <w:r>
                  <w:t>页共</w:t>
                </w:r>
                <w:r>
                  <w:fldChar w:fldCharType="begin"/>
                </w:r>
                <w:r>
                  <w:instrText xml:space="preserve"> NUMPAGES  \* MERGEFORMAT </w:instrText>
                </w:r>
                <w:r>
                  <w:fldChar w:fldCharType="separate"/>
                </w:r>
                <w:r>
                  <w:t>78</w:t>
                </w:r>
                <w:r>
                  <w:fldChar w:fldCharType="end"/>
                </w:r>
                <w:r>
                  <w:t>页</w:t>
                </w:r>
              </w:p>
            </w:txbxContent>
          </v:textbox>
        </v:shape>
      </w:pic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61</w:t>
                </w:r>
                <w:r>
                  <w:fldChar w:fldCharType="end"/>
                </w:r>
                <w:r>
                  <w:t>页共</w:t>
                </w:r>
                <w:r>
                  <w:fldChar w:fldCharType="begin"/>
                </w:r>
                <w:r>
                  <w:instrText xml:space="preserve"> NUMPAGES  \* MERGEFORMAT </w:instrText>
                </w:r>
                <w:r>
                  <w:fldChar w:fldCharType="separate"/>
                </w:r>
                <w:r>
                  <w:t>81</w:t>
                </w:r>
                <w:r>
                  <w:fldChar w:fldCharType="end"/>
                </w:r>
                <w:r>
                  <w:t>页</w:t>
                </w:r>
              </w:p>
            </w:txbxContent>
          </v:textbox>
        </v:shape>
      </w:pic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79</w:t>
                </w:r>
                <w:r>
                  <w:fldChar w:fldCharType="end"/>
                </w:r>
                <w:r>
                  <w:t>页共</w:t>
                </w:r>
                <w:r>
                  <w:fldChar w:fldCharType="begin"/>
                </w:r>
                <w:r>
                  <w:instrText xml:space="preserve"> NUMPAGES  \* MERGEFORMAT </w:instrText>
                </w:r>
                <w:r>
                  <w:fldChar w:fldCharType="separate"/>
                </w:r>
                <w:r>
                  <w:t>81</w:t>
                </w:r>
                <w:r>
                  <w:fldChar w:fldCharType="end"/>
                </w:r>
                <w:r>
                  <w:t>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62</w:t>
                </w:r>
                <w:r>
                  <w:fldChar w:fldCharType="end"/>
                </w:r>
                <w:r>
                  <w:t>页共</w:t>
                </w:r>
                <w:r>
                  <w:fldChar w:fldCharType="begin"/>
                </w:r>
                <w:r>
                  <w:instrText xml:space="preserve"> NUMPAGES  \* MERGEFORMAT </w:instrText>
                </w:r>
                <w:r>
                  <w:fldChar w:fldCharType="separate"/>
                </w:r>
                <w:r>
                  <w:t>81</w:t>
                </w:r>
                <w:r>
                  <w:fldChar w:fldCharType="end"/>
                </w:r>
                <w: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25</w:t>
                </w:r>
                <w:r>
                  <w:fldChar w:fldCharType="end"/>
                </w:r>
                <w:r>
                  <w:t>页共</w:t>
                </w:r>
                <w:r>
                  <w:fldChar w:fldCharType="begin"/>
                </w:r>
                <w:r>
                  <w:instrText xml:space="preserve"> NUMPAGES  \* MERGEFORMAT </w:instrText>
                </w:r>
                <w:r>
                  <w:fldChar w:fldCharType="separate"/>
                </w:r>
                <w:r>
                  <w:t>80</w:t>
                </w:r>
                <w:r>
                  <w:fldChar w:fldCharType="end"/>
                </w:r>
                <w:r>
                  <w:t>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pict>
        <v:shape id="_x0000_s2057" o:spid="_x0000_s205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1</w:t>
                </w:r>
                <w:r>
                  <w:fldChar w:fldCharType="end"/>
                </w:r>
                <w:r>
                  <w:t>页共</w:t>
                </w:r>
                <w:r>
                  <w:fldChar w:fldCharType="begin"/>
                </w:r>
                <w:r>
                  <w:instrText xml:space="preserve"> NUMPAGES  \* MERGEFORMAT </w:instrText>
                </w:r>
                <w:r>
                  <w:fldChar w:fldCharType="separate"/>
                </w:r>
                <w:r>
                  <w:t>80</w:t>
                </w:r>
                <w:r>
                  <w:fldChar w:fldCharType="end"/>
                </w:r>
                <w:r>
                  <w:t>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24</w:t>
                </w:r>
                <w:r>
                  <w:fldChar w:fldCharType="end"/>
                </w:r>
                <w:r>
                  <w:t>页共</w:t>
                </w:r>
                <w:r>
                  <w:fldChar w:fldCharType="begin"/>
                </w:r>
                <w:r>
                  <w:instrText xml:space="preserve"> NUMPAGES  \* MERGEFORMAT </w:instrText>
                </w:r>
                <w:r>
                  <w:fldChar w:fldCharType="separate"/>
                </w:r>
                <w:r>
                  <w:t>80</w:t>
                </w:r>
                <w:r>
                  <w:fldChar w:fldCharType="end"/>
                </w:r>
                <w:r>
                  <w:t>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joinstyle="miter"/>
          <v:imagedata o:title=""/>
          <o:lock v:ext="edit"/>
          <v:textbox inset="0mm,0mm,0mm,0mm" style="mso-fit-shape-to-text:t;">
            <w:txbxContent>
              <w:p>
                <w:pPr>
                  <w:pStyle w:val="39"/>
                </w:pPr>
                <w:r>
                  <w:t>第</w:t>
                </w:r>
                <w:r>
                  <w:fldChar w:fldCharType="begin"/>
                </w:r>
                <w:r>
                  <w:instrText xml:space="preserve"> PAGE  \* MERGEFORMAT </w:instrText>
                </w:r>
                <w:r>
                  <w:fldChar w:fldCharType="separate"/>
                </w:r>
                <w:r>
                  <w:t>43</w:t>
                </w:r>
                <w:r>
                  <w:fldChar w:fldCharType="end"/>
                </w:r>
                <w:r>
                  <w:t>页共</w:t>
                </w:r>
                <w:r>
                  <w:fldChar w:fldCharType="begin"/>
                </w:r>
                <w:r>
                  <w:instrText xml:space="preserve"> NUMPAGES  \* MERGEFORMAT </w:instrText>
                </w:r>
                <w:r>
                  <w:fldChar w:fldCharType="separate"/>
                </w:r>
                <w:r>
                  <w:t>80</w:t>
                </w:r>
                <w:r>
                  <w:fldChar w:fldCharType="end"/>
                </w:r>
                <w:r>
                  <w:t>页</w:t>
                </w:r>
              </w:p>
            </w:txbxContent>
          </v:textbox>
        </v:shape>
      </w:pic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YH2024-04054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YH2024-04054</w:t>
    </w: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YH2024-04054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YH2024-04054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YH2024-04054</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YH2024-04054</w:t>
    </w:r>
  </w:p>
  <w:p>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YH2024-04054</w:t>
    </w:r>
  </w:p>
  <w:p>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I5NTMwZGFjNDczMjJiMDRlZTE4MWZlNzMwNGYxMjcifQ=="/>
  </w:docVars>
  <w:rsids>
    <w:rsidRoot w:val="00FE19E4"/>
    <w:rsid w:val="00026679"/>
    <w:rsid w:val="00063CE8"/>
    <w:rsid w:val="00155F80"/>
    <w:rsid w:val="001904B4"/>
    <w:rsid w:val="002451C8"/>
    <w:rsid w:val="00265606"/>
    <w:rsid w:val="0029229B"/>
    <w:rsid w:val="002A6A79"/>
    <w:rsid w:val="002F2BF6"/>
    <w:rsid w:val="0032240B"/>
    <w:rsid w:val="003726DD"/>
    <w:rsid w:val="00397884"/>
    <w:rsid w:val="00413071"/>
    <w:rsid w:val="004D3833"/>
    <w:rsid w:val="00535EFC"/>
    <w:rsid w:val="00544615"/>
    <w:rsid w:val="005A47EB"/>
    <w:rsid w:val="005B02C3"/>
    <w:rsid w:val="005C748A"/>
    <w:rsid w:val="006065F2"/>
    <w:rsid w:val="0065313E"/>
    <w:rsid w:val="00683E3C"/>
    <w:rsid w:val="00762AFD"/>
    <w:rsid w:val="00790406"/>
    <w:rsid w:val="007A04FE"/>
    <w:rsid w:val="007C18D3"/>
    <w:rsid w:val="008B4CB3"/>
    <w:rsid w:val="009268A9"/>
    <w:rsid w:val="00943FDE"/>
    <w:rsid w:val="00973001"/>
    <w:rsid w:val="009C1C85"/>
    <w:rsid w:val="00A12C64"/>
    <w:rsid w:val="00A45DD6"/>
    <w:rsid w:val="00A96D22"/>
    <w:rsid w:val="00AA3507"/>
    <w:rsid w:val="00AD4C1C"/>
    <w:rsid w:val="00AE1647"/>
    <w:rsid w:val="00AF6653"/>
    <w:rsid w:val="00B130D1"/>
    <w:rsid w:val="00B5574D"/>
    <w:rsid w:val="00B90BB5"/>
    <w:rsid w:val="00BA1401"/>
    <w:rsid w:val="00BB5914"/>
    <w:rsid w:val="00BE3742"/>
    <w:rsid w:val="00C05635"/>
    <w:rsid w:val="00C21384"/>
    <w:rsid w:val="00C36AF7"/>
    <w:rsid w:val="00C91FA9"/>
    <w:rsid w:val="00CC5E5E"/>
    <w:rsid w:val="00DA1F4F"/>
    <w:rsid w:val="00E649B4"/>
    <w:rsid w:val="00E73CAB"/>
    <w:rsid w:val="00EA5CF0"/>
    <w:rsid w:val="00F45363"/>
    <w:rsid w:val="00FE19E4"/>
    <w:rsid w:val="00FF1949"/>
    <w:rsid w:val="01537FD5"/>
    <w:rsid w:val="033E089E"/>
    <w:rsid w:val="06D74677"/>
    <w:rsid w:val="0983157E"/>
    <w:rsid w:val="0B080994"/>
    <w:rsid w:val="0FA0239A"/>
    <w:rsid w:val="133236CD"/>
    <w:rsid w:val="14127BE9"/>
    <w:rsid w:val="14EC7D9D"/>
    <w:rsid w:val="158D1A3D"/>
    <w:rsid w:val="169E17AF"/>
    <w:rsid w:val="195210FF"/>
    <w:rsid w:val="1F4629DA"/>
    <w:rsid w:val="21C45E6A"/>
    <w:rsid w:val="29100692"/>
    <w:rsid w:val="2CDA6E57"/>
    <w:rsid w:val="31A95F78"/>
    <w:rsid w:val="33AF4B9A"/>
    <w:rsid w:val="356B2D42"/>
    <w:rsid w:val="38282A82"/>
    <w:rsid w:val="3A3A0AB3"/>
    <w:rsid w:val="3B434284"/>
    <w:rsid w:val="3F326AC0"/>
    <w:rsid w:val="449701CB"/>
    <w:rsid w:val="44D530D8"/>
    <w:rsid w:val="46B12E56"/>
    <w:rsid w:val="4C312198"/>
    <w:rsid w:val="4DE4148C"/>
    <w:rsid w:val="4FAE554B"/>
    <w:rsid w:val="50C301CB"/>
    <w:rsid w:val="53F52867"/>
    <w:rsid w:val="57DAE6E1"/>
    <w:rsid w:val="58BF6D7E"/>
    <w:rsid w:val="5B255ECF"/>
    <w:rsid w:val="5B7C12A3"/>
    <w:rsid w:val="5C2E3077"/>
    <w:rsid w:val="5DD22FD0"/>
    <w:rsid w:val="5EC76A1D"/>
    <w:rsid w:val="5F665FB3"/>
    <w:rsid w:val="5FED10F1"/>
    <w:rsid w:val="642152E2"/>
    <w:rsid w:val="65077AE2"/>
    <w:rsid w:val="68151AAD"/>
    <w:rsid w:val="69521E11"/>
    <w:rsid w:val="6A2A6443"/>
    <w:rsid w:val="6A971908"/>
    <w:rsid w:val="6AEF1016"/>
    <w:rsid w:val="6BEF1545"/>
    <w:rsid w:val="6C2430E3"/>
    <w:rsid w:val="6FCF721E"/>
    <w:rsid w:val="729E74BD"/>
    <w:rsid w:val="73AB57CE"/>
    <w:rsid w:val="78573A24"/>
    <w:rsid w:val="7A463668"/>
    <w:rsid w:val="7A8D23E0"/>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2"/>
    <w:autoRedefine/>
    <w:qFormat/>
    <w:uiPriority w:val="0"/>
    <w:rPr>
      <w:lang w:val="zh-CN"/>
    </w:rPr>
  </w:style>
  <w:style w:type="paragraph" w:styleId="38">
    <w:name w:val="Balloon Text"/>
    <w:basedOn w:val="1"/>
    <w:link w:val="189"/>
    <w:autoRedefine/>
    <w:qFormat/>
    <w:uiPriority w:val="0"/>
    <w:rPr>
      <w:sz w:val="18"/>
      <w:szCs w:val="18"/>
    </w:rPr>
  </w:style>
  <w:style w:type="paragraph" w:styleId="39">
    <w:name w:val="footer"/>
    <w:basedOn w:val="1"/>
    <w:link w:val="383"/>
    <w:autoRedefine/>
    <w:qFormat/>
    <w:uiPriority w:val="99"/>
    <w:pPr>
      <w:tabs>
        <w:tab w:val="center" w:pos="4153"/>
        <w:tab w:val="right" w:pos="8306"/>
      </w:tabs>
      <w:snapToGrid w:val="0"/>
      <w:jc w:val="left"/>
    </w:pPr>
    <w:rPr>
      <w:sz w:val="18"/>
      <w:szCs w:val="18"/>
    </w:rPr>
  </w:style>
  <w:style w:type="paragraph" w:styleId="40">
    <w:name w:val="envelope return"/>
    <w:basedOn w:val="1"/>
    <w:autoRedefine/>
    <w:qFormat/>
    <w:uiPriority w:val="0"/>
    <w:pPr>
      <w:snapToGrid w:val="0"/>
    </w:pPr>
    <w:rPr>
      <w:rFonts w:ascii="Arial" w:hAnsi="Arial"/>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w:basedOn w:val="1"/>
    <w:next w:val="51"/>
    <w:link w:val="321"/>
    <w:autoRedefine/>
    <w:qFormat/>
    <w:uiPriority w:val="0"/>
    <w:pPr>
      <w:ind w:firstLine="420"/>
    </w:pPr>
    <w:rPr>
      <w:rFonts w:hAnsi="Calibri"/>
      <w:szCs w:val="20"/>
    </w:rPr>
  </w:style>
  <w:style w:type="paragraph" w:styleId="62">
    <w:name w:val="Body Text First Indent 2"/>
    <w:basedOn w:val="24"/>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5"/>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8"/>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29"/>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4"/>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6"/>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qFormat/>
    <w:uiPriority w:val="0"/>
  </w:style>
  <w:style w:type="character" w:customStyle="1" w:styleId="327">
    <w:name w:val="标题 4 Char2"/>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0"/>
    <w:rPr>
      <w:kern w:val="2"/>
      <w:sz w:val="21"/>
      <w:szCs w:val="24"/>
    </w:rPr>
  </w:style>
  <w:style w:type="character" w:customStyle="1" w:styleId="345">
    <w:name w:val="签名 Char"/>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39"/>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autoRedefine/>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7"/>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6"/>
    <customShpInfo spid="_x0000_s2057"/>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7549</Words>
  <Characters>43031</Characters>
  <Lines>358</Lines>
  <Paragraphs>100</Paragraphs>
  <TotalTime>3</TotalTime>
  <ScaleCrop>false</ScaleCrop>
  <LinksUpToDate>false</LinksUpToDate>
  <CharactersWithSpaces>50480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2024-04-29T08:52:00Z</dcterms:created>
  <dc:creator>玥</dc:creator>
  <cp:lastModifiedBy>囍多多</cp:lastModifiedBy>
  <cp:lastPrinted>2024-04-17T00:21:00Z</cp:lastPrinted>
  <dcterms:modified xsi:type="dcterms:W3CDTF">2024-04-30T03:10:37Z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F974AD35106646ACAA049B34B6508CE8_13</vt:lpwstr>
  </property>
</Properties>
</file>