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b/>
          <w:color w:val="auto"/>
          <w:sz w:val="24"/>
        </w:rPr>
      </w:pPr>
      <w:bookmarkStart w:id="0" w:name="_Hlt67893495"/>
      <w:bookmarkEnd w:id="0"/>
    </w:p>
    <w:p>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绍兴市人民医院</w:t>
      </w:r>
    </w:p>
    <w:p>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医技报告归档系统采购项目</w:t>
      </w:r>
    </w:p>
    <w:p>
      <w:pPr>
        <w:pStyle w:val="4"/>
        <w:rPr>
          <w:rFonts w:ascii="仿宋" w:eastAsia="仿宋" w:cs="仿宋"/>
          <w:color w:val="auto"/>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spacing w:line="360" w:lineRule="auto"/>
        <w:rPr>
          <w:rFonts w:ascii="仿宋" w:hAnsi="仿宋" w:eastAsia="仿宋" w:cs="仿宋"/>
          <w:b/>
          <w:color w:val="auto"/>
          <w:sz w:val="44"/>
          <w:szCs w:val="44"/>
        </w:rPr>
      </w:pPr>
    </w:p>
    <w:p>
      <w:pPr>
        <w:jc w:val="center"/>
        <w:rPr>
          <w:rFonts w:ascii="仿宋" w:hAnsi="仿宋" w:eastAsia="仿宋" w:cs="仿宋"/>
          <w:b/>
          <w:color w:val="auto"/>
          <w:sz w:val="28"/>
          <w:szCs w:val="28"/>
        </w:rPr>
      </w:pP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HCSY-2024-017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kern w:val="0"/>
                <w:sz w:val="28"/>
                <w:szCs w:val="28"/>
                <w:fitText w:val="1680" w:id="1340961171"/>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jc w:val="left"/>
              <w:rPr>
                <w:rFonts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p>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pPr>
        <w:pStyle w:val="638"/>
        <w:rPr>
          <w:rFonts w:ascii="仿宋" w:hAnsi="仿宋" w:eastAsia="仿宋" w:cs="仿宋"/>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rPr>
      </w:pPr>
    </w:p>
    <w:p>
      <w:pPr>
        <w:spacing w:line="360" w:lineRule="auto"/>
        <w:jc w:val="center"/>
        <w:rPr>
          <w:rFonts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pPr>
        <w:spacing w:line="360" w:lineRule="auto"/>
        <w:jc w:val="center"/>
        <w:rPr>
          <w:rFonts w:ascii="仿宋" w:hAnsi="仿宋" w:eastAsia="仿宋" w:cs="仿宋"/>
          <w:b/>
          <w:color w:val="auto"/>
          <w:sz w:val="44"/>
          <w:szCs w:val="44"/>
        </w:rPr>
      </w:pPr>
    </w:p>
    <w:p>
      <w:pPr>
        <w:spacing w:line="360" w:lineRule="auto"/>
        <w:jc w:val="center"/>
        <w:rPr>
          <w:rFonts w:ascii="仿宋" w:hAnsi="仿宋" w:eastAsia="仿宋" w:cs="仿宋"/>
          <w:color w:val="auto"/>
        </w:rPr>
      </w:pP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2"/>
    <w:p>
      <w:pPr>
        <w:adjustRightInd/>
        <w:spacing w:line="360" w:lineRule="auto"/>
        <w:jc w:val="center"/>
        <w:outlineLvl w:val="0"/>
        <w:rPr>
          <w:rFonts w:ascii="仿宋" w:hAnsi="仿宋" w:eastAsia="仿宋" w:cs="仿宋"/>
          <w:b/>
          <w:color w:val="auto"/>
          <w:sz w:val="36"/>
          <w:szCs w:val="20"/>
        </w:rPr>
        <w:sectPr>
          <w:footerReference r:id="rId12" w:type="first"/>
          <w:headerReference r:id="rId9" w:type="default"/>
          <w:footerReference r:id="rId10" w:type="default"/>
          <w:footerReference r:id="rId11"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spacing w:line="360" w:lineRule="auto"/>
        <w:ind w:firstLine="480" w:firstLineChars="200"/>
        <w:rPr>
          <w:rFonts w:ascii="仿宋" w:hAnsi="仿宋" w:eastAsia="仿宋" w:cs="仿宋"/>
          <w:b/>
          <w:color w:val="auto"/>
          <w:sz w:val="24"/>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p>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pStyle w:val="398"/>
        <w:spacing w:afterLines="0" w:line="440" w:lineRule="exact"/>
        <w:ind w:firstLine="482"/>
        <w:rPr>
          <w:rFonts w:hint="eastAsia" w:ascii="仿宋" w:hAnsi="仿宋" w:eastAsia="仿宋" w:cs="仿宋"/>
          <w:color w:val="auto"/>
          <w:lang w:eastAsia="zh-CN"/>
        </w:rPr>
      </w:pPr>
      <w:r>
        <w:rPr>
          <w:rFonts w:hint="eastAsia" w:ascii="仿宋" w:hAnsi="仿宋" w:eastAsia="仿宋" w:cs="仿宋"/>
          <w:b/>
          <w:color w:val="auto"/>
        </w:rPr>
        <w:t>项目编号：</w:t>
      </w:r>
      <w:r>
        <w:rPr>
          <w:rFonts w:hint="eastAsia" w:ascii="仿宋" w:hAnsi="仿宋" w:eastAsia="仿宋" w:cs="仿宋"/>
          <w:color w:val="auto"/>
          <w:szCs w:val="24"/>
          <w:lang w:eastAsia="zh-CN"/>
        </w:rPr>
        <w:t>HCSY-2024-017</w:t>
      </w:r>
    </w:p>
    <w:p>
      <w:pPr>
        <w:pStyle w:val="398"/>
        <w:spacing w:afterLines="0" w:line="440" w:lineRule="exact"/>
        <w:ind w:firstLine="482"/>
        <w:rPr>
          <w:rFonts w:hint="eastAsia" w:ascii="仿宋" w:hAnsi="仿宋" w:eastAsia="仿宋" w:cs="仿宋"/>
          <w:color w:val="auto"/>
          <w:lang w:eastAsia="zh-CN"/>
        </w:rPr>
      </w:pPr>
      <w:r>
        <w:rPr>
          <w:rFonts w:hint="eastAsia" w:ascii="仿宋" w:hAnsi="仿宋" w:eastAsia="仿宋" w:cs="仿宋"/>
          <w:b/>
          <w:color w:val="auto"/>
        </w:rPr>
        <w:t>项目名称：</w:t>
      </w:r>
      <w:r>
        <w:rPr>
          <w:rFonts w:hint="eastAsia" w:ascii="仿宋" w:hAnsi="仿宋" w:eastAsia="仿宋" w:cs="仿宋"/>
          <w:color w:val="auto"/>
          <w:szCs w:val="24"/>
          <w:lang w:eastAsia="zh-CN"/>
        </w:rPr>
        <w:t>绍兴市人民医院医技报告归档系统采购项目</w:t>
      </w:r>
    </w:p>
    <w:p>
      <w:pPr>
        <w:spacing w:line="440" w:lineRule="exact"/>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预算金额（元）：</w:t>
      </w:r>
      <w:r>
        <w:rPr>
          <w:rFonts w:hint="eastAsia" w:ascii="仿宋" w:hAnsi="仿宋" w:eastAsia="仿宋" w:cs="仿宋"/>
          <w:bCs/>
          <w:color w:val="auto"/>
          <w:sz w:val="24"/>
          <w:lang w:eastAsia="zh-CN"/>
        </w:rPr>
        <w:t>200000</w:t>
      </w:r>
    </w:p>
    <w:p>
      <w:pPr>
        <w:spacing w:line="440" w:lineRule="exact"/>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Cs/>
          <w:color w:val="auto"/>
          <w:sz w:val="24"/>
          <w:lang w:eastAsia="zh-CN"/>
        </w:rPr>
        <w:t>200000</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color w:val="auto"/>
          <w:lang w:eastAsia="zh-CN"/>
        </w:rPr>
        <w:t>绍兴市人民医院医技报告归档系统采购项目</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rPr>
        <w:t>预算金额：</w:t>
      </w:r>
      <w:r>
        <w:rPr>
          <w:rFonts w:hint="eastAsia" w:ascii="仿宋" w:hAnsi="仿宋" w:eastAsia="仿宋" w:cs="仿宋"/>
          <w:bCs/>
          <w:color w:val="auto"/>
          <w:sz w:val="24"/>
          <w:lang w:eastAsia="zh-CN"/>
        </w:rPr>
        <w:t>200000</w:t>
      </w:r>
    </w:p>
    <w:p>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pPr>
        <w:spacing w:line="440" w:lineRule="exact"/>
        <w:ind w:firstLine="420" w:firstLineChars="200"/>
        <w:rPr>
          <w:rFonts w:ascii="仿宋" w:hAnsi="仿宋" w:eastAsia="仿宋" w:cs="仿宋"/>
          <w:color w:val="auto"/>
          <w:sz w:val="24"/>
        </w:rPr>
      </w:pPr>
      <w:sdt>
        <w:sdtPr>
          <w:rPr>
            <w:rFonts w:hint="eastAsia" w:ascii="仿宋" w:hAnsi="仿宋" w:eastAsia="仿宋" w:cs="仿宋"/>
            <w:color w:val="auto"/>
            <w:szCs w:val="21"/>
          </w:rPr>
          <w:id w:val="725337177"/>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785" w:firstLineChars="374"/>
        <w:rPr>
          <w:rFonts w:ascii="仿宋" w:hAnsi="仿宋" w:eastAsia="仿宋" w:cs="仿宋"/>
          <w:color w:val="auto"/>
          <w:sz w:val="24"/>
          <w:u w:val="single"/>
        </w:rPr>
      </w:pPr>
      <w:sdt>
        <w:sdtPr>
          <w:rPr>
            <w:rFonts w:hint="eastAsia" w:ascii="仿宋" w:hAnsi="仿宋" w:eastAsia="仿宋" w:cs="仿宋"/>
            <w:color w:val="auto"/>
            <w:szCs w:val="21"/>
          </w:rPr>
          <w:id w:val="-1342388451"/>
        </w:sdtPr>
        <w:sdtEndPr>
          <w:rPr>
            <w:rFonts w:hint="eastAsia" w:ascii="仿宋" w:hAnsi="仿宋" w:eastAsia="仿宋" w:cs="仿宋"/>
            <w:color w:val="auto"/>
            <w:sz w:val="24"/>
            <w:szCs w:val="21"/>
          </w:rPr>
        </w:sdtEndPr>
        <w:sdtContent>
          <w:r>
            <w:rPr>
              <w:rFonts w:hint="eastAsia" w:ascii="仿宋" w:hAnsi="仿宋" w:eastAsia="仿宋" w:cs="仿宋"/>
              <w:color w:val="auto"/>
            </w:rPr>
            <w:sym w:font="Wingdings" w:char="00FE"/>
          </w:r>
          <w:r>
            <w:rPr>
              <w:rFonts w:hint="eastAsia" w:ascii="仿宋" w:hAnsi="仿宋" w:eastAsia="仿宋" w:cs="仿宋"/>
              <w:color w:val="auto"/>
              <w:sz w:val="24"/>
            </w:rPr>
            <w:t>服务全部由符合政策要求的中小企业承接，提供中小企业声明函</w:t>
          </w:r>
        </w:sdtContent>
      </w:sdt>
      <w:r>
        <w:rPr>
          <w:rFonts w:hint="eastAsia" w:ascii="仿宋" w:hAnsi="仿宋" w:eastAsia="仿宋" w:cs="仿宋"/>
          <w:color w:val="auto"/>
          <w:sz w:val="24"/>
        </w:rPr>
        <w:t>；</w:t>
      </w:r>
    </w:p>
    <w:p>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numPr>
          <w:ilvl w:val="0"/>
          <w:numId w:val="1"/>
        </w:num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本项目的特定资格要求：无</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三、获取招标文件时间、地点及方式：</w:t>
      </w:r>
    </w:p>
    <w:p>
      <w:pPr>
        <w:spacing w:line="480" w:lineRule="exact"/>
        <w:ind w:firstLine="540" w:firstLineChars="225"/>
        <w:rPr>
          <w:rFonts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2.获取招标文件时需提供以下资料（复印件加盖单位公章）：投标人营业执照副本、报名人身份证、法定代表人授权委托书及联系方式（手机号码和邮箱）。</w:t>
      </w:r>
    </w:p>
    <w:p>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供应商应于</w:t>
      </w:r>
      <w:r>
        <w:rPr>
          <w:rFonts w:hint="eastAsia" w:ascii="仿宋" w:hAnsi="仿宋" w:eastAsia="仿宋" w:cs="仿宋"/>
          <w:color w:val="auto"/>
          <w:sz w:val="24"/>
          <w:u w:val="single"/>
        </w:rPr>
        <w:t>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时以前将投标文件密封送交到</w:t>
      </w:r>
      <w:r>
        <w:rPr>
          <w:rFonts w:hint="eastAsia" w:ascii="仿宋" w:hAnsi="仿宋" w:eastAsia="仿宋" w:cs="仿宋"/>
          <w:color w:val="auto"/>
          <w:kern w:val="0"/>
          <w:sz w:val="24"/>
        </w:rPr>
        <w:t>绍兴市越城区越西路800号金德隆商业中心8幢二楼华诚工程咨询集团有限公司开标室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kern w:val="0"/>
          <w:sz w:val="24"/>
        </w:rPr>
        <w:t xml:space="preserve">绍兴市越城区越西路800号金德隆商业中心8幢二楼华诚工程咨询集团有限公司二楼开标室 </w:t>
      </w:r>
      <w:r>
        <w:rPr>
          <w:rFonts w:hint="eastAsia" w:ascii="仿宋" w:hAnsi="仿宋" w:eastAsia="仿宋" w:cs="仿宋"/>
          <w:color w:val="auto"/>
          <w:sz w:val="24"/>
        </w:rPr>
        <w:t>联系人：毕龙梅   电话：15068545458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2024</w:t>
      </w:r>
      <w:r>
        <w:rPr>
          <w:rFonts w:hint="eastAsia" w:ascii="仿宋" w:hAnsi="仿宋" w:eastAsia="仿宋" w:cs="仿宋"/>
          <w:color w:val="auto"/>
          <w:sz w:val="24"/>
        </w:rPr>
        <w:t xml:space="preserve">年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月</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时以前将投标文件密封送交</w:t>
      </w:r>
      <w:r>
        <w:rPr>
          <w:rFonts w:hint="eastAsia" w:ascii="仿宋" w:hAnsi="仿宋" w:eastAsia="仿宋" w:cs="仿宋"/>
          <w:color w:val="auto"/>
          <w:kern w:val="0"/>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 xml:space="preserve">或逾期送达不予接收，应即交即走，不参加后续开标会。现场递交地址： </w:t>
      </w:r>
      <w:r>
        <w:rPr>
          <w:rFonts w:hint="eastAsia" w:ascii="仿宋" w:hAnsi="仿宋" w:eastAsia="仿宋" w:cs="仿宋"/>
          <w:color w:val="auto"/>
          <w:kern w:val="0"/>
          <w:sz w:val="24"/>
        </w:rPr>
        <w:t>绍兴市越城区越西路800号金德隆商业中心8幢二楼华诚工程咨询集团有限公司开标室。</w:t>
      </w:r>
    </w:p>
    <w:p>
      <w:pPr>
        <w:spacing w:line="440" w:lineRule="exact"/>
        <w:ind w:firstLine="482" w:firstLineChars="200"/>
        <w:rPr>
          <w:rFonts w:ascii="仿宋" w:hAnsi="仿宋" w:eastAsia="仿宋" w:cs="仿宋"/>
          <w:color w:val="auto"/>
        </w:rPr>
      </w:pPr>
      <w:r>
        <w:rPr>
          <w:rFonts w:hint="eastAsia" w:ascii="仿宋" w:hAnsi="仿宋" w:eastAsia="仿宋" w:cs="仿宋"/>
          <w:b/>
          <w:bCs/>
          <w:color w:val="auto"/>
          <w:sz w:val="24"/>
        </w:rPr>
        <w:t>开标时间及地点：</w:t>
      </w:r>
      <w:r>
        <w:rPr>
          <w:rFonts w:hint="eastAsia" w:ascii="仿宋" w:hAnsi="仿宋" w:eastAsia="仿宋" w:cs="仿宋"/>
          <w:color w:val="auto"/>
          <w:sz w:val="24"/>
        </w:rPr>
        <w:t>同投标截止时间及地点。</w:t>
      </w:r>
    </w:p>
    <w:p>
      <w:pPr>
        <w:spacing w:line="440" w:lineRule="exact"/>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bookmarkEnd w:id="7"/>
    <w:bookmarkEnd w:id="8"/>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pStyle w:val="39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名称：绍兴市人民医院 </w:t>
      </w:r>
    </w:p>
    <w:p>
      <w:pPr>
        <w:pStyle w:val="39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39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传真：0575-88558842</w:t>
      </w:r>
    </w:p>
    <w:p>
      <w:pPr>
        <w:pStyle w:val="398"/>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钱国良</w:t>
      </w:r>
    </w:p>
    <w:p>
      <w:pPr>
        <w:pStyle w:val="398"/>
        <w:widowControl w:val="0"/>
        <w:snapToGrid/>
        <w:spacing w:afterLines="0" w:line="44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项目联系方式（询问）：0575-8855</w:t>
      </w:r>
      <w:r>
        <w:rPr>
          <w:rFonts w:hint="eastAsia" w:ascii="仿宋" w:hAnsi="仿宋" w:eastAsia="仿宋" w:cs="仿宋"/>
          <w:color w:val="auto"/>
          <w:szCs w:val="24"/>
          <w:lang w:val="en-US" w:eastAsia="zh-CN"/>
        </w:rPr>
        <w:t>8842</w:t>
      </w:r>
    </w:p>
    <w:p>
      <w:pPr>
        <w:pStyle w:val="398"/>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szCs w:val="24"/>
          <w:lang w:val="en-US" w:eastAsia="zh-CN"/>
        </w:rPr>
        <w:t>马雪峰</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质疑联系方式：0575-8855</w:t>
      </w:r>
      <w:r>
        <w:rPr>
          <w:rFonts w:hint="eastAsia" w:ascii="仿宋" w:hAnsi="仿宋" w:eastAsia="仿宋" w:cs="仿宋"/>
          <w:color w:val="auto"/>
          <w:szCs w:val="24"/>
          <w:lang w:val="en-US" w:eastAsia="zh-CN"/>
        </w:rPr>
        <w:t>8842</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398"/>
        <w:widowControl w:val="0"/>
        <w:snapToGrid/>
        <w:spacing w:afterLines="0" w:line="440" w:lineRule="exact"/>
        <w:ind w:firstLine="480"/>
        <w:rPr>
          <w:rFonts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传真：/ </w:t>
      </w:r>
    </w:p>
    <w:p>
      <w:pPr>
        <w:pStyle w:val="398"/>
        <w:widowControl w:val="0"/>
        <w:snapToGrid/>
        <w:spacing w:afterLines="0" w:line="440" w:lineRule="exact"/>
        <w:ind w:firstLine="480"/>
        <w:rPr>
          <w:rFonts w:ascii="仿宋" w:hAnsi="仿宋" w:eastAsia="仿宋" w:cs="仿宋"/>
          <w:color w:val="auto"/>
          <w:szCs w:val="21"/>
        </w:rPr>
      </w:pPr>
      <w:r>
        <w:rPr>
          <w:rFonts w:hint="eastAsia" w:ascii="仿宋" w:hAnsi="仿宋" w:eastAsia="仿宋" w:cs="仿宋"/>
          <w:color w:val="auto"/>
          <w:szCs w:val="24"/>
        </w:rPr>
        <w:t>项目联系人（询问）：毕龙梅</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项目联系方式（询问）：15068545458</w:t>
      </w:r>
    </w:p>
    <w:p>
      <w:pPr>
        <w:pStyle w:val="398"/>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xml:space="preserve">质疑联系人： </w:t>
      </w:r>
      <w:r>
        <w:rPr>
          <w:rFonts w:hint="eastAsia" w:ascii="仿宋" w:hAnsi="仿宋" w:eastAsia="仿宋" w:cs="仿宋"/>
          <w:color w:val="auto"/>
          <w:szCs w:val="24"/>
          <w:lang w:val="en-US" w:eastAsia="zh-CN"/>
        </w:rPr>
        <w:t>胡桢萍</w:t>
      </w:r>
    </w:p>
    <w:p>
      <w:pPr>
        <w:pStyle w:val="398"/>
        <w:widowControl w:val="0"/>
        <w:snapToGrid/>
        <w:spacing w:afterLines="0" w:line="44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质疑联系方式：</w:t>
      </w:r>
      <w:r>
        <w:rPr>
          <w:rFonts w:hint="eastAsia" w:ascii="仿宋" w:hAnsi="仿宋" w:eastAsia="仿宋" w:cs="仿宋"/>
          <w:color w:val="auto"/>
          <w:szCs w:val="24"/>
          <w:lang w:val="en-US" w:eastAsia="zh-CN"/>
        </w:rPr>
        <w:t>15857590172</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 3.同级采购监督管理部门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名称：绍兴市卫生健康委员会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传真：/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联系人 ：茅艳萍     </w:t>
      </w:r>
    </w:p>
    <w:p>
      <w:pPr>
        <w:pStyle w:val="398"/>
        <w:spacing w:after="12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监督投诉电话：0575-85228949  </w:t>
      </w:r>
    </w:p>
    <w:p>
      <w:pPr>
        <w:widowControl/>
        <w:jc w:val="right"/>
        <w:rPr>
          <w:rFonts w:ascii="仿宋" w:hAnsi="仿宋" w:eastAsia="仿宋" w:cs="仿宋"/>
          <w:color w:val="auto"/>
          <w:kern w:val="0"/>
          <w:sz w:val="24"/>
        </w:rPr>
      </w:pPr>
    </w:p>
    <w:p>
      <w:pPr>
        <w:widowControl/>
        <w:jc w:val="right"/>
        <w:rPr>
          <w:rFonts w:ascii="仿宋" w:hAnsi="仿宋" w:eastAsia="仿宋" w:cs="仿宋"/>
          <w:color w:val="auto"/>
          <w:kern w:val="0"/>
          <w:sz w:val="24"/>
        </w:rPr>
      </w:pPr>
    </w:p>
    <w:p>
      <w:pPr>
        <w:widowControl/>
        <w:jc w:val="right"/>
        <w:rPr>
          <w:rFonts w:ascii="仿宋" w:hAnsi="仿宋" w:eastAsia="仿宋" w:cs="仿宋"/>
          <w:color w:val="auto"/>
          <w:kern w:val="0"/>
          <w:sz w:val="24"/>
        </w:rPr>
      </w:pPr>
    </w:p>
    <w:p>
      <w:pPr>
        <w:widowControl/>
        <w:jc w:val="right"/>
        <w:rPr>
          <w:rFonts w:ascii="仿宋" w:hAnsi="仿宋" w:eastAsia="仿宋" w:cs="仿宋"/>
          <w:color w:val="auto"/>
          <w:kern w:val="0"/>
          <w:sz w:val="24"/>
        </w:rPr>
      </w:pPr>
      <w:r>
        <w:rPr>
          <w:rFonts w:hint="eastAsia" w:ascii="仿宋" w:hAnsi="仿宋" w:eastAsia="仿宋" w:cs="仿宋"/>
          <w:color w:val="auto"/>
          <w:kern w:val="0"/>
          <w:sz w:val="24"/>
        </w:rPr>
        <w:t>公告时间：2024年</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rPr>
        <w:t>日</w:t>
      </w:r>
    </w:p>
    <w:p>
      <w:pPr>
        <w:pStyle w:val="398"/>
        <w:spacing w:after="120" w:line="440" w:lineRule="exact"/>
        <w:ind w:firstLine="480"/>
        <w:jc w:val="right"/>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0" w:firstLineChars="0"/>
        <w:rPr>
          <w:rFonts w:ascii="仿宋" w:hAnsi="仿宋" w:eastAsia="仿宋" w:cs="仿宋"/>
          <w:color w:val="auto"/>
          <w:szCs w:val="24"/>
        </w:rPr>
      </w:pPr>
    </w:p>
    <w:p>
      <w:pPr>
        <w:pStyle w:val="398"/>
        <w:spacing w:after="120" w:line="440" w:lineRule="exact"/>
        <w:ind w:firstLine="723"/>
        <w:jc w:val="center"/>
        <w:rPr>
          <w:rFonts w:ascii="仿宋" w:hAnsi="仿宋" w:eastAsia="仿宋" w:cs="仿宋"/>
          <w:b/>
          <w:color w:val="auto"/>
          <w:sz w:val="36"/>
        </w:rPr>
      </w:pPr>
      <w:r>
        <w:rPr>
          <w:rFonts w:hint="eastAsia" w:ascii="仿宋" w:hAnsi="仿宋" w:eastAsia="仿宋" w:cs="仿宋"/>
          <w:b/>
          <w:color w:val="auto"/>
          <w:sz w:val="36"/>
        </w:rPr>
        <w:t>第二部分 投标须知</w:t>
      </w:r>
    </w:p>
    <w:p>
      <w:pPr>
        <w:adjustRightInd/>
        <w:spacing w:line="360" w:lineRule="auto"/>
        <w:ind w:firstLine="4488" w:firstLineChars="13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 xml:space="preserve">同意将非主体、非关键性的 </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pStyle w:val="398"/>
              <w:spacing w:afterLines="0" w:line="440" w:lineRule="exact"/>
              <w:ind w:firstLine="0" w:firstLineChars="0"/>
              <w:rPr>
                <w:rFonts w:ascii="仿宋" w:hAnsi="仿宋" w:eastAsia="仿宋" w:cs="仿宋"/>
                <w:color w:val="auto"/>
              </w:rPr>
            </w:pPr>
            <w:r>
              <w:rPr>
                <w:rFonts w:hint="eastAsia" w:ascii="仿宋" w:hAnsi="仿宋" w:eastAsia="仿宋" w:cs="仿宋"/>
                <w:color w:val="auto"/>
              </w:rPr>
              <w:t>（5）提供样品的时间：提交投标文件截止时间前；</w:t>
            </w:r>
            <w:r>
              <w:rPr>
                <w:rFonts w:hint="eastAsia" w:ascii="仿宋" w:hAnsi="仿宋" w:eastAsia="仿宋" w:cs="仿宋"/>
                <w:color w:val="auto"/>
                <w:szCs w:val="24"/>
              </w:rPr>
              <w:t>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B有方案讲解演示：</w:t>
            </w:r>
            <w:r>
              <w:rPr>
                <w:rFonts w:hint="eastAsia" w:ascii="仿宋" w:hAnsi="仿宋" w:eastAsia="仿宋" w:cs="仿宋"/>
                <w:color w:val="auto"/>
                <w:kern w:val="0"/>
                <w:sz w:val="24"/>
                <w:lang w:val="zh-CN"/>
              </w:rPr>
              <w:t>在评标时安排每个投标人进行</w:t>
            </w:r>
            <w:r>
              <w:rPr>
                <w:rFonts w:hint="eastAsia" w:ascii="仿宋" w:hAnsi="仿宋" w:eastAsia="仿宋" w:cs="仿宋"/>
                <w:color w:val="auto"/>
                <w:kern w:val="0"/>
                <w:sz w:val="24"/>
              </w:rPr>
              <w:t>方案讲解演示</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演示结束</w:t>
            </w:r>
            <w:r>
              <w:rPr>
                <w:rFonts w:hint="eastAsia" w:ascii="仿宋" w:hAnsi="仿宋" w:eastAsia="仿宋" w:cs="仿宋"/>
                <w:color w:val="auto"/>
                <w:kern w:val="0"/>
                <w:sz w:val="24"/>
                <w:lang w:val="zh-CN"/>
              </w:rPr>
              <w:t>后按要求解答评标委员会的提问。</w:t>
            </w:r>
          </w:p>
          <w:p>
            <w:pPr>
              <w:spacing w:line="440" w:lineRule="exact"/>
              <w:rPr>
                <w:rFonts w:ascii="仿宋" w:hAnsi="仿宋" w:eastAsia="仿宋" w:cs="仿宋"/>
                <w:color w:val="auto"/>
                <w:sz w:val="24"/>
              </w:rPr>
            </w:pPr>
            <w:r>
              <w:rPr>
                <w:rFonts w:hint="eastAsia" w:ascii="仿宋" w:hAnsi="仿宋" w:eastAsia="仿宋" w:cs="仿宋"/>
                <w:b/>
                <w:color w:val="auto"/>
                <w:kern w:val="0"/>
                <w:sz w:val="24"/>
                <w:lang w:val="zh-CN"/>
              </w:rPr>
              <w:t>讲解演示设备：</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演示所需设备由投标人自行准备。</w:t>
            </w:r>
          </w:p>
          <w:p>
            <w:pPr>
              <w:spacing w:line="440" w:lineRule="exact"/>
              <w:rPr>
                <w:rFonts w:ascii="仿宋" w:hAnsi="仿宋" w:eastAsia="仿宋" w:cs="仿宋"/>
                <w:color w:val="auto"/>
                <w:kern w:val="0"/>
                <w:sz w:val="24"/>
                <w:lang w:val="zh-CN"/>
              </w:rPr>
            </w:pPr>
            <w:r>
              <w:rPr>
                <w:rFonts w:hint="eastAsia" w:ascii="仿宋" w:hAnsi="仿宋" w:eastAsia="仿宋" w:cs="仿宋"/>
                <w:b/>
                <w:color w:val="auto"/>
                <w:kern w:val="0"/>
                <w:sz w:val="24"/>
                <w:lang w:val="zh-CN"/>
              </w:rPr>
              <w:t>讲解演示时间：</w:t>
            </w:r>
            <w:r>
              <w:rPr>
                <w:rFonts w:hint="eastAsia" w:ascii="仿宋" w:hAnsi="仿宋" w:eastAsia="仿宋" w:cs="仿宋"/>
                <w:color w:val="auto"/>
                <w:kern w:val="0"/>
                <w:sz w:val="24"/>
                <w:lang w:val="zh-CN"/>
              </w:rPr>
              <w:t>每个投标人讲解演示前的调试准备时间不超过15分钟，讲解演示时间不超过15分钟，</w:t>
            </w:r>
            <w:r>
              <w:rPr>
                <w:rFonts w:hint="eastAsia" w:ascii="仿宋" w:hAnsi="仿宋" w:eastAsia="仿宋" w:cs="仿宋"/>
                <w:color w:val="auto"/>
                <w:sz w:val="24"/>
              </w:rPr>
              <w:t>不包含评标委员会提问解答时间。</w:t>
            </w:r>
          </w:p>
          <w:p>
            <w:pPr>
              <w:spacing w:line="440" w:lineRule="exact"/>
              <w:rPr>
                <w:rFonts w:ascii="仿宋" w:hAnsi="仿宋" w:eastAsia="仿宋" w:cs="仿宋"/>
                <w:color w:val="auto"/>
                <w:sz w:val="24"/>
              </w:rPr>
            </w:pPr>
            <w:r>
              <w:rPr>
                <w:rFonts w:hint="eastAsia" w:ascii="仿宋" w:hAnsi="仿宋" w:eastAsia="仿宋" w:cs="仿宋"/>
                <w:b/>
                <w:color w:val="auto"/>
                <w:kern w:val="0"/>
                <w:sz w:val="24"/>
                <w:lang w:val="zh-CN"/>
              </w:rPr>
              <w:t>讲解演示次序：</w:t>
            </w:r>
            <w:r>
              <w:rPr>
                <w:rFonts w:hint="eastAsia" w:ascii="仿宋" w:hAnsi="仿宋" w:eastAsia="仿宋" w:cs="仿宋"/>
                <w:color w:val="auto"/>
                <w:kern w:val="0"/>
                <w:sz w:val="24"/>
                <w:lang w:val="zh-CN"/>
              </w:rPr>
              <w:t>以获取招标文件的先后顺序为准。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软件和信息技术服务业 行业</w:t>
            </w:r>
            <w:r>
              <w:rPr>
                <w:rFonts w:hint="eastAsia" w:ascii="仿宋" w:hAnsi="仿宋" w:eastAsia="仿宋" w:cs="仿宋"/>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ascii="仿宋" w:hAnsi="仿宋" w:eastAsia="仿宋" w:cs="仿宋"/>
                <w:color w:val="auto"/>
                <w:sz w:val="24"/>
              </w:rPr>
            </w:pPr>
            <w:r>
              <w:rPr>
                <w:rFonts w:hint="eastAsia" w:ascii="仿宋" w:hAnsi="仿宋" w:eastAsia="仿宋" w:cs="仿宋"/>
                <w:color w:val="auto"/>
                <w:sz w:val="24"/>
              </w:rPr>
              <w:t>（1）参照《招标代理服务收费管理暂行办法》计价格[2002]1980号文和发改价格[2011]534号文件收费标准*60%计取，不足2000元按2000元计取，超过15000元按15000元计。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ascii="仿宋" w:hAnsi="仿宋" w:eastAsia="仿宋" w:cs="仿宋"/>
          <w:b/>
          <w:color w:val="auto"/>
          <w:sz w:val="32"/>
          <w:szCs w:val="20"/>
        </w:rPr>
      </w:pPr>
    </w:p>
    <w:bookmarkEnd w:id="9"/>
    <w:p>
      <w:pPr>
        <w:adjustRightInd/>
        <w:spacing w:line="360" w:lineRule="auto"/>
        <w:jc w:val="center"/>
        <w:outlineLvl w:val="0"/>
        <w:rPr>
          <w:rFonts w:ascii="仿宋" w:hAnsi="仿宋" w:eastAsia="仿宋" w:cs="仿宋"/>
          <w:b/>
          <w:color w:val="auto"/>
          <w:sz w:val="32"/>
          <w:szCs w:val="32"/>
        </w:rPr>
      </w:pPr>
      <w:bookmarkStart w:id="11" w:name="_Hlt74729768"/>
      <w:bookmarkEnd w:id="11"/>
      <w:bookmarkStart w:id="12" w:name="_Hlt68057669"/>
      <w:bookmarkEnd w:id="12"/>
      <w:bookmarkStart w:id="13" w:name="_Hlt68072998"/>
      <w:bookmarkEnd w:id="13"/>
      <w:bookmarkStart w:id="14" w:name="_Hlt75236101"/>
      <w:bookmarkEnd w:id="14"/>
      <w:bookmarkStart w:id="15" w:name="_Hlt68403820"/>
      <w:bookmarkEnd w:id="15"/>
      <w:bookmarkStart w:id="16" w:name="_Hlt75236290"/>
      <w:bookmarkEnd w:id="16"/>
      <w:bookmarkStart w:id="17" w:name="_Hlt74707468"/>
      <w:bookmarkEnd w:id="17"/>
      <w:bookmarkStart w:id="18" w:name="_Hlt75236011"/>
      <w:bookmarkEnd w:id="18"/>
      <w:bookmarkStart w:id="19" w:name="_Hlt68072990"/>
      <w:bookmarkEnd w:id="19"/>
      <w:bookmarkStart w:id="20" w:name="_Hlt68073093"/>
      <w:bookmarkEnd w:id="20"/>
      <w:bookmarkStart w:id="21" w:name="_Hlt74730295"/>
      <w:bookmarkEnd w:id="21"/>
      <w:bookmarkStart w:id="22" w:name="_Hlt74714665"/>
      <w:bookmarkEnd w:id="22"/>
      <w:bookmarkStart w:id="23" w:name="_Toc164416483"/>
      <w:bookmarkStart w:id="24" w:name="第三部分"/>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color w:val="auto"/>
        </w:rPr>
      </w:pPr>
    </w:p>
    <w:p>
      <w:pPr>
        <w:pStyle w:val="133"/>
        <w:snapToGrid w:val="0"/>
        <w:spacing w:before="0" w:line="440" w:lineRule="exact"/>
        <w:ind w:firstLine="640"/>
        <w:rPr>
          <w:rFonts w:ascii="仿宋" w:hAnsi="仿宋" w:eastAsia="仿宋" w:cs="仿宋"/>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6"/>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lang w:val="en-US"/>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pStyle w:val="2"/>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2.1.4中小企业声明函；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2.2.3授权代表社保证明复印件；</w:t>
      </w:r>
    </w:p>
    <w:p>
      <w:pPr>
        <w:pStyle w:val="24"/>
        <w:ind w:firstLine="720" w:firstLineChars="300"/>
        <w:rPr>
          <w:rFonts w:ascii="仿宋" w:hAnsi="仿宋" w:eastAsia="仿宋" w:cs="仿宋"/>
          <w:color w:val="auto"/>
        </w:rPr>
      </w:pPr>
      <w:bookmarkStart w:id="25" w:name="_Hlk142294507"/>
      <w:r>
        <w:rPr>
          <w:rFonts w:hint="eastAsia" w:ascii="仿宋" w:hAnsi="仿宋" w:eastAsia="仿宋" w:cs="仿宋"/>
          <w:color w:val="auto"/>
          <w:lang w:val="en-US"/>
        </w:rPr>
        <w:t>2.2.4 法定代表人及其授权代表身份证复印件；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2.2.5法定代表人身份证明书；</w:t>
      </w:r>
      <w:bookmarkEnd w:id="25"/>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2.2.7政府采购供应商廉洁自律承诺书（格式见第六部分附件）；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pPr>
        <w:snapToGrid w:val="0"/>
        <w:spacing w:line="440" w:lineRule="exact"/>
        <w:ind w:firstLine="354" w:firstLineChars="147"/>
        <w:rPr>
          <w:rFonts w:ascii="仿宋" w:hAnsi="仿宋" w:eastAsia="仿宋" w:cs="仿宋"/>
          <w:b/>
          <w:bCs/>
          <w:color w:val="auto"/>
          <w:sz w:val="24"/>
          <w:szCs w:val="20"/>
        </w:rPr>
      </w:pPr>
      <w:r>
        <w:rPr>
          <w:rFonts w:hint="eastAsia" w:ascii="仿宋" w:hAnsi="仿宋" w:eastAsia="仿宋" w:cs="仿宋"/>
          <w:b/>
          <w:bCs/>
          <w:color w:val="auto"/>
          <w:sz w:val="24"/>
          <w:szCs w:val="20"/>
        </w:rPr>
        <w:t>4.投标文件的制作要求</w:t>
      </w:r>
    </w:p>
    <w:p>
      <w:pPr>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w:t>
      </w:r>
      <w:r>
        <w:rPr>
          <w:rFonts w:hint="eastAsia" w:ascii="仿宋" w:hAnsi="仿宋" w:eastAsia="仿宋" w:cs="仿宋"/>
          <w:color w:val="auto"/>
          <w:sz w:val="24"/>
        </w:rPr>
        <w:t>封包要求：</w:t>
      </w:r>
      <w:r>
        <w:rPr>
          <w:rFonts w:hint="eastAsia" w:ascii="仿宋" w:hAnsi="仿宋" w:eastAsia="仿宋" w:cs="仿宋"/>
          <w:color w:val="auto"/>
          <w:sz w:val="24"/>
          <w:lang w:val="zh-CN"/>
        </w:rPr>
        <w:t>投标文件分为“资格文件”、“商务技术文件”、“报价文件”三部分</w:t>
      </w:r>
      <w:r>
        <w:rPr>
          <w:rFonts w:hint="eastAsia" w:ascii="仿宋" w:hAnsi="仿宋" w:eastAsia="仿宋" w:cs="仿宋"/>
          <w:color w:val="auto"/>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4.2签署要求：按采购文件第六章“投标文件格式附件”各表单要求签署。</w:t>
      </w:r>
    </w:p>
    <w:p>
      <w:pPr>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4.3制作要求：建议采用A4幅面，编制页码，制作目录，提倡双面打印。</w:t>
      </w:r>
    </w:p>
    <w:p>
      <w:pPr>
        <w:pStyle w:val="133"/>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w:t>
      </w:r>
    </w:p>
    <w:p>
      <w:pPr>
        <w:widowControl/>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5.1 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w:t>
      </w: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sz w:val="24"/>
          <w:lang w:val="zh-CN"/>
        </w:rPr>
        <w:t>“资格文件”</w:t>
      </w:r>
      <w:r>
        <w:rPr>
          <w:rFonts w:hint="eastAsia" w:ascii="仿宋" w:hAnsi="仿宋" w:eastAsia="仿宋" w:cs="仿宋"/>
          <w:color w:val="auto"/>
          <w:sz w:val="24"/>
        </w:rPr>
        <w:t>或</w:t>
      </w:r>
      <w:r>
        <w:rPr>
          <w:rFonts w:hint="eastAsia" w:ascii="仿宋" w:hAnsi="仿宋" w:eastAsia="仿宋" w:cs="仿宋"/>
          <w:color w:val="auto"/>
          <w:sz w:val="24"/>
          <w:lang w:val="zh-CN"/>
        </w:rPr>
        <w:t>“商务技术文件”</w:t>
      </w:r>
      <w:r>
        <w:rPr>
          <w:rFonts w:hint="eastAsia" w:ascii="仿宋" w:hAnsi="仿宋" w:eastAsia="仿宋" w:cs="仿宋"/>
          <w:color w:val="auto"/>
          <w:sz w:val="24"/>
        </w:rPr>
        <w:t>或</w:t>
      </w:r>
      <w:r>
        <w:rPr>
          <w:rFonts w:hint="eastAsia" w:ascii="仿宋" w:hAnsi="仿宋" w:eastAsia="仿宋" w:cs="仿宋"/>
          <w:color w:val="auto"/>
          <w:sz w:val="24"/>
          <w:lang w:val="zh-CN"/>
        </w:rPr>
        <w:t>“报价文件”</w:t>
      </w:r>
      <w:r>
        <w:rPr>
          <w:rFonts w:hint="eastAsia" w:ascii="仿宋" w:hAnsi="仿宋" w:eastAsia="仿宋" w:cs="仿宋"/>
          <w:color w:val="auto"/>
          <w:kern w:val="0"/>
          <w:sz w:val="24"/>
        </w:rPr>
        <w:t>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3"/>
        <w:spacing w:before="0"/>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rPr>
      </w:pPr>
      <w:bookmarkStart w:id="26" w:name="_Toc91899903"/>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bookmarkEnd w:id="26"/>
    <w:p>
      <w:pPr>
        <w:snapToGrid w:val="0"/>
        <w:spacing w:line="440" w:lineRule="exact"/>
        <w:jc w:val="left"/>
        <w:rPr>
          <w:rFonts w:ascii="仿宋" w:hAnsi="仿宋" w:eastAsia="仿宋" w:cs="仿宋"/>
          <w:b/>
          <w:color w:val="auto"/>
          <w:sz w:val="24"/>
        </w:rPr>
      </w:pPr>
      <w:bookmarkStart w:id="27" w:name="_Toc81372953"/>
      <w:bookmarkStart w:id="28" w:name="_Toc84325929"/>
      <w:bookmarkStart w:id="29" w:name="_Toc81372776"/>
      <w:r>
        <w:rPr>
          <w:rFonts w:hint="eastAsia" w:ascii="仿宋" w:hAnsi="仿宋" w:eastAsia="仿宋" w:cs="仿宋"/>
          <w:b/>
          <w:color w:val="auto"/>
          <w:sz w:val="24"/>
        </w:rPr>
        <w:t>3．开标大会程序</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3.3启封投标文件</w:t>
      </w:r>
      <w:r>
        <w:rPr>
          <w:rFonts w:hint="eastAsia" w:ascii="仿宋" w:hAnsi="仿宋" w:eastAsia="仿宋" w:cs="仿宋"/>
          <w:color w:val="auto"/>
          <w:sz w:val="24"/>
          <w:lang w:val="zh-CN"/>
        </w:rPr>
        <w:t>资格文件</w:t>
      </w:r>
      <w:r>
        <w:rPr>
          <w:rFonts w:hint="eastAsia" w:ascii="仿宋" w:hAnsi="仿宋" w:eastAsia="仿宋" w:cs="仿宋"/>
          <w:color w:val="auto"/>
          <w:sz w:val="24"/>
        </w:rPr>
        <w:t>。</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3.4评标委员会对</w:t>
      </w:r>
      <w:r>
        <w:rPr>
          <w:rFonts w:hint="eastAsia" w:ascii="仿宋" w:hAnsi="仿宋" w:eastAsia="仿宋" w:cs="仿宋"/>
          <w:color w:val="auto"/>
          <w:sz w:val="24"/>
          <w:lang w:val="zh-CN"/>
        </w:rPr>
        <w:t>资格文件</w:t>
      </w:r>
      <w:r>
        <w:rPr>
          <w:rFonts w:hint="eastAsia" w:ascii="仿宋" w:hAnsi="仿宋" w:eastAsia="仿宋" w:cs="仿宋"/>
          <w:color w:val="auto"/>
          <w:sz w:val="24"/>
        </w:rPr>
        <w:t>进行评审。</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3.5主持人宣布无效（废）投标情形（如有），宣读经</w:t>
      </w:r>
      <w:r>
        <w:rPr>
          <w:rFonts w:hint="eastAsia" w:ascii="仿宋" w:hAnsi="仿宋" w:eastAsia="仿宋" w:cs="仿宋"/>
          <w:color w:val="auto"/>
          <w:sz w:val="24"/>
          <w:lang w:val="zh-CN"/>
        </w:rPr>
        <w:t>资格文件</w:t>
      </w:r>
      <w:r>
        <w:rPr>
          <w:rFonts w:hint="eastAsia" w:ascii="仿宋" w:hAnsi="仿宋" w:eastAsia="仿宋" w:cs="仿宋"/>
          <w:color w:val="auto"/>
          <w:sz w:val="24"/>
        </w:rPr>
        <w:t>评审符合招标文件要求的投标人名单，启封投标文件</w:t>
      </w:r>
      <w:r>
        <w:rPr>
          <w:rFonts w:hint="eastAsia" w:ascii="仿宋" w:hAnsi="仿宋" w:eastAsia="仿宋" w:cs="仿宋"/>
          <w:color w:val="auto"/>
          <w:sz w:val="24"/>
          <w:lang w:val="zh-CN"/>
        </w:rPr>
        <w:t>商务技术文件</w:t>
      </w:r>
      <w:r>
        <w:rPr>
          <w:rFonts w:hint="eastAsia" w:ascii="仿宋" w:hAnsi="仿宋" w:eastAsia="仿宋" w:cs="仿宋"/>
          <w:color w:val="auto"/>
          <w:sz w:val="24"/>
        </w:rPr>
        <w:t>。</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3.6评标委员会对</w:t>
      </w:r>
      <w:r>
        <w:rPr>
          <w:rFonts w:hint="eastAsia" w:ascii="仿宋" w:hAnsi="仿宋" w:eastAsia="仿宋" w:cs="仿宋"/>
          <w:color w:val="auto"/>
          <w:sz w:val="24"/>
          <w:lang w:val="zh-CN"/>
        </w:rPr>
        <w:t>商务技术文件</w:t>
      </w:r>
      <w:r>
        <w:rPr>
          <w:rFonts w:hint="eastAsia" w:ascii="仿宋" w:hAnsi="仿宋" w:eastAsia="仿宋" w:cs="仿宋"/>
          <w:color w:val="auto"/>
          <w:sz w:val="24"/>
        </w:rPr>
        <w:t>进行评审。</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3.10主持人向投标单位公布评审结果。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供应商通过提供书面说明必须加盖公章。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4.7评标委员会不向落标方解释落标的原因。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8.投标文件的澄清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9.8投标文件中的投标函无投标人的公章或填写不全的；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
        <w:spacing w:line="360" w:lineRule="auto"/>
        <w:ind w:firstLine="726"/>
        <w:jc w:val="center"/>
        <w:rPr>
          <w:rFonts w:ascii="仿宋" w:hAnsi="仿宋" w:eastAsia="仿宋" w:cs="仿宋"/>
          <w:b/>
          <w:color w:val="auto"/>
          <w:sz w:val="32"/>
          <w:szCs w:val="32"/>
        </w:rPr>
      </w:pPr>
    </w:p>
    <w:p>
      <w:pPr>
        <w:pStyle w:val="2"/>
        <w:spacing w:line="360" w:lineRule="auto"/>
        <w:ind w:firstLine="726"/>
        <w:jc w:val="center"/>
        <w:rPr>
          <w:rFonts w:ascii="仿宋" w:hAnsi="仿宋" w:eastAsia="仿宋" w:cs="仿宋"/>
          <w:b/>
          <w:color w:val="auto"/>
          <w:sz w:val="32"/>
          <w:szCs w:val="32"/>
        </w:rPr>
      </w:pPr>
    </w:p>
    <w:p>
      <w:pPr>
        <w:pStyle w:val="2"/>
        <w:spacing w:line="360" w:lineRule="auto"/>
        <w:ind w:firstLine="726"/>
        <w:jc w:val="center"/>
        <w:rPr>
          <w:rFonts w:ascii="仿宋" w:hAnsi="仿宋" w:eastAsia="仿宋" w:cs="仿宋"/>
          <w:b/>
          <w:color w:val="auto"/>
          <w:sz w:val="32"/>
          <w:szCs w:val="32"/>
        </w:rPr>
      </w:pPr>
      <w:r>
        <w:rPr>
          <w:rFonts w:hint="eastAsia" w:ascii="仿宋" w:hAnsi="仿宋" w:eastAsia="仿宋" w:cs="仿宋"/>
          <w:b/>
          <w:color w:val="auto"/>
          <w:sz w:val="32"/>
          <w:szCs w:val="32"/>
        </w:rPr>
        <w:t>五、授予合同</w:t>
      </w:r>
    </w:p>
    <w:bookmarkEnd w:id="27"/>
    <w:bookmarkEnd w:id="28"/>
    <w:bookmarkEnd w:id="29"/>
    <w:p>
      <w:pPr>
        <w:pStyle w:val="16"/>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及绍兴市人民医院官网http://www.sxrmyy.cn/）发布中标公告，中标公告期限为1个工作日。</w:t>
      </w:r>
    </w:p>
    <w:p>
      <w:pPr>
        <w:tabs>
          <w:tab w:val="left" w:pos="0"/>
        </w:tabs>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pStyle w:val="2"/>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1.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2"/>
        </w:numPr>
        <w:spacing w:line="336" w:lineRule="auto"/>
        <w:rPr>
          <w:rFonts w:ascii="仿宋" w:hAnsi="仿宋" w:eastAsia="仿宋" w:cs="仿宋"/>
          <w:b/>
          <w:bCs/>
          <w:color w:val="auto"/>
          <w:sz w:val="24"/>
        </w:rPr>
      </w:pPr>
      <w:r>
        <w:rPr>
          <w:rFonts w:hint="eastAsia" w:ascii="仿宋" w:hAnsi="仿宋" w:eastAsia="仿宋" w:cs="仿宋"/>
          <w:b/>
          <w:bCs/>
          <w:color w:val="auto"/>
          <w:sz w:val="24"/>
        </w:rPr>
        <w:t>供应商质疑</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rPr>
        <w:t>2</w:t>
      </w:r>
      <w:r>
        <w:rPr>
          <w:rFonts w:hint="eastAsia"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rPr>
        <w:t>2</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3.供应商投诉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rPr>
        <w:t>投诉书范本及制作说明详见附件2。</w:t>
      </w:r>
    </w:p>
    <w:bookmarkEnd w:id="23"/>
    <w:bookmarkEnd w:id="24"/>
    <w:p>
      <w:pPr>
        <w:spacing w:line="360" w:lineRule="auto"/>
        <w:jc w:val="center"/>
        <w:outlineLvl w:val="0"/>
        <w:rPr>
          <w:rFonts w:ascii="仿宋" w:hAnsi="仿宋" w:eastAsia="仿宋" w:cs="仿宋"/>
          <w:b/>
          <w:color w:val="auto"/>
          <w:sz w:val="24"/>
        </w:rPr>
      </w:pPr>
      <w:bookmarkStart w:id="30" w:name="_Toc86217003"/>
      <w:bookmarkStart w:id="31" w:name="第五部分"/>
      <w:r>
        <w:rPr>
          <w:rFonts w:hint="eastAsia" w:ascii="仿宋" w:hAnsi="仿宋" w:eastAsia="仿宋" w:cs="仿宋"/>
          <w:b/>
          <w:color w:val="auto"/>
          <w:sz w:val="36"/>
          <w:szCs w:val="36"/>
        </w:rPr>
        <w:t>第三部分   招标项目范围及要求</w:t>
      </w:r>
    </w:p>
    <w:p>
      <w:pPr>
        <w:snapToGrid w:val="0"/>
        <w:spacing w:line="240" w:lineRule="auto"/>
        <w:jc w:val="left"/>
        <w:rPr>
          <w:rFonts w:ascii="仿宋" w:hAnsi="仿宋" w:eastAsia="仿宋" w:cs="仿宋"/>
          <w:b/>
          <w:color w:val="auto"/>
          <w:sz w:val="24"/>
          <w:szCs w:val="24"/>
        </w:rPr>
      </w:pPr>
      <w:bookmarkStart w:id="32" w:name="_Toc151354173"/>
      <w:r>
        <w:rPr>
          <w:rFonts w:hint="eastAsia" w:ascii="仿宋" w:hAnsi="仿宋" w:eastAsia="仿宋" w:cs="仿宋"/>
          <w:b/>
          <w:color w:val="auto"/>
          <w:sz w:val="24"/>
          <w:szCs w:val="24"/>
        </w:rPr>
        <w:t>1.招标项目名称及数量：</w:t>
      </w:r>
    </w:p>
    <w:bookmarkEnd w:id="32"/>
    <w:p>
      <w:pPr>
        <w:spacing w:before="120" w:beforeLines="50" w:after="120" w:afterLines="50" w:line="240" w:lineRule="auto"/>
        <w:rPr>
          <w:rFonts w:ascii="仿宋" w:hAnsi="仿宋" w:eastAsia="仿宋" w:cs="仿宋"/>
          <w:color w:val="auto"/>
          <w:sz w:val="24"/>
          <w:szCs w:val="24"/>
        </w:rPr>
      </w:pPr>
      <w:r>
        <w:rPr>
          <w:rFonts w:hint="eastAsia" w:ascii="仿宋" w:hAnsi="仿宋" w:eastAsia="仿宋" w:cs="仿宋"/>
          <w:b/>
          <w:color w:val="auto"/>
          <w:sz w:val="24"/>
          <w:szCs w:val="24"/>
          <w:bdr w:val="single" w:color="auto" w:sz="4" w:space="0"/>
        </w:rPr>
        <w:t>01标</w:t>
      </w:r>
      <w:r>
        <w:rPr>
          <w:rFonts w:hint="eastAsia" w:ascii="仿宋" w:hAnsi="仿宋" w:eastAsia="仿宋" w:cs="仿宋"/>
          <w:b/>
          <w:color w:val="auto"/>
          <w:sz w:val="24"/>
          <w:szCs w:val="24"/>
          <w:lang w:eastAsia="zh-CN"/>
        </w:rPr>
        <w:t>绍兴市人民医院医技报告归档系统采购项目</w:t>
      </w:r>
      <w:r>
        <w:rPr>
          <w:rFonts w:hint="eastAsia" w:ascii="仿宋" w:hAnsi="仿宋" w:eastAsia="仿宋" w:cs="仿宋"/>
          <w:b/>
          <w:color w:val="auto"/>
          <w:sz w:val="24"/>
          <w:szCs w:val="24"/>
        </w:rPr>
        <w:t xml:space="preserve"> （预算金额：</w:t>
      </w:r>
      <w:r>
        <w:rPr>
          <w:rFonts w:hint="eastAsia" w:ascii="仿宋" w:hAnsi="仿宋" w:eastAsia="仿宋" w:cs="仿宋"/>
          <w:b/>
          <w:color w:val="auto"/>
          <w:sz w:val="24"/>
          <w:szCs w:val="24"/>
          <w:lang w:eastAsia="zh-CN"/>
        </w:rPr>
        <w:t>200000</w:t>
      </w:r>
      <w:r>
        <w:rPr>
          <w:rFonts w:hint="eastAsia" w:ascii="仿宋" w:hAnsi="仿宋" w:eastAsia="仿宋" w:cs="仿宋"/>
          <w:b/>
          <w:color w:val="auto"/>
          <w:sz w:val="24"/>
          <w:szCs w:val="24"/>
        </w:rPr>
        <w:t>元）</w:t>
      </w:r>
    </w:p>
    <w:p>
      <w:pPr>
        <w:spacing w:line="24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一、</w:t>
      </w:r>
      <w:bookmarkStart w:id="33" w:name="_Toc6472866"/>
      <w:r>
        <w:rPr>
          <w:rFonts w:hint="eastAsia" w:ascii="仿宋" w:hAnsi="仿宋" w:eastAsia="仿宋" w:cs="仿宋"/>
          <w:b/>
          <w:color w:val="auto"/>
          <w:sz w:val="24"/>
          <w:szCs w:val="24"/>
        </w:rPr>
        <w:t>招标内容及需求</w:t>
      </w:r>
      <w:bookmarkEnd w:id="33"/>
    </w:p>
    <w:p>
      <w:pPr>
        <w:pStyle w:val="4"/>
        <w:tabs>
          <w:tab w:val="left" w:pos="1145"/>
          <w:tab w:val="clear" w:pos="432"/>
        </w:tabs>
        <w:spacing w:before="0" w:after="0" w:line="360" w:lineRule="auto"/>
        <w:ind w:left="0" w:firstLine="0"/>
        <w:rPr>
          <w:rFonts w:hint="eastAsia" w:ascii="仿宋" w:hAnsi="仿宋" w:eastAsia="仿宋" w:cs="仿宋"/>
          <w:color w:val="auto"/>
          <w:sz w:val="24"/>
          <w:szCs w:val="24"/>
        </w:rPr>
      </w:pPr>
      <w:bookmarkStart w:id="34" w:name="_Toc6472867"/>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采购内容一览表</w:t>
      </w:r>
      <w:bookmarkEnd w:id="34"/>
    </w:p>
    <w:tbl>
      <w:tblPr>
        <w:tblStyle w:val="64"/>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747"/>
        <w:gridCol w:w="3813"/>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58"/>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序号</w:t>
            </w:r>
          </w:p>
        </w:tc>
        <w:tc>
          <w:tcPr>
            <w:tcW w:w="2747" w:type="dxa"/>
          </w:tcPr>
          <w:p>
            <w:pPr>
              <w:pStyle w:val="58"/>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名称</w:t>
            </w:r>
          </w:p>
        </w:tc>
        <w:tc>
          <w:tcPr>
            <w:tcW w:w="3813" w:type="dxa"/>
          </w:tcPr>
          <w:p>
            <w:pPr>
              <w:pStyle w:val="58"/>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功能要求</w:t>
            </w:r>
          </w:p>
        </w:tc>
        <w:tc>
          <w:tcPr>
            <w:tcW w:w="1060" w:type="dxa"/>
          </w:tcPr>
          <w:p>
            <w:pPr>
              <w:pStyle w:val="58"/>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69" w:type="dxa"/>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kern w:val="0"/>
                <w:szCs w:val="24"/>
              </w:rPr>
              <w:t>1</w:t>
            </w:r>
          </w:p>
        </w:tc>
        <w:tc>
          <w:tcPr>
            <w:tcW w:w="2747" w:type="dxa"/>
            <w:vAlign w:val="center"/>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sz w:val="24"/>
                <w:lang w:val="en-US" w:eastAsia="zh-CN"/>
              </w:rPr>
              <w:t>医技报告归档系统</w:t>
            </w:r>
          </w:p>
        </w:tc>
        <w:tc>
          <w:tcPr>
            <w:tcW w:w="3813" w:type="dxa"/>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kern w:val="0"/>
                <w:szCs w:val="24"/>
              </w:rPr>
              <w:t>详见</w:t>
            </w:r>
            <w:r>
              <w:rPr>
                <w:rFonts w:hint="eastAsia" w:ascii="仿宋" w:hAnsi="仿宋" w:eastAsia="仿宋" w:cs="仿宋"/>
                <w:b/>
                <w:bCs/>
                <w:color w:val="auto"/>
                <w:kern w:val="0"/>
                <w:szCs w:val="24"/>
                <w:lang w:val="en-US" w:eastAsia="zh-CN"/>
              </w:rPr>
              <w:t>招标</w:t>
            </w:r>
            <w:r>
              <w:rPr>
                <w:rFonts w:hint="eastAsia" w:ascii="仿宋" w:hAnsi="仿宋" w:eastAsia="仿宋" w:cs="仿宋"/>
                <w:b/>
                <w:bCs/>
                <w:color w:val="auto"/>
                <w:kern w:val="0"/>
                <w:szCs w:val="24"/>
              </w:rPr>
              <w:t>技术参数要求表</w:t>
            </w:r>
          </w:p>
        </w:tc>
        <w:tc>
          <w:tcPr>
            <w:tcW w:w="1060" w:type="dxa"/>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kern w:val="0"/>
                <w:szCs w:val="24"/>
              </w:rPr>
              <w:t>1套</w:t>
            </w:r>
          </w:p>
        </w:tc>
      </w:tr>
    </w:tbl>
    <w:p>
      <w:pPr>
        <w:pStyle w:val="4"/>
        <w:tabs>
          <w:tab w:val="left" w:pos="1145"/>
          <w:tab w:val="clear" w:pos="432"/>
        </w:tabs>
        <w:spacing w:before="0" w:after="0"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1.1.1项目软件配置清单</w:t>
      </w:r>
    </w:p>
    <w:tbl>
      <w:tblPr>
        <w:tblStyle w:val="63"/>
        <w:tblW w:w="8464" w:type="dxa"/>
        <w:jc w:val="center"/>
        <w:tblLayout w:type="fixed"/>
        <w:tblCellMar>
          <w:top w:w="0" w:type="dxa"/>
          <w:left w:w="108" w:type="dxa"/>
          <w:bottom w:w="0" w:type="dxa"/>
          <w:right w:w="108" w:type="dxa"/>
        </w:tblCellMar>
      </w:tblPr>
      <w:tblGrid>
        <w:gridCol w:w="709"/>
        <w:gridCol w:w="1985"/>
        <w:gridCol w:w="709"/>
        <w:gridCol w:w="5061"/>
      </w:tblGrid>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内容</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数量</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备注</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一、</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仿宋" w:hAnsi="仿宋" w:eastAsia="仿宋" w:cs="仿宋"/>
                <w:b w:val="0"/>
                <w:bCs/>
                <w:color w:val="auto"/>
                <w:kern w:val="0"/>
                <w:sz w:val="24"/>
              </w:rPr>
            </w:pPr>
            <w:r>
              <w:rPr>
                <w:rFonts w:hint="eastAsia" w:ascii="仿宋" w:hAnsi="仿宋" w:eastAsia="仿宋" w:cs="仿宋"/>
                <w:b w:val="0"/>
                <w:bCs/>
                <w:i w:val="0"/>
                <w:iCs w:val="0"/>
                <w:color w:val="auto"/>
                <w:kern w:val="0"/>
                <w:sz w:val="24"/>
                <w:szCs w:val="24"/>
                <w:u w:val="none"/>
                <w:lang w:val="en-US" w:eastAsia="zh-CN" w:bidi="ar"/>
              </w:rPr>
              <w:t>报告归档系统平台软件</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lang w:val="en-US" w:eastAsia="zh-CN"/>
              </w:rPr>
              <w:t>1项</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全院</w:t>
            </w:r>
            <w:r>
              <w:rPr>
                <w:rFonts w:hint="eastAsia" w:ascii="仿宋" w:hAnsi="仿宋" w:eastAsia="仿宋" w:cs="仿宋"/>
                <w:b w:val="0"/>
                <w:bCs/>
                <w:color w:val="auto"/>
                <w:kern w:val="0"/>
                <w:sz w:val="24"/>
                <w:lang w:val="en-US" w:eastAsia="zh-CN"/>
              </w:rPr>
              <w:t>报告归档</w:t>
            </w:r>
            <w:r>
              <w:rPr>
                <w:rFonts w:hint="eastAsia" w:ascii="仿宋" w:hAnsi="仿宋" w:eastAsia="仿宋" w:cs="仿宋"/>
                <w:b w:val="0"/>
                <w:bCs/>
                <w:color w:val="auto"/>
                <w:kern w:val="0"/>
                <w:sz w:val="24"/>
              </w:rPr>
              <w:t>、集成</w:t>
            </w:r>
            <w:r>
              <w:rPr>
                <w:rFonts w:hint="eastAsia" w:ascii="仿宋" w:hAnsi="仿宋" w:eastAsia="仿宋" w:cs="仿宋"/>
                <w:b w:val="0"/>
                <w:bCs/>
                <w:color w:val="auto"/>
                <w:kern w:val="0"/>
                <w:sz w:val="24"/>
                <w:lang w:eastAsia="zh-CN"/>
              </w:rPr>
              <w:t>、</w:t>
            </w:r>
            <w:r>
              <w:rPr>
                <w:rFonts w:hint="eastAsia" w:ascii="仿宋" w:hAnsi="仿宋" w:eastAsia="仿宋" w:cs="仿宋"/>
                <w:b w:val="0"/>
                <w:bCs/>
                <w:color w:val="auto"/>
                <w:kern w:val="0"/>
                <w:sz w:val="24"/>
                <w:lang w:val="en-US" w:eastAsia="zh-CN"/>
              </w:rPr>
              <w:t>查询、</w:t>
            </w:r>
            <w:r>
              <w:rPr>
                <w:rFonts w:hint="eastAsia" w:ascii="仿宋" w:hAnsi="仿宋" w:eastAsia="仿宋" w:cs="仿宋"/>
                <w:b w:val="0"/>
                <w:bCs/>
                <w:color w:val="auto"/>
                <w:kern w:val="0"/>
                <w:sz w:val="24"/>
              </w:rPr>
              <w:t>发布管理</w:t>
            </w:r>
            <w:r>
              <w:rPr>
                <w:rFonts w:hint="eastAsia" w:ascii="仿宋" w:hAnsi="仿宋" w:eastAsia="仿宋" w:cs="仿宋"/>
                <w:b w:val="0"/>
                <w:bCs/>
                <w:color w:val="auto"/>
                <w:kern w:val="0"/>
                <w:sz w:val="24"/>
                <w:lang w:val="en-US" w:eastAsia="zh-CN"/>
              </w:rPr>
              <w:t>和打印</w:t>
            </w:r>
            <w:r>
              <w:rPr>
                <w:rFonts w:hint="eastAsia" w:ascii="仿宋" w:hAnsi="仿宋" w:eastAsia="仿宋" w:cs="仿宋"/>
                <w:b w:val="0"/>
                <w:bCs/>
                <w:color w:val="auto"/>
                <w:kern w:val="0"/>
                <w:sz w:val="24"/>
              </w:rPr>
              <w:t>。</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1.1</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报告归档</w:t>
            </w:r>
            <w:r>
              <w:rPr>
                <w:rFonts w:hint="eastAsia" w:ascii="仿宋" w:hAnsi="仿宋" w:eastAsia="仿宋" w:cs="仿宋"/>
                <w:b w:val="0"/>
                <w:bCs/>
                <w:color w:val="auto"/>
                <w:kern w:val="0"/>
                <w:sz w:val="24"/>
              </w:rPr>
              <w:t>中心</w:t>
            </w:r>
            <w:r>
              <w:rPr>
                <w:rFonts w:hint="eastAsia" w:ascii="仿宋" w:hAnsi="仿宋" w:eastAsia="仿宋" w:cs="仿宋"/>
                <w:b w:val="0"/>
                <w:bCs/>
                <w:color w:val="auto"/>
                <w:kern w:val="0"/>
                <w:sz w:val="24"/>
                <w:lang w:val="en-US" w:eastAsia="zh-CN"/>
              </w:rPr>
              <w:t>平台</w:t>
            </w:r>
            <w:r>
              <w:rPr>
                <w:rFonts w:hint="eastAsia" w:ascii="仿宋" w:hAnsi="仿宋" w:eastAsia="仿宋" w:cs="仿宋"/>
                <w:b w:val="0"/>
                <w:bCs/>
                <w:color w:val="auto"/>
                <w:kern w:val="0"/>
                <w:sz w:val="24"/>
              </w:rPr>
              <w:t>服务</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pStyle w:val="965"/>
              <w:numPr>
                <w:ilvl w:val="0"/>
                <w:numId w:val="0"/>
              </w:numPr>
              <w:spacing w:after="156" w:afterLines="50" w:line="360" w:lineRule="auto"/>
              <w:ind w:leftChars="0"/>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全院</w:t>
            </w:r>
            <w:r>
              <w:rPr>
                <w:rFonts w:hint="eastAsia" w:ascii="仿宋" w:hAnsi="仿宋" w:eastAsia="仿宋" w:cs="仿宋"/>
                <w:b w:val="0"/>
                <w:bCs/>
                <w:color w:val="auto"/>
                <w:kern w:val="0"/>
                <w:sz w:val="24"/>
                <w:lang w:val="en-US" w:eastAsia="zh-CN"/>
              </w:rPr>
              <w:t>报告</w:t>
            </w:r>
            <w:r>
              <w:rPr>
                <w:rFonts w:hint="eastAsia" w:ascii="仿宋" w:hAnsi="仿宋" w:eastAsia="仿宋" w:cs="仿宋"/>
                <w:b w:val="0"/>
                <w:bCs/>
                <w:color w:val="auto"/>
                <w:sz w:val="24"/>
                <w:szCs w:val="24"/>
                <w:lang w:val="en-US" w:eastAsia="zh-CN"/>
              </w:rPr>
              <w:t>归档管理</w:t>
            </w:r>
            <w:r>
              <w:rPr>
                <w:rFonts w:hint="eastAsia" w:ascii="仿宋" w:hAnsi="仿宋" w:eastAsia="仿宋" w:cs="仿宋"/>
                <w:b w:val="0"/>
                <w:bCs/>
                <w:color w:val="auto"/>
                <w:sz w:val="24"/>
                <w:szCs w:val="24"/>
              </w:rPr>
              <w:t>发布</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报告数据管理统计、报告数据日志追溯等</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1.2</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报告</w:t>
            </w:r>
            <w:r>
              <w:rPr>
                <w:rFonts w:hint="eastAsia" w:ascii="仿宋" w:hAnsi="仿宋" w:eastAsia="仿宋" w:cs="仿宋"/>
                <w:b w:val="0"/>
                <w:bCs/>
                <w:color w:val="auto"/>
                <w:kern w:val="0"/>
                <w:sz w:val="24"/>
              </w:rPr>
              <w:t>生成与发布服务</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所接入的</w:t>
            </w:r>
            <w:r>
              <w:rPr>
                <w:rFonts w:hint="eastAsia" w:ascii="仿宋" w:hAnsi="仿宋" w:eastAsia="仿宋" w:cs="仿宋"/>
                <w:b w:val="0"/>
                <w:bCs/>
                <w:color w:val="auto"/>
                <w:kern w:val="0"/>
                <w:sz w:val="24"/>
              </w:rPr>
              <w:t>报告文档实现PDF生成及发布管理</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1.</w:t>
            </w:r>
            <w:r>
              <w:rPr>
                <w:rFonts w:hint="eastAsia" w:ascii="仿宋" w:hAnsi="仿宋" w:eastAsia="仿宋" w:cs="仿宋"/>
                <w:b w:val="0"/>
                <w:bCs/>
                <w:color w:val="auto"/>
                <w:kern w:val="0"/>
                <w:sz w:val="24"/>
                <w:lang w:val="en-US" w:eastAsia="zh-CN"/>
              </w:rPr>
              <w:t>3</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报告统一</w:t>
            </w:r>
            <w:r>
              <w:rPr>
                <w:rFonts w:hint="eastAsia" w:ascii="仿宋" w:hAnsi="仿宋" w:eastAsia="仿宋" w:cs="仿宋"/>
                <w:b w:val="0"/>
                <w:bCs/>
                <w:color w:val="auto"/>
                <w:kern w:val="0"/>
                <w:sz w:val="24"/>
              </w:rPr>
              <w:t>自助打印服务</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支持</w:t>
            </w:r>
            <w:r>
              <w:rPr>
                <w:rFonts w:hint="eastAsia" w:ascii="仿宋" w:hAnsi="仿宋" w:eastAsia="仿宋" w:cs="仿宋"/>
                <w:b w:val="0"/>
                <w:bCs/>
                <w:color w:val="auto"/>
                <w:kern w:val="0"/>
                <w:sz w:val="24"/>
                <w:lang w:val="en-US" w:eastAsia="zh-CN"/>
              </w:rPr>
              <w:t>自助机上报告统一</w:t>
            </w:r>
            <w:r>
              <w:rPr>
                <w:rFonts w:hint="eastAsia" w:ascii="仿宋" w:hAnsi="仿宋" w:eastAsia="仿宋" w:cs="仿宋"/>
                <w:b w:val="0"/>
                <w:bCs/>
                <w:color w:val="auto"/>
                <w:kern w:val="0"/>
                <w:sz w:val="24"/>
              </w:rPr>
              <w:t>自助打印服务</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1.</w:t>
            </w:r>
            <w:r>
              <w:rPr>
                <w:rFonts w:hint="eastAsia" w:ascii="仿宋" w:hAnsi="仿宋" w:eastAsia="仿宋" w:cs="仿宋"/>
                <w:b w:val="0"/>
                <w:bCs/>
                <w:color w:val="auto"/>
                <w:kern w:val="0"/>
                <w:sz w:val="24"/>
                <w:lang w:val="en-US" w:eastAsia="zh-CN"/>
              </w:rPr>
              <w:t>4</w:t>
            </w:r>
          </w:p>
        </w:tc>
        <w:tc>
          <w:tcPr>
            <w:tcW w:w="1985" w:type="dxa"/>
            <w:tcBorders>
              <w:top w:val="single" w:color="auto" w:sz="4" w:space="0"/>
              <w:left w:val="nil"/>
              <w:bottom w:val="single" w:color="auto" w:sz="4" w:space="0"/>
              <w:right w:val="single" w:color="auto" w:sz="4" w:space="0"/>
            </w:tcBorders>
            <w:noWrap w:val="0"/>
            <w:vAlign w:val="center"/>
          </w:tcPr>
          <w:p>
            <w:pPr>
              <w:pStyle w:val="965"/>
              <w:numPr>
                <w:ilvl w:val="0"/>
                <w:numId w:val="0"/>
              </w:numPr>
              <w:spacing w:after="156" w:afterLines="50" w:line="360" w:lineRule="auto"/>
              <w:ind w:leftChars="0"/>
              <w:rPr>
                <w:rFonts w:hint="eastAsia" w:ascii="仿宋" w:hAnsi="仿宋" w:eastAsia="仿宋" w:cs="仿宋"/>
                <w:b w:val="0"/>
                <w:bCs/>
                <w:color w:val="auto"/>
                <w:kern w:val="0"/>
                <w:sz w:val="24"/>
              </w:rPr>
            </w:pPr>
            <w:r>
              <w:rPr>
                <w:rFonts w:hint="eastAsia" w:ascii="仿宋" w:hAnsi="仿宋" w:eastAsia="仿宋" w:cs="仿宋"/>
                <w:b w:val="0"/>
                <w:bCs/>
                <w:color w:val="auto"/>
                <w:sz w:val="24"/>
                <w:szCs w:val="24"/>
              </w:rPr>
              <w:t>第三方</w:t>
            </w:r>
            <w:r>
              <w:rPr>
                <w:rFonts w:hint="eastAsia" w:ascii="仿宋" w:hAnsi="仿宋" w:eastAsia="仿宋" w:cs="仿宋"/>
                <w:b w:val="0"/>
                <w:bCs/>
                <w:color w:val="auto"/>
                <w:sz w:val="24"/>
                <w:szCs w:val="24"/>
                <w:lang w:val="en-US" w:eastAsia="zh-CN"/>
              </w:rPr>
              <w:t>系统</w:t>
            </w:r>
            <w:r>
              <w:rPr>
                <w:rFonts w:hint="eastAsia" w:ascii="仿宋" w:hAnsi="仿宋" w:eastAsia="仿宋" w:cs="仿宋"/>
                <w:b w:val="0"/>
                <w:bCs/>
                <w:color w:val="auto"/>
                <w:sz w:val="24"/>
                <w:szCs w:val="24"/>
              </w:rPr>
              <w:t>归档接口</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支持</w:t>
            </w:r>
            <w:r>
              <w:rPr>
                <w:rFonts w:hint="eastAsia" w:ascii="仿宋" w:hAnsi="仿宋" w:eastAsia="仿宋" w:cs="仿宋"/>
                <w:b w:val="0"/>
                <w:bCs/>
                <w:color w:val="auto"/>
                <w:kern w:val="0"/>
                <w:sz w:val="24"/>
                <w:lang w:val="en-US" w:eastAsia="zh-CN"/>
              </w:rPr>
              <w:t>第三方系统报告接入，实现报告统一归档、打印等</w:t>
            </w:r>
            <w:r>
              <w:rPr>
                <w:rFonts w:hint="eastAsia" w:ascii="仿宋" w:hAnsi="仿宋" w:eastAsia="仿宋" w:cs="仿宋"/>
                <w:b w:val="0"/>
                <w:bCs/>
                <w:color w:val="auto"/>
                <w:kern w:val="0"/>
                <w:sz w:val="24"/>
              </w:rPr>
              <w:t>服务</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二、</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i w:val="0"/>
                <w:iCs w:val="0"/>
                <w:color w:val="auto"/>
                <w:kern w:val="0"/>
                <w:sz w:val="22"/>
                <w:szCs w:val="22"/>
                <w:u w:val="none"/>
                <w:lang w:val="en-US" w:eastAsia="zh-CN" w:bidi="ar"/>
              </w:rPr>
              <w:t>与PACS系统集成接口</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lang w:val="en-US" w:eastAsia="zh-CN"/>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lang w:val="en-US" w:eastAsia="zh-CN"/>
              </w:rPr>
            </w:pPr>
            <w:r>
              <w:rPr>
                <w:rFonts w:hint="eastAsia" w:ascii="仿宋" w:hAnsi="仿宋" w:eastAsia="仿宋" w:cs="仿宋"/>
                <w:i w:val="0"/>
                <w:iCs w:val="0"/>
                <w:color w:val="auto"/>
                <w:kern w:val="0"/>
                <w:sz w:val="22"/>
                <w:szCs w:val="22"/>
                <w:u w:val="none"/>
                <w:lang w:val="en-US" w:eastAsia="zh-CN" w:bidi="ar"/>
              </w:rPr>
              <w:t>与PACS系统集成、融合</w:t>
            </w:r>
          </w:p>
        </w:tc>
      </w:tr>
    </w:tbl>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注：本次招标的</w:t>
      </w:r>
      <w:r>
        <w:rPr>
          <w:rFonts w:hint="eastAsia" w:ascii="仿宋" w:hAnsi="仿宋" w:eastAsia="仿宋" w:cs="仿宋"/>
          <w:b/>
          <w:color w:val="auto"/>
          <w:sz w:val="24"/>
          <w:lang w:eastAsia="zh-CN"/>
        </w:rPr>
        <w:t>绍兴市人民医院医技报告归档系统</w:t>
      </w:r>
      <w:r>
        <w:rPr>
          <w:rFonts w:hint="eastAsia" w:ascii="仿宋" w:hAnsi="仿宋" w:eastAsia="仿宋" w:cs="仿宋"/>
          <w:b/>
          <w:color w:val="auto"/>
          <w:sz w:val="24"/>
        </w:rPr>
        <w:t>项目与</w:t>
      </w:r>
      <w:r>
        <w:rPr>
          <w:rFonts w:hint="eastAsia" w:ascii="仿宋" w:hAnsi="仿宋" w:eastAsia="仿宋" w:cs="仿宋"/>
          <w:b/>
          <w:color w:val="auto"/>
          <w:sz w:val="24"/>
          <w:lang w:eastAsia="zh-CN"/>
        </w:rPr>
        <w:t>绍兴市人民医院</w:t>
      </w:r>
      <w:r>
        <w:rPr>
          <w:rFonts w:hint="eastAsia" w:ascii="仿宋" w:hAnsi="仿宋" w:eastAsia="仿宋" w:cs="仿宋"/>
          <w:b/>
          <w:color w:val="auto"/>
          <w:sz w:val="24"/>
        </w:rPr>
        <w:t>现有全院PACS系统双向接口费用均包含在本次报价中，投标人中标后不得再向采购人收取该费用。</w:t>
      </w:r>
    </w:p>
    <w:p>
      <w:pPr>
        <w:pStyle w:val="6"/>
        <w:ind w:firstLine="480"/>
        <w:rPr>
          <w:rFonts w:hint="eastAsia" w:ascii="仿宋" w:hAnsi="仿宋" w:eastAsia="仿宋" w:cs="仿宋"/>
          <w:color w:val="auto"/>
          <w:sz w:val="24"/>
        </w:rPr>
      </w:pPr>
    </w:p>
    <w:p>
      <w:pPr>
        <w:pStyle w:val="4"/>
        <w:tabs>
          <w:tab w:val="left" w:pos="1145"/>
          <w:tab w:val="clear" w:pos="432"/>
        </w:tabs>
        <w:spacing w:before="0" w:after="0" w:line="360" w:lineRule="auto"/>
        <w:ind w:left="0" w:firstLine="0"/>
        <w:rPr>
          <w:rFonts w:hint="eastAsia" w:ascii="仿宋" w:hAnsi="仿宋" w:eastAsia="仿宋" w:cs="仿宋"/>
          <w:bCs/>
          <w:color w:val="auto"/>
          <w:kern w:val="0"/>
          <w:sz w:val="24"/>
          <w:lang w:val="en-US" w:eastAsia="zh-CN"/>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要求</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投标人应充分了解</w:t>
      </w:r>
      <w:r>
        <w:rPr>
          <w:rFonts w:hint="eastAsia" w:ascii="仿宋" w:hAnsi="仿宋" w:eastAsia="仿宋" w:cs="仿宋"/>
          <w:color w:val="auto"/>
          <w:sz w:val="24"/>
          <w:lang w:eastAsia="zh-CN"/>
        </w:rPr>
        <w:t>绍兴市人民医院</w:t>
      </w:r>
      <w:r>
        <w:rPr>
          <w:rFonts w:hint="eastAsia" w:ascii="仿宋" w:hAnsi="仿宋" w:eastAsia="仿宋" w:cs="仿宋"/>
          <w:color w:val="auto"/>
          <w:sz w:val="24"/>
        </w:rPr>
        <w:t>信息化建设现状，最大限度地共享及应用现有的信息化资源，根据</w:t>
      </w:r>
      <w:r>
        <w:rPr>
          <w:rFonts w:hint="eastAsia" w:ascii="仿宋" w:hAnsi="仿宋" w:eastAsia="仿宋" w:cs="仿宋"/>
          <w:color w:val="auto"/>
          <w:sz w:val="24"/>
          <w:lang w:eastAsia="zh-CN"/>
        </w:rPr>
        <w:t>绍兴市人民医院</w:t>
      </w:r>
      <w:r>
        <w:rPr>
          <w:rFonts w:hint="eastAsia" w:ascii="仿宋" w:hAnsi="仿宋" w:eastAsia="仿宋" w:cs="仿宋"/>
          <w:color w:val="auto"/>
          <w:sz w:val="24"/>
        </w:rPr>
        <w:t>信息化建设总体要求及</w:t>
      </w:r>
      <w:r>
        <w:rPr>
          <w:rFonts w:hint="eastAsia" w:ascii="仿宋" w:hAnsi="仿宋" w:eastAsia="仿宋" w:cs="仿宋"/>
          <w:color w:val="auto"/>
          <w:sz w:val="24"/>
          <w:lang w:eastAsia="zh-CN"/>
        </w:rPr>
        <w:t>绍兴市人民医院</w:t>
      </w:r>
      <w:r>
        <w:rPr>
          <w:rFonts w:hint="eastAsia" w:ascii="仿宋" w:hAnsi="仿宋" w:eastAsia="仿宋" w:cs="仿宋"/>
          <w:color w:val="auto"/>
          <w:sz w:val="24"/>
        </w:rPr>
        <w:t>的现有业务应用，在医院现有信息系统基础</w:t>
      </w:r>
      <w:r>
        <w:rPr>
          <w:rFonts w:hint="eastAsia" w:ascii="仿宋" w:hAnsi="仿宋" w:eastAsia="仿宋" w:cs="仿宋"/>
          <w:color w:val="auto"/>
          <w:sz w:val="24"/>
          <w:lang w:val="en-US" w:eastAsia="zh-CN"/>
        </w:rPr>
        <w:t>上建设医技报告归档系统，实现全院医技报告统一存储、归档、共享调阅、打印。</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1全院报告归档、集成、查询、发布管理和打印。</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1）全院临床文档转印、集成与发布管理；支持图文报告归档、实现临床文档PDF全发布、打印</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2）放射、超声、内镜、心电、病理、检验、特检等检验检查辅助类报告文档实现PDF生成。</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4）与云影像、自助打印系统对接。</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5）支持报告的批量自助打印服务。</w:t>
      </w:r>
    </w:p>
    <w:p>
      <w:pPr>
        <w:spacing w:line="360" w:lineRule="auto"/>
        <w:ind w:firstLine="480" w:firstLineChars="200"/>
        <w:rPr>
          <w:rFonts w:hint="eastAsia"/>
          <w:color w:val="auto"/>
          <w:lang w:val="en-US" w:eastAsia="zh-CN"/>
        </w:rPr>
      </w:pPr>
      <w:r>
        <w:rPr>
          <w:rFonts w:hint="eastAsia" w:ascii="仿宋" w:hAnsi="仿宋" w:eastAsia="仿宋" w:cs="仿宋"/>
          <w:color w:val="auto"/>
          <w:sz w:val="24"/>
          <w:lang w:val="en-US" w:eastAsia="zh-CN"/>
        </w:rPr>
        <w:t>6）支持PDF报告调阅。</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2与现有全院放射、超声、内镜、心电、病理、检验、特检等辅助类系统接口，进行数据采集、归档存储，报告实现生成、发布、管理、自助打印。</w:t>
      </w:r>
    </w:p>
    <w:p>
      <w:pPr>
        <w:pStyle w:val="4"/>
        <w:tabs>
          <w:tab w:val="left" w:pos="1145"/>
          <w:tab w:val="clear" w:pos="432"/>
        </w:tabs>
        <w:spacing w:before="0" w:after="0" w:line="360" w:lineRule="auto"/>
        <w:ind w:left="0" w:firstLine="0"/>
        <w:rPr>
          <w:rFonts w:hint="eastAsia" w:ascii="仿宋" w:hAnsi="仿宋" w:eastAsia="仿宋" w:cs="仿宋"/>
          <w:b/>
          <w:bCs w:val="0"/>
          <w:color w:val="auto"/>
          <w:sz w:val="24"/>
        </w:rPr>
      </w:pPr>
      <w:r>
        <w:rPr>
          <w:rFonts w:hint="eastAsia" w:ascii="仿宋" w:hAnsi="仿宋" w:eastAsia="仿宋" w:cs="仿宋"/>
          <w:b/>
          <w:bCs w:val="0"/>
          <w:color w:val="auto"/>
          <w:sz w:val="24"/>
        </w:rPr>
        <w:t>1.3</w:t>
      </w:r>
      <w:r>
        <w:rPr>
          <w:rFonts w:hint="eastAsia" w:ascii="仿宋" w:hAnsi="仿宋" w:eastAsia="仿宋" w:cs="仿宋"/>
          <w:b/>
          <w:bCs w:val="0"/>
          <w:color w:val="auto"/>
          <w:sz w:val="24"/>
          <w:lang w:val="en-US" w:eastAsia="zh-CN"/>
        </w:rPr>
        <w:t>医技报告归档系统</w:t>
      </w:r>
      <w:r>
        <w:rPr>
          <w:rFonts w:hint="eastAsia" w:ascii="仿宋" w:hAnsi="仿宋" w:eastAsia="仿宋" w:cs="仿宋"/>
          <w:b/>
          <w:bCs w:val="0"/>
          <w:color w:val="auto"/>
          <w:sz w:val="24"/>
        </w:rPr>
        <w:t>采购项目功能模块及其它要求</w:t>
      </w:r>
    </w:p>
    <w:p>
      <w:pPr>
        <w:pStyle w:val="4"/>
        <w:tabs>
          <w:tab w:val="left" w:pos="1145"/>
          <w:tab w:val="clear" w:pos="432"/>
        </w:tabs>
        <w:spacing w:before="0" w:after="0" w:line="360" w:lineRule="auto"/>
        <w:ind w:left="0" w:firstLine="0"/>
        <w:rPr>
          <w:rFonts w:hint="eastAsia" w:ascii="仿宋" w:hAnsi="仿宋" w:eastAsia="仿宋" w:cs="仿宋"/>
          <w:b/>
          <w:bCs w:val="0"/>
          <w:color w:val="auto"/>
          <w:sz w:val="24"/>
        </w:rPr>
      </w:pPr>
      <w:r>
        <w:rPr>
          <w:rFonts w:hint="eastAsia" w:ascii="仿宋" w:hAnsi="仿宋" w:eastAsia="仿宋" w:cs="仿宋"/>
          <w:b/>
          <w:bCs w:val="0"/>
          <w:color w:val="auto"/>
          <w:sz w:val="24"/>
        </w:rPr>
        <w:t>1.3.1</w:t>
      </w:r>
      <w:r>
        <w:rPr>
          <w:rFonts w:hint="eastAsia" w:ascii="仿宋" w:hAnsi="仿宋" w:eastAsia="仿宋" w:cs="仿宋"/>
          <w:b/>
          <w:bCs w:val="0"/>
          <w:color w:val="auto"/>
          <w:sz w:val="24"/>
          <w:lang w:val="en-US" w:eastAsia="zh-CN"/>
        </w:rPr>
        <w:t>医技报告归档系统</w:t>
      </w:r>
      <w:r>
        <w:rPr>
          <w:rFonts w:hint="eastAsia" w:ascii="仿宋" w:hAnsi="仿宋" w:eastAsia="仿宋" w:cs="仿宋"/>
          <w:b/>
          <w:bCs w:val="0"/>
          <w:color w:val="auto"/>
          <w:sz w:val="24"/>
        </w:rPr>
        <w:t>采购项目</w:t>
      </w:r>
      <w:r>
        <w:rPr>
          <w:rFonts w:hint="eastAsia" w:ascii="仿宋" w:hAnsi="仿宋" w:eastAsia="仿宋" w:cs="仿宋"/>
          <w:b/>
          <w:bCs w:val="0"/>
          <w:color w:val="auto"/>
          <w:sz w:val="24"/>
          <w:lang w:val="en-US" w:eastAsia="zh-CN"/>
        </w:rPr>
        <w:t>功能</w:t>
      </w:r>
      <w:r>
        <w:rPr>
          <w:rFonts w:hint="eastAsia" w:ascii="仿宋" w:hAnsi="仿宋" w:eastAsia="仿宋" w:cs="仿宋"/>
          <w:b/>
          <w:bCs w:val="0"/>
          <w:color w:val="auto"/>
          <w:sz w:val="24"/>
        </w:rPr>
        <w:t>模块及其它要求</w:t>
      </w:r>
    </w:p>
    <w:tbl>
      <w:tblPr>
        <w:tblStyle w:val="63"/>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招标要求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总统要求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kern w:val="0"/>
                <w:sz w:val="24"/>
                <w:szCs w:val="24"/>
              </w:rPr>
              <w:t>1.1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符合DICOM3.0、HL7标准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kern w:val="0"/>
                <w:sz w:val="24"/>
                <w:szCs w:val="24"/>
              </w:rPr>
              <w:t>1.2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符合IHE技术规范；支持实现放射学信息存取方面的影像管理、影像显示、报告阅读功能。符合“放射学信息存取（ARI Profile）”集成模式“影像管理（IM）；影像显示(ID)；报告阅读(RRD)” 3个功能角色。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1.3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Cs w:val="21"/>
                <w:lang w:val="en-US" w:eastAsia="zh-CN"/>
              </w:rPr>
              <w:t>▲</w:t>
            </w:r>
            <w:r>
              <w:rPr>
                <w:rFonts w:hint="eastAsia" w:ascii="仿宋" w:hAnsi="仿宋" w:eastAsia="仿宋" w:cs="仿宋"/>
                <w:color w:val="auto"/>
                <w:kern w:val="2"/>
                <w:sz w:val="24"/>
                <w:szCs w:val="24"/>
                <w:lang w:val="en-US" w:eastAsia="zh-CN" w:bidi="ar-SA"/>
              </w:rPr>
              <w:t>信息系统集成整合：要求绍兴市人民医院医技报告归档系统和医院现有全院PACS系统完整集成、无缝数据融合和信息共享，本次绍兴市医技报告归档系统与现有全院PACS系统接口费用包含在本项目内，投标人中标后不得要求采购人再次支付任何接口费、协调费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1.4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Cs w:val="21"/>
                <w:lang w:val="en-US" w:eastAsia="zh-CN"/>
              </w:rPr>
              <w:t>▲</w:t>
            </w:r>
            <w:r>
              <w:rPr>
                <w:rFonts w:hint="eastAsia" w:ascii="仿宋" w:hAnsi="仿宋" w:eastAsia="仿宋" w:cs="仿宋"/>
                <w:color w:val="auto"/>
                <w:kern w:val="2"/>
                <w:sz w:val="24"/>
                <w:szCs w:val="24"/>
                <w:lang w:val="en-US" w:eastAsia="zh-CN" w:bidi="ar-SA"/>
              </w:rPr>
              <w:t>与数据中心统一存储接口：绍兴市人民医院医技报告归档系统数据存储须利用医院数据中心现有全院PACS存储设备实现统一存储与资源管理，本项目包括与数据中心现有PACS系统统一数据库与存储接口开发，向PACS统一存储接口集成方开放所有数据表结构，保证不影响医院的现有PACS业务及不会增加额外硬件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1.5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Cs w:val="21"/>
                <w:lang w:val="en-US" w:eastAsia="zh-CN"/>
              </w:rPr>
              <w:t>▲</w:t>
            </w:r>
            <w:r>
              <w:rPr>
                <w:rFonts w:hint="eastAsia" w:ascii="仿宋" w:hAnsi="仿宋" w:eastAsia="仿宋" w:cs="仿宋"/>
                <w:color w:val="auto"/>
                <w:kern w:val="2"/>
                <w:sz w:val="24"/>
                <w:szCs w:val="24"/>
                <w:lang w:val="en-US" w:eastAsia="zh-CN" w:bidi="ar-SA"/>
              </w:rPr>
              <w:t>硬件集成整合：根据全院影像数据中心一体化管理和资源集约化管理需求，要求本次绍兴市人民医院医技报告归档系统必须充分利用现有服务器硬件资源和架构平台（无需购置和部署服务器和数据库系统）,确保数据的安全和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rPr>
            </w:pPr>
            <w:r>
              <w:rPr>
                <w:rFonts w:hint="eastAsia" w:ascii="仿宋" w:hAnsi="仿宋" w:eastAsia="仿宋" w:cs="仿宋"/>
                <w:color w:val="auto"/>
                <w:kern w:val="0"/>
                <w:sz w:val="24"/>
                <w:szCs w:val="24"/>
              </w:rPr>
              <w:t>1.6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满足兼容性设计，要求本次绍兴市人民医院医技报告归档系统建设和医院现有PACS影像服务平台、现有全院临床影像浏览发布系统完整集成、无缝数据融合和信息共享。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报告归档</w:t>
            </w:r>
            <w:r>
              <w:rPr>
                <w:rFonts w:hint="eastAsia" w:ascii="仿宋" w:hAnsi="仿宋" w:eastAsia="仿宋" w:cs="仿宋"/>
                <w:b/>
                <w:color w:val="auto"/>
                <w:sz w:val="24"/>
                <w:szCs w:val="24"/>
                <w:lang w:val="en-US" w:eastAsia="zh-CN"/>
              </w:rPr>
              <w:t>中心平台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w:t>
            </w:r>
          </w:p>
        </w:tc>
        <w:tc>
          <w:tcPr>
            <w:tcW w:w="8230" w:type="dxa"/>
            <w:tcBorders>
              <w:top w:val="single" w:color="auto" w:sz="4" w:space="0"/>
              <w:left w:val="single" w:color="auto" w:sz="4" w:space="0"/>
              <w:bottom w:val="single" w:color="auto" w:sz="4" w:space="0"/>
              <w:right w:val="single" w:color="auto" w:sz="4" w:space="0"/>
            </w:tcBorders>
            <w:noWrap w:val="0"/>
            <w:vAlign w:val="top"/>
          </w:tcPr>
          <w:p>
            <w:pPr>
              <w:pStyle w:val="965"/>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bCs/>
                <w:color w:val="auto"/>
                <w:kern w:val="0"/>
                <w:sz w:val="24"/>
                <w:szCs w:val="24"/>
                <w:lang w:eastAsia="zh-CN"/>
              </w:rPr>
            </w:pPr>
            <w:r>
              <w:rPr>
                <w:rFonts w:hint="eastAsia" w:ascii="仿宋" w:hAnsi="仿宋" w:eastAsia="仿宋" w:cs="仿宋"/>
                <w:color w:val="auto"/>
                <w:sz w:val="24"/>
                <w:szCs w:val="24"/>
              </w:rPr>
              <w:t>开发并升级更新PACS服务端软件功能，支持接收、存储各类PDF报告。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.2</w:t>
            </w:r>
          </w:p>
        </w:tc>
        <w:tc>
          <w:tcPr>
            <w:tcW w:w="8230" w:type="dxa"/>
            <w:tcBorders>
              <w:top w:val="single" w:color="auto" w:sz="4" w:space="0"/>
              <w:left w:val="single" w:color="auto" w:sz="4" w:space="0"/>
              <w:bottom w:val="single" w:color="auto" w:sz="4" w:space="0"/>
              <w:right w:val="single" w:color="auto" w:sz="4" w:space="0"/>
            </w:tcBorders>
            <w:noWrap w:val="0"/>
            <w:vAlign w:val="top"/>
          </w:tcPr>
          <w:p>
            <w:pPr>
              <w:pStyle w:val="965"/>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bCs/>
                <w:color w:val="auto"/>
                <w:kern w:val="0"/>
                <w:sz w:val="24"/>
                <w:szCs w:val="24"/>
                <w:lang w:eastAsia="zh-CN"/>
              </w:rPr>
            </w:pPr>
            <w:r>
              <w:rPr>
                <w:rFonts w:hint="eastAsia" w:ascii="仿宋" w:hAnsi="仿宋" w:eastAsia="仿宋" w:cs="仿宋"/>
                <w:color w:val="auto"/>
                <w:sz w:val="24"/>
                <w:szCs w:val="24"/>
              </w:rPr>
              <w:t>开发并升级更新WEB临床发布与浏览系统软件功能，支持调阅、打印各类PDF报告。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开发并升级更新放射科登记、报告工作站软件功能、报告模板、PDF报告自动上传、更新、数字签名及自助打印。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开发并升级更新超声科、内镜室</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图文网络工作站软件功能，支持PDF报告自动上传及更新。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升级更新超声科、内镜等医技科室打印模块及部署其他临床科室图文转印工作站实现PDF数据采集、转换及发布上传。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支持全院</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的发布、调阅、打印、自动更新、查询追溯、权限控制等功能。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.7</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中心平台</w:t>
            </w:r>
            <w:r>
              <w:rPr>
                <w:rFonts w:hint="eastAsia" w:ascii="仿宋" w:hAnsi="仿宋" w:eastAsia="仿宋" w:cs="仿宋"/>
                <w:color w:val="auto"/>
                <w:sz w:val="24"/>
                <w:szCs w:val="24"/>
              </w:rPr>
              <w:t>数据包括报告文档发布数（PDF报告）、影像发布幅数、报告文档浏览次数、影像浏览次数、报告文档打印次数等。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.8</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支持文档发布、文档浏览（分PDF报告、检查影像）、文档打印情况的概览，以不同图表形式展示。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.9</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符合DICOM、IHE-XDS和HL7标准，便利开放集成，便利共享调阅。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.10</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以标准协议形式统一存储、统一接口、统一视窗。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支持PIX/PDQ主索引服务，功能包括患者身份注册、患者交叉索引查询、患者信息查询、域控管理、患者注册信息辅助管理。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支持XDS注册服务，功能包括文档索引注册、文档存储查询、文档索引辅助管理。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支持XDS存储库服务，功能包括文档存储、文档提供。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支持全院报告归档系统中心，功能包括操作日志管理、</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管理、数据分析等。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检索/浏览/删除/迁移功能。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数据分析提供</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发布量统计、</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打印量统计等。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注册/检索/存储/调阅非标接口，接入无法实现IHE/XDS标准接口的系统。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2.18</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系统与现有PACS系统无缝集成与统一管理</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2.19</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临床医技系统生成</w:t>
            </w:r>
            <w:r>
              <w:rPr>
                <w:rFonts w:hint="eastAsia" w:ascii="仿宋" w:hAnsi="仿宋" w:eastAsia="仿宋" w:cs="仿宋"/>
                <w:color w:val="auto"/>
                <w:sz w:val="24"/>
                <w:szCs w:val="24"/>
                <w:lang w:val="en-US" w:eastAsia="zh-CN"/>
              </w:rPr>
              <w:t>PDF医技报告后，支持上传到医技报告归档平台，实现医技报告平台统一归档。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2.20</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医技报告归档结束后，支持临床系统调用并可打印医技报告。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医技报告归档结束后，不允许第三方系统做修改调整，由归档平台统一监管。第三方系统修改报告需提交解锁申请，归档平台支持解锁功能，解锁后第三方系统可修改此报告并重新归档。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3</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文档列表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文档浏览</w:t>
            </w:r>
            <w:r>
              <w:rPr>
                <w:rFonts w:hint="eastAsia" w:ascii="仿宋" w:hAnsi="仿宋" w:eastAsia="仿宋" w:cs="仿宋"/>
                <w:color w:val="auto"/>
                <w:sz w:val="24"/>
                <w:szCs w:val="24"/>
                <w:lang w:val="en-US" w:eastAsia="zh-CN"/>
              </w:rPr>
              <w:t>支持浏览</w:t>
            </w:r>
            <w:r>
              <w:rPr>
                <w:rFonts w:hint="eastAsia" w:ascii="仿宋" w:hAnsi="仿宋" w:eastAsia="仿宋" w:cs="仿宋"/>
                <w:color w:val="auto"/>
                <w:sz w:val="24"/>
                <w:szCs w:val="24"/>
              </w:rPr>
              <w:t>PDF报告、检查影像</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文档打印情况</w:t>
            </w:r>
            <w:r>
              <w:rPr>
                <w:rFonts w:hint="eastAsia" w:ascii="仿宋" w:hAnsi="仿宋" w:eastAsia="仿宋" w:cs="仿宋"/>
                <w:color w:val="auto"/>
                <w:sz w:val="24"/>
                <w:szCs w:val="24"/>
                <w:lang w:val="en-US" w:eastAsia="zh-CN"/>
              </w:rPr>
              <w:t>支持</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为</w:t>
            </w:r>
            <w:r>
              <w:rPr>
                <w:rFonts w:hint="eastAsia" w:ascii="仿宋" w:hAnsi="仿宋" w:eastAsia="仿宋" w:cs="仿宋"/>
                <w:color w:val="auto"/>
                <w:sz w:val="24"/>
                <w:szCs w:val="24"/>
              </w:rPr>
              <w:t>工作站打印、自助打印、临床打印、第三方打印</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文档列表支持按条件检索检查记录查看文档（包括PDF报告文档和检查影像</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文档列表支持分页、排序等常规功能，列首设为操作列，需固定（不受滚动影响）。双击列表行打开文档详情页面。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3.5</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lang w:val="en-US" w:eastAsia="zh-CN"/>
              </w:rPr>
              <w:t>支持</w:t>
            </w:r>
            <w:r>
              <w:rPr>
                <w:rFonts w:hint="eastAsia" w:ascii="仿宋" w:hAnsi="仿宋" w:eastAsia="仿宋" w:cs="仿宋"/>
                <w:color w:val="auto"/>
                <w:sz w:val="24"/>
              </w:rPr>
              <w:t>按患者维度展示该患者所有的文档数据，分为患者基本信息、检查时间轴、当前/历史报告对比三块功能区。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3.6</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患者基本信息区显示患者姓名、性别、出生日期、年龄、病人编号。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3.7</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检查时间轴区按时间展示患者所有的检查记录。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3.8</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当前检查需在时间轴中特殊显示，历史检查需支持通过时间轴切换。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3.9</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支持</w:t>
            </w:r>
            <w:r>
              <w:rPr>
                <w:rFonts w:hint="eastAsia" w:ascii="仿宋" w:hAnsi="仿宋" w:eastAsia="仿宋" w:cs="仿宋"/>
                <w:color w:val="auto"/>
                <w:sz w:val="24"/>
              </w:rPr>
              <w:t>当前/历史报告对比区显示当前和历史检查的数据</w:t>
            </w:r>
            <w:r>
              <w:rPr>
                <w:rFonts w:hint="eastAsia" w:ascii="仿宋" w:hAnsi="仿宋" w:eastAsia="仿宋" w:cs="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4</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文档管理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4.1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b/>
                <w:color w:val="auto"/>
                <w:sz w:val="24"/>
                <w:szCs w:val="24"/>
                <w:lang w:val="en-US" w:eastAsia="zh-CN"/>
              </w:rPr>
            </w:pPr>
            <w:r>
              <w:rPr>
                <w:rFonts w:hint="eastAsia" w:ascii="仿宋" w:hAnsi="仿宋" w:eastAsia="仿宋" w:cs="仿宋"/>
                <w:color w:val="auto"/>
                <w:sz w:val="24"/>
              </w:rPr>
              <w:t>支持按条件检索检查记录查看和删除PDF报告文档。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4.2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rPr>
              <w:t>具体的查询条件</w:t>
            </w:r>
            <w:r>
              <w:rPr>
                <w:rFonts w:hint="eastAsia" w:ascii="仿宋" w:hAnsi="仿宋" w:eastAsia="仿宋" w:cs="仿宋"/>
                <w:color w:val="auto"/>
                <w:sz w:val="24"/>
                <w:lang w:val="en-US" w:eastAsia="zh-CN"/>
              </w:rPr>
              <w:t>支持病人编号、病人姓名、门诊住院号、检查号、检查类型、病人类型、时间等检索条件。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4.3</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rPr>
              <w:t>文档列表支持分页、排序等常规功能，支持查看和删除操作。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5</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自助打印、打印跟踪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szCs w:val="24"/>
                <w:lang w:val="en-US" w:eastAsia="zh-CN"/>
              </w:rPr>
              <w:t>支持按条件检索打印记录。具体的查询条件可包含病人编号、病人姓名、检查号、打印类型、打印方式、日期等，按实际使用要求增删。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打印记录列表支持分页、排序等常规功能。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系统能无缝集成</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按需打印及全院报告归档系统</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数据存储与交换技术，实现按需打印、集中打印、自助打印、集中存储、集中管理。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系统支持放射、超声、内镜、病理、心电等全院诊断报告资料的一站式打印服务，实现患者一站式服务。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系统支持实现报告审核、报告分发、报告打印、打印查询等病人就诊全流程闭环监控管理。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系统支持诊断报告审核打印的短信提醒通知、屏幕显示提醒通知。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5.7</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基于严谨性和安全性原则实现所有输出资料与病人的统一自动归档和自助打印。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5.8</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支持图文报告等多种不同输出资料的集中打印、自助打印、打印查询追溯。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rPr>
            </w:pPr>
            <w:r>
              <w:rPr>
                <w:rFonts w:hint="eastAsia" w:ascii="仿宋" w:hAnsi="仿宋" w:eastAsia="仿宋" w:cs="仿宋"/>
                <w:b w:val="0"/>
                <w:bCs w:val="0"/>
                <w:i w:val="0"/>
                <w:iCs w:val="0"/>
                <w:color w:val="auto"/>
                <w:kern w:val="0"/>
                <w:sz w:val="24"/>
                <w:szCs w:val="24"/>
                <w:u w:val="none"/>
                <w:lang w:val="en-US" w:eastAsia="zh-CN" w:bidi="ar"/>
              </w:rPr>
              <w:t>5.9</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支持集中打印、自助打印、服务窗口打印、二次补打等多渠道打印多服务模式相结合的复杂业务流程。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rPr>
            </w:pPr>
            <w:r>
              <w:rPr>
                <w:rFonts w:hint="eastAsia" w:ascii="仿宋" w:hAnsi="仿宋" w:eastAsia="仿宋" w:cs="仿宋"/>
                <w:b w:val="0"/>
                <w:bCs w:val="0"/>
                <w:i w:val="0"/>
                <w:iCs w:val="0"/>
                <w:color w:val="auto"/>
                <w:kern w:val="0"/>
                <w:sz w:val="24"/>
                <w:szCs w:val="24"/>
                <w:u w:val="none"/>
                <w:lang w:val="en-US" w:eastAsia="zh-CN" w:bidi="ar"/>
              </w:rPr>
              <w:t>5.10</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系统支持与医院现有全院PACS</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电子CA数字签名、病案管理无缝集成，确保实施零风险。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rPr>
            </w:pPr>
            <w:r>
              <w:rPr>
                <w:rFonts w:hint="eastAsia" w:ascii="仿宋" w:hAnsi="仿宋" w:eastAsia="仿宋" w:cs="仿宋"/>
                <w:b w:val="0"/>
                <w:bCs w:val="0"/>
                <w:i w:val="0"/>
                <w:iCs w:val="0"/>
                <w:color w:val="auto"/>
                <w:kern w:val="0"/>
                <w:sz w:val="24"/>
                <w:szCs w:val="24"/>
                <w:u w:val="none"/>
                <w:lang w:val="en-US" w:eastAsia="zh-CN" w:bidi="ar"/>
              </w:rPr>
              <w:t>5.11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系统具有严格的权限认证和安全保障机制，确保医疗数据的安全性和合法性，确保数据来源获取和打印分发过程中的防泄漏防截获防统计防篡改。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rPr>
            </w:pPr>
            <w:r>
              <w:rPr>
                <w:rFonts w:hint="eastAsia" w:ascii="仿宋" w:hAnsi="仿宋" w:eastAsia="仿宋" w:cs="仿宋"/>
                <w:b w:val="0"/>
                <w:bCs w:val="0"/>
                <w:i w:val="0"/>
                <w:iCs w:val="0"/>
                <w:color w:val="auto"/>
                <w:kern w:val="0"/>
                <w:sz w:val="24"/>
                <w:szCs w:val="24"/>
                <w:u w:val="none"/>
                <w:lang w:val="en-US" w:eastAsia="zh-CN" w:bidi="ar"/>
              </w:rPr>
              <w:t>5.12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支持报告等资料输出的电子化流转，实现报告审核、数字签名、报告分发的自动化。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5.13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根据医院需求量身定制全院自助功能，实现系统间有机集成，无须捆绑医院指定单一品牌硬件终端及耗材。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rPr>
            </w:pPr>
            <w:r>
              <w:rPr>
                <w:rFonts w:hint="eastAsia" w:ascii="仿宋" w:hAnsi="仿宋" w:eastAsia="仿宋" w:cs="仿宋"/>
                <w:b w:val="0"/>
                <w:bCs w:val="0"/>
                <w:i w:val="0"/>
                <w:iCs w:val="0"/>
                <w:color w:val="auto"/>
                <w:kern w:val="0"/>
                <w:sz w:val="24"/>
                <w:szCs w:val="24"/>
                <w:u w:val="none"/>
                <w:lang w:val="en-US" w:eastAsia="zh-CN" w:bidi="ar"/>
              </w:rPr>
              <w:t>5.14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系统支持与医院现有第三方</w:t>
            </w:r>
            <w:r>
              <w:rPr>
                <w:rFonts w:hint="eastAsia" w:ascii="仿宋" w:hAnsi="仿宋" w:eastAsia="仿宋" w:cs="仿宋"/>
                <w:color w:val="auto"/>
                <w:sz w:val="24"/>
                <w:szCs w:val="24"/>
                <w:lang w:val="en-US" w:eastAsia="zh-CN"/>
              </w:rPr>
              <w:t>系统</w:t>
            </w:r>
            <w:r>
              <w:rPr>
                <w:rFonts w:hint="eastAsia" w:ascii="仿宋" w:hAnsi="仿宋" w:eastAsia="仿宋" w:cs="仿宋"/>
                <w:color w:val="auto"/>
                <w:sz w:val="24"/>
                <w:szCs w:val="24"/>
              </w:rPr>
              <w:t>进行软硬件集成和数据交互融合；支持条码、磁条卡、IC卡、RFID卡等介质的识别方式；支持诊断报告电子化签名和数字签名式签发；支持不同规格尺寸、不同颜色、不同打印设备的报告的打印和补打。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5.15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支持所有输出资料的一站式管理，构建全院报告归档系统及打印服务实现全院所有影像、报告类科室的图文报告、文件集中处理，所有图文资料统一通过服务端实现存储、匹配、打印、分发、监控。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i w:val="0"/>
                <w:iCs w:val="0"/>
                <w:color w:val="auto"/>
                <w:kern w:val="0"/>
                <w:sz w:val="24"/>
                <w:szCs w:val="24"/>
                <w:u w:val="none"/>
                <w:lang w:val="en-US" w:eastAsia="zh-CN" w:bidi="ar"/>
              </w:rPr>
              <w:t>5.16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支持医院报告等资料输出打印服务的管理、打印输出终端的管理、各科室报告的自适应处理，实现基于全院自助打印服务系统的全院资源整合，实现医疗数据资料的安全存储和安全打印。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6</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日志跟踪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支持事后追溯查询平台操作日志功能。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rPr>
              <w:t>支持按条件检索日志记录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支持</w:t>
            </w:r>
            <w:r>
              <w:rPr>
                <w:rFonts w:hint="eastAsia" w:ascii="仿宋" w:hAnsi="仿宋" w:eastAsia="仿宋" w:cs="仿宋"/>
                <w:color w:val="auto"/>
                <w:sz w:val="24"/>
              </w:rPr>
              <w:t>记录系统运行和故障信息，帮助用户了解系统运行状况和故障原因，并及时采取措施解决问题</w:t>
            </w:r>
          </w:p>
        </w:tc>
      </w:tr>
    </w:tbl>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注:</w:t>
      </w:r>
    </w:p>
    <w:p>
      <w:pPr>
        <w:numPr>
          <w:ilvl w:val="0"/>
          <w:numId w:val="3"/>
        </w:numPr>
        <w:spacing w:line="360" w:lineRule="auto"/>
        <w:rPr>
          <w:rFonts w:hint="eastAsia" w:ascii="仿宋" w:hAnsi="仿宋" w:eastAsia="仿宋" w:cs="仿宋"/>
          <w:b/>
          <w:color w:val="auto"/>
          <w:sz w:val="24"/>
        </w:rPr>
      </w:pPr>
      <w:r>
        <w:rPr>
          <w:rFonts w:hint="eastAsia" w:ascii="仿宋" w:hAnsi="仿宋" w:eastAsia="仿宋" w:cs="仿宋"/>
          <w:b/>
          <w:color w:val="auto"/>
          <w:sz w:val="24"/>
        </w:rPr>
        <w:t>支持达到电子病历六级、智慧管理六级及智慧服务四级信息建设要求，须每年提供相关操作文档包括开发文档及数据采集相关材料。</w:t>
      </w:r>
    </w:p>
    <w:p>
      <w:pPr>
        <w:numPr>
          <w:ilvl w:val="0"/>
          <w:numId w:val="3"/>
        </w:numPr>
        <w:spacing w:line="360" w:lineRule="auto"/>
        <w:rPr>
          <w:rFonts w:ascii="仿宋_GB2312" w:hAnsi="宋体" w:eastAsia="仿宋_GB2312"/>
          <w:b/>
          <w:color w:val="auto"/>
          <w:sz w:val="24"/>
        </w:rPr>
      </w:pPr>
      <w:r>
        <w:rPr>
          <w:rFonts w:hint="eastAsia" w:ascii="仿宋_GB2312" w:hAnsi="宋体" w:eastAsia="仿宋_GB2312"/>
          <w:b/>
          <w:color w:val="auto"/>
          <w:sz w:val="24"/>
        </w:rPr>
        <w:t>2、维保期内未涉及产品框架改造，投标人应按医院业务需求修改，不收取任何费用。</w:t>
      </w:r>
    </w:p>
    <w:p>
      <w:pPr>
        <w:spacing w:line="360" w:lineRule="auto"/>
        <w:rPr>
          <w:rFonts w:ascii="仿宋_GB2312" w:hAnsi="宋体" w:eastAsia="仿宋_GB2312"/>
          <w:b/>
          <w:color w:val="auto"/>
          <w:sz w:val="24"/>
        </w:rPr>
      </w:pPr>
      <w:r>
        <w:rPr>
          <w:rFonts w:hint="eastAsia" w:ascii="仿宋_GB2312" w:hAnsi="宋体" w:eastAsia="仿宋_GB2312"/>
          <w:b/>
          <w:color w:val="auto"/>
          <w:sz w:val="24"/>
        </w:rPr>
        <w:t>3、该系统免费开放接口供其它系统使用及认证。</w:t>
      </w:r>
    </w:p>
    <w:p>
      <w:pPr>
        <w:spacing w:line="360" w:lineRule="auto"/>
        <w:rPr>
          <w:rFonts w:ascii="仿宋_GB2312" w:hAnsi="宋体" w:eastAsia="仿宋_GB2312"/>
          <w:b/>
          <w:color w:val="auto"/>
          <w:sz w:val="24"/>
        </w:rPr>
      </w:pPr>
      <w:r>
        <w:rPr>
          <w:rFonts w:hint="eastAsia" w:ascii="仿宋_GB2312" w:hAnsi="宋体" w:eastAsia="仿宋_GB2312"/>
          <w:b/>
          <w:color w:val="auto"/>
          <w:sz w:val="24"/>
          <w:lang w:val="en-US" w:eastAsia="zh-CN"/>
        </w:rPr>
        <w:t>4</w:t>
      </w:r>
      <w:r>
        <w:rPr>
          <w:rFonts w:hint="eastAsia" w:ascii="仿宋_GB2312" w:hAnsi="宋体" w:eastAsia="仿宋_GB2312"/>
          <w:b/>
          <w:color w:val="auto"/>
          <w:sz w:val="24"/>
        </w:rPr>
        <w:t>、系统应符合应用系统等保要求。</w:t>
      </w:r>
    </w:p>
    <w:p>
      <w:pPr>
        <w:spacing w:line="360" w:lineRule="auto"/>
        <w:rPr>
          <w:rFonts w:hint="eastAsia" w:ascii="仿宋_GB2312" w:hAnsi="宋体" w:eastAsia="仿宋_GB2312"/>
          <w:b/>
          <w:color w:val="auto"/>
          <w:sz w:val="24"/>
        </w:rPr>
      </w:pPr>
      <w:r>
        <w:rPr>
          <w:rFonts w:hint="eastAsia" w:ascii="仿宋_GB2312" w:hAnsi="宋体" w:eastAsia="仿宋_GB2312"/>
          <w:b/>
          <w:color w:val="auto"/>
          <w:sz w:val="24"/>
          <w:lang w:val="en-US" w:eastAsia="zh-CN"/>
        </w:rPr>
        <w:t>5</w:t>
      </w:r>
      <w:r>
        <w:rPr>
          <w:rFonts w:hint="eastAsia" w:ascii="仿宋_GB2312" w:hAnsi="宋体" w:eastAsia="仿宋_GB2312"/>
          <w:b/>
          <w:color w:val="auto"/>
          <w:sz w:val="24"/>
        </w:rPr>
        <w:t>、此项目实施过程中所产生的一切实施费用均包含在投标报价中。</w:t>
      </w:r>
    </w:p>
    <w:p>
      <w:pPr>
        <w:spacing w:line="360" w:lineRule="auto"/>
        <w:rPr>
          <w:rFonts w:ascii="仿宋_GB2312" w:hAnsi="宋体" w:eastAsia="仿宋_GB2312"/>
          <w:b/>
          <w:color w:val="auto"/>
          <w:sz w:val="24"/>
        </w:rPr>
      </w:pPr>
      <w:r>
        <w:rPr>
          <w:rFonts w:hint="eastAsia" w:ascii="仿宋_GB2312" w:hAnsi="宋体" w:eastAsia="仿宋_GB2312"/>
          <w:b/>
          <w:color w:val="auto"/>
          <w:sz w:val="24"/>
          <w:lang w:val="en-US" w:eastAsia="zh-CN"/>
        </w:rPr>
        <w:t>6</w:t>
      </w:r>
      <w:r>
        <w:rPr>
          <w:rFonts w:hint="eastAsia" w:ascii="仿宋_GB2312" w:hAnsi="宋体" w:eastAsia="仿宋_GB2312"/>
          <w:b/>
          <w:color w:val="auto"/>
          <w:sz w:val="24"/>
        </w:rPr>
        <w:t>、针对与集成平台对接应承诺不收取任何费用。</w:t>
      </w:r>
    </w:p>
    <w:p>
      <w:pPr>
        <w:spacing w:line="360" w:lineRule="auto"/>
        <w:rPr>
          <w:rFonts w:hint="eastAsia" w:ascii="仿宋_GB2312" w:hAnsi="宋体" w:eastAsia="仿宋_GB2312"/>
          <w:b/>
          <w:color w:val="auto"/>
          <w:sz w:val="24"/>
        </w:rPr>
      </w:pPr>
      <w:r>
        <w:rPr>
          <w:rFonts w:hint="eastAsia" w:ascii="仿宋_GB2312" w:hAnsi="宋体" w:eastAsia="仿宋_GB2312"/>
          <w:b/>
          <w:color w:val="auto"/>
          <w:sz w:val="24"/>
          <w:lang w:val="en-US" w:eastAsia="zh-CN"/>
        </w:rPr>
        <w:t>7</w:t>
      </w:r>
      <w:r>
        <w:rPr>
          <w:rFonts w:hint="eastAsia" w:ascii="仿宋_GB2312" w:hAnsi="宋体" w:eastAsia="仿宋_GB2312"/>
          <w:b/>
          <w:color w:val="auto"/>
          <w:sz w:val="24"/>
        </w:rPr>
        <w:t>、投标方提供免费接口供其它系统使用及认证。</w:t>
      </w:r>
    </w:p>
    <w:p>
      <w:pPr>
        <w:pStyle w:val="61"/>
        <w:ind w:left="0" w:leftChars="0" w:firstLine="0" w:firstLineChars="0"/>
        <w:rPr>
          <w:rFonts w:hint="eastAsia" w:ascii="仿宋" w:hAnsi="仿宋" w:eastAsia="仿宋" w:cs="仿宋"/>
          <w:color w:val="auto"/>
        </w:rPr>
      </w:pPr>
      <w:r>
        <w:rPr>
          <w:rFonts w:hint="eastAsia" w:ascii="仿宋_GB2312" w:hAnsi="宋体" w:eastAsia="仿宋_GB2312"/>
          <w:b/>
          <w:color w:val="auto"/>
          <w:sz w:val="24"/>
          <w:lang w:val="en-US" w:eastAsia="zh-CN"/>
        </w:rPr>
        <w:t>8、</w:t>
      </w:r>
      <w:r>
        <w:rPr>
          <w:rFonts w:hint="eastAsia" w:ascii="仿宋" w:hAnsi="仿宋" w:eastAsia="仿宋" w:cs="仿宋"/>
          <w:b/>
          <w:color w:val="auto"/>
          <w:sz w:val="24"/>
        </w:rPr>
        <w:t>本项目系统支持绍兴市人民医院一院两区。</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二、项目实施进度要求: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(1)、安装地点：绍兴市人民医院。</w:t>
      </w:r>
    </w:p>
    <w:p>
      <w:pPr>
        <w:spacing w:line="360" w:lineRule="auto"/>
        <w:ind w:firstLine="480" w:firstLineChars="200"/>
        <w:rPr>
          <w:rFonts w:hint="eastAsia" w:ascii="仿宋" w:hAnsi="仿宋" w:eastAsia="仿宋" w:cs="仿宋"/>
          <w:color w:val="auto"/>
          <w:lang w:val="en-US" w:eastAsia="zh-CN"/>
        </w:rPr>
      </w:pPr>
      <w:r>
        <w:rPr>
          <w:rFonts w:hint="eastAsia" w:ascii="仿宋" w:hAnsi="仿宋" w:eastAsia="仿宋" w:cs="仿宋"/>
          <w:color w:val="auto"/>
          <w:sz w:val="24"/>
        </w:rPr>
        <w:t>(2)、项目完成时间：在合同签订后并在</w:t>
      </w:r>
      <w:r>
        <w:rPr>
          <w:rFonts w:hint="eastAsia" w:ascii="仿宋" w:hAnsi="仿宋" w:eastAsia="仿宋" w:cs="仿宋"/>
          <w:color w:val="auto"/>
          <w:sz w:val="24"/>
          <w:lang w:val="en-US" w:eastAsia="zh-CN"/>
        </w:rPr>
        <w:t>安装条件具备情况下</w:t>
      </w:r>
      <w:r>
        <w:rPr>
          <w:rFonts w:hint="eastAsia" w:ascii="仿宋" w:hAnsi="仿宋" w:eastAsia="仿宋" w:cs="仿宋"/>
          <w:color w:val="auto"/>
          <w:sz w:val="24"/>
        </w:rPr>
        <w:t>接到采购人通知后</w:t>
      </w:r>
      <w:r>
        <w:rPr>
          <w:rFonts w:hint="eastAsia" w:ascii="仿宋" w:hAnsi="仿宋" w:eastAsia="仿宋" w:cs="仿宋"/>
          <w:color w:val="auto"/>
          <w:sz w:val="24"/>
          <w:lang w:val="en-US" w:eastAsia="zh-CN"/>
        </w:rPr>
        <w:t>3个月</w:t>
      </w:r>
      <w:r>
        <w:rPr>
          <w:rFonts w:hint="eastAsia" w:ascii="仿宋" w:hAnsi="仿宋" w:eastAsia="仿宋" w:cs="仿宋"/>
          <w:color w:val="auto"/>
          <w:sz w:val="24"/>
        </w:rPr>
        <w:t>内完成安装和调试</w:t>
      </w:r>
      <w:r>
        <w:rPr>
          <w:rFonts w:hint="eastAsia" w:ascii="仿宋" w:hAnsi="仿宋" w:eastAsia="仿宋" w:cs="仿宋"/>
          <w:color w:val="auto"/>
          <w:sz w:val="24"/>
          <w:lang w:eastAsia="zh-CN"/>
        </w:rPr>
        <w:t>，</w:t>
      </w:r>
      <w:r>
        <w:rPr>
          <w:rFonts w:hint="eastAsia" w:ascii="仿宋_GB2312" w:hAnsi="宋体" w:eastAsia="仿宋_GB2312"/>
          <w:color w:val="auto"/>
          <w:sz w:val="24"/>
        </w:rPr>
        <w:t>投标人应在投标文件中标明工期及实施计划、进度。</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三、项目培训要求:</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系统操作培训：主要面向使用人员，投标人需提供操作培训及文档</w:t>
      </w:r>
      <w:r>
        <w:rPr>
          <w:rFonts w:hint="eastAsia" w:ascii="仿宋" w:hAnsi="仿宋" w:eastAsia="仿宋" w:cs="仿宋"/>
          <w:color w:val="auto"/>
          <w:sz w:val="24"/>
          <w:lang w:eastAsia="zh-CN"/>
        </w:rPr>
        <w:t>。</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四、项目售后服务要求: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(1)、投标人必须根据本次招标文件所制定的目标和范围，提出相应的售后服务方案。</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(2)、提供7*24小时日常服务，通过提供邮件、电话、QQ、VPN远程连接等技术支持方式，以解决日常系统出现的问题咨询和故障处理。当采购人出现紧急故障情况时，立即向投标人电话报修，要求投标人</w:t>
      </w:r>
      <w:r>
        <w:rPr>
          <w:rFonts w:hint="eastAsia" w:ascii="仿宋" w:hAnsi="仿宋" w:eastAsia="仿宋" w:cs="仿宋"/>
          <w:color w:val="auto"/>
          <w:sz w:val="24"/>
          <w:lang w:val="en-US" w:eastAsia="zh-CN"/>
        </w:rPr>
        <w:t>半小时</w:t>
      </w:r>
      <w:r>
        <w:rPr>
          <w:rFonts w:hint="eastAsia" w:ascii="仿宋" w:hAnsi="仿宋" w:eastAsia="仿宋" w:cs="仿宋"/>
          <w:color w:val="auto"/>
          <w:sz w:val="24"/>
        </w:rPr>
        <w:t>内响应，积极配合诊断并进行处理。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)、在本合同项目实施及</w:t>
      </w:r>
      <w:r>
        <w:rPr>
          <w:rFonts w:hint="eastAsia" w:ascii="仿宋" w:hAnsi="仿宋" w:eastAsia="仿宋" w:cs="仿宋"/>
          <w:color w:val="auto"/>
          <w:sz w:val="24"/>
          <w:lang w:val="en-US" w:eastAsia="zh-CN"/>
        </w:rPr>
        <w:t>质保</w:t>
      </w:r>
      <w:r>
        <w:rPr>
          <w:rFonts w:hint="eastAsia" w:ascii="仿宋" w:hAnsi="仿宋" w:eastAsia="仿宋" w:cs="仿宋"/>
          <w:color w:val="auto"/>
          <w:sz w:val="24"/>
        </w:rPr>
        <w:t>期间内，投标人应承诺对合同范围内的产品免费提供更新、升级服务。</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免费质保期：为了保证本次项目顺利成功，要求投标人承诺项目验收后提供一年的软件7*24小时售后技术服务，1小时内做出明确响应和安排，现场响应时间要求是接到采购人需求电话后8小时内到达。包括免费升级、功能完善、故障排除、性能调优、技术咨询等，并负责系统的开发、集成，处理、协调与各系统软件等供应商的关系。</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(5)、免费质保期：自项目验收之日起，至少为期</w:t>
      </w:r>
      <w:r>
        <w:rPr>
          <w:rFonts w:hint="eastAsia" w:ascii="仿宋" w:hAnsi="仿宋" w:eastAsia="仿宋" w:cs="仿宋"/>
          <w:color w:val="auto"/>
          <w:sz w:val="24"/>
          <w:lang w:val="en-US" w:eastAsia="zh-CN"/>
        </w:rPr>
        <w:t>1</w:t>
      </w:r>
      <w:r>
        <w:rPr>
          <w:rFonts w:hint="eastAsia" w:ascii="仿宋" w:hAnsi="仿宋" w:eastAsia="仿宋" w:cs="仿宋"/>
          <w:color w:val="auto"/>
          <w:sz w:val="24"/>
        </w:rPr>
        <w:t>年免费质保（具体质保期按投标文件中响应文件为准）。</w:t>
      </w:r>
    </w:p>
    <w:p>
      <w:pPr>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五、项目验收要求: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项目的工作内容及成果文档的提交应覆盖以下内容，电子文档是成果不可分割的部分。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(1)实施确认书；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(2)培训资料；</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(3)安装维护手册；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(4)使用操作手册；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(5)项目验收报告。</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六、</w:t>
      </w:r>
      <w:r>
        <w:rPr>
          <w:rFonts w:hint="eastAsia" w:ascii="仿宋" w:hAnsi="仿宋" w:eastAsia="仿宋" w:cs="仿宋"/>
          <w:b/>
          <w:color w:val="auto"/>
          <w:sz w:val="28"/>
          <w:szCs w:val="28"/>
        </w:rPr>
        <w:t>付款方式：</w:t>
      </w:r>
    </w:p>
    <w:p>
      <w:pPr>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eastAsia" w:ascii="仿宋" w:hAnsi="仿宋" w:eastAsia="仿宋" w:cs="仿宋"/>
          <w:bCs/>
          <w:color w:val="auto"/>
          <w:sz w:val="24"/>
          <w:szCs w:val="28"/>
        </w:rPr>
        <w:sectPr>
          <w:footerReference r:id="rId15"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bCs/>
          <w:color w:val="auto"/>
          <w:sz w:val="24"/>
        </w:rPr>
        <w:t>按（浙财采监〔2020〕3号）和《浙江省财政厅关于进一步发挥政府采购政策 功能全力推动经济稳进提质的通知》（浙财采监〔2022〕3号）</w:t>
      </w:r>
      <w:r>
        <w:rPr>
          <w:rFonts w:hint="eastAsia" w:ascii="仿宋" w:hAnsi="仿宋" w:eastAsia="仿宋" w:cs="仿宋"/>
          <w:bCs/>
          <w:color w:val="auto"/>
          <w:sz w:val="24"/>
          <w:lang w:val="en-US" w:eastAsia="zh-CN"/>
        </w:rPr>
        <w:t>等</w:t>
      </w:r>
      <w:r>
        <w:rPr>
          <w:rFonts w:hint="eastAsia" w:ascii="仿宋" w:hAnsi="仿宋" w:eastAsia="仿宋" w:cs="仿宋"/>
          <w:bCs/>
          <w:color w:val="auto"/>
          <w:sz w:val="24"/>
        </w:rPr>
        <w:t>文件要求执行，具体付款方式由双方协商后在合同中明确。</w:t>
      </w: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703"/>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ascii="仿宋" w:hAnsi="仿宋" w:eastAsia="仿宋" w:cs="仿宋"/>
          <w:color w:val="auto"/>
          <w:sz w:val="24"/>
        </w:rPr>
      </w:pPr>
    </w:p>
    <w:p>
      <w:pPr>
        <w:pStyle w:val="4"/>
        <w:rPr>
          <w:rFonts w:ascii="仿宋" w:eastAsia="仿宋" w:cs="仿宋"/>
          <w:color w:val="auto"/>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pPr>
        <w:pStyle w:val="600"/>
        <w:spacing w:before="120" w:line="22" w:lineRule="atLeast"/>
        <w:rPr>
          <w:rFonts w:ascii="仿宋" w:hAnsi="仿宋" w:eastAsia="仿宋" w:cs="仿宋"/>
          <w:color w:val="auto"/>
          <w:szCs w:val="24"/>
        </w:rPr>
      </w:pPr>
    </w:p>
    <w:p>
      <w:pPr>
        <w:pStyle w:val="600"/>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pPr>
        <w:rPr>
          <w:rFonts w:ascii="仿宋" w:hAnsi="仿宋" w:eastAsia="仿宋" w:cs="仿宋"/>
          <w:b/>
          <w:color w:val="auto"/>
          <w:sz w:val="24"/>
        </w:rPr>
      </w:pP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440" w:lineRule="exact"/>
        <w:ind w:firstLine="482" w:firstLineChars="200"/>
        <w:outlineLvl w:val="0"/>
        <w:rPr>
          <w:rFonts w:ascii="仿宋" w:hAnsi="仿宋" w:eastAsia="仿宋" w:cs="仿宋"/>
          <w:color w:val="auto"/>
          <w:sz w:val="24"/>
        </w:rPr>
      </w:pPr>
      <w:bookmarkStart w:id="35" w:name="_Toc28855"/>
      <w:bookmarkStart w:id="36" w:name="_Toc19273"/>
      <w:bookmarkStart w:id="37" w:name="_Toc20421"/>
      <w:bookmarkStart w:id="38" w:name="_Toc15367"/>
      <w:bookmarkStart w:id="39" w:name="_Toc22967"/>
      <w:r>
        <w:rPr>
          <w:rFonts w:hint="eastAsia" w:ascii="仿宋" w:hAnsi="仿宋" w:eastAsia="仿宋" w:cs="仿宋"/>
          <w:b/>
          <w:color w:val="auto"/>
          <w:sz w:val="24"/>
        </w:rPr>
        <w:t>1.1 合同组成部分</w:t>
      </w:r>
      <w:bookmarkEnd w:id="35"/>
      <w:bookmarkEnd w:id="36"/>
      <w:bookmarkEnd w:id="37"/>
      <w:bookmarkEnd w:id="38"/>
      <w:bookmarkEnd w:id="39"/>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440" w:lineRule="exact"/>
        <w:ind w:firstLine="482" w:firstLineChars="200"/>
        <w:outlineLvl w:val="0"/>
        <w:rPr>
          <w:rFonts w:ascii="仿宋" w:hAnsi="仿宋" w:eastAsia="仿宋" w:cs="仿宋"/>
          <w:b/>
          <w:color w:val="auto"/>
          <w:sz w:val="24"/>
        </w:rPr>
      </w:pPr>
      <w:bookmarkStart w:id="40" w:name="_Toc22185"/>
      <w:bookmarkStart w:id="41" w:name="_Toc6311"/>
      <w:bookmarkStart w:id="42" w:name="_Toc2918"/>
      <w:bookmarkStart w:id="43" w:name="_Toc18585"/>
      <w:bookmarkStart w:id="44" w:name="_Toc6773"/>
      <w:r>
        <w:rPr>
          <w:rFonts w:hint="eastAsia" w:ascii="仿宋" w:hAnsi="仿宋" w:eastAsia="仿宋" w:cs="仿宋"/>
          <w:b/>
          <w:color w:val="auto"/>
          <w:sz w:val="24"/>
        </w:rPr>
        <w:t>1.2 标的</w:t>
      </w:r>
      <w:bookmarkEnd w:id="40"/>
      <w:bookmarkEnd w:id="41"/>
      <w:bookmarkEnd w:id="42"/>
      <w:bookmarkEnd w:id="43"/>
      <w:bookmarkEnd w:id="44"/>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1.2.5合同（是/否）涉及货物。若涉及货物的，则：</w:t>
      </w:r>
    </w:p>
    <w:p>
      <w:pPr>
        <w:spacing w:line="440" w:lineRule="exact"/>
        <w:ind w:firstLine="480" w:firstLineChars="200"/>
        <w:rPr>
          <w:rFonts w:ascii="仿宋" w:hAnsi="仿宋" w:eastAsia="仿宋" w:cs="仿宋"/>
          <w:color w:val="auto"/>
          <w:sz w:val="24"/>
          <w:u w:val="single"/>
        </w:rPr>
      </w:pPr>
      <w:bookmarkStart w:id="45" w:name="_Toc21124"/>
      <w:bookmarkStart w:id="46" w:name="_Toc1386"/>
      <w:bookmarkStart w:id="47" w:name="_Toc13918"/>
      <w:bookmarkStart w:id="48" w:name="_Toc5635"/>
      <w:bookmarkStart w:id="49" w:name="_Toc4929"/>
      <w:r>
        <w:rPr>
          <w:rFonts w:hint="eastAsia" w:ascii="仿宋" w:hAnsi="仿宋" w:eastAsia="仿宋" w:cs="仿宋"/>
          <w:color w:val="auto"/>
          <w:sz w:val="24"/>
        </w:rPr>
        <w:t>1.2.5.1 货物名称、品牌、规格型号、花色：；</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5"/>
      <w:bookmarkEnd w:id="46"/>
      <w:bookmarkEnd w:id="47"/>
      <w:bookmarkEnd w:id="48"/>
      <w:bookmarkEnd w:id="49"/>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本项目采用以下第条款规定的计价方式计价。</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1.3.1总价合同，本合同总价（含税）为：￥元（大写：元人民币）。</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bl>
    <w:p>
      <w:pPr>
        <w:spacing w:line="440" w:lineRule="exact"/>
        <w:ind w:firstLine="480" w:firstLineChars="200"/>
        <w:rPr>
          <w:rFonts w:ascii="仿宋" w:hAnsi="仿宋" w:eastAsia="仿宋" w:cs="仿宋"/>
          <w:color w:val="auto"/>
          <w:sz w:val="24"/>
        </w:rPr>
      </w:pPr>
      <w:bookmarkStart w:id="50" w:name="_Toc30158"/>
      <w:bookmarkStart w:id="51" w:name="_Toc3654"/>
      <w:bookmarkStart w:id="52" w:name="_Toc30506"/>
      <w:bookmarkStart w:id="53" w:name="_Toc26916"/>
      <w:bookmarkStart w:id="54" w:name="_Toc14993"/>
      <w:r>
        <w:rPr>
          <w:rFonts w:hint="eastAsia" w:ascii="仿宋" w:hAnsi="仿宋" w:eastAsia="仿宋" w:cs="仿宋"/>
          <w:bCs/>
          <w:color w:val="auto"/>
          <w:sz w:val="24"/>
        </w:rPr>
        <w:t>1.3.2单价合同，本合同单价（含税）标准为：</w:t>
      </w:r>
      <w:r>
        <w:rPr>
          <w:rFonts w:hint="eastAsia" w:ascii="仿宋" w:hAnsi="仿宋" w:eastAsia="仿宋" w:cs="仿宋"/>
          <w:color w:val="auto"/>
          <w:sz w:val="24"/>
        </w:rPr>
        <w:t>。服务工作量的计量方式为：</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。单价合同，在合同履行期间内，根据实际完成的工作量据实结算，但结算总价上限不得超过预算金额或者双方确定的金额￥元（大写：元人民币）。</w:t>
      </w:r>
    </w:p>
    <w:p>
      <w:pPr>
        <w:pStyle w:val="4"/>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rPr>
        <w:t>。</w:t>
      </w:r>
    </w:p>
    <w:bookmarkEnd w:id="50"/>
    <w:bookmarkEnd w:id="51"/>
    <w:bookmarkEnd w:id="52"/>
    <w:bookmarkEnd w:id="53"/>
    <w:bookmarkEnd w:id="54"/>
    <w:p>
      <w:pPr>
        <w:pStyle w:val="960"/>
        <w:spacing w:before="0" w:beforeAutospacing="0" w:after="0" w:afterAutospacing="0" w:line="440" w:lineRule="exact"/>
        <w:ind w:firstLine="482" w:firstLineChars="200"/>
        <w:rPr>
          <w:rFonts w:ascii="仿宋" w:hAnsi="仿宋" w:eastAsia="仿宋" w:cs="仿宋"/>
          <w:b/>
          <w:color w:val="auto"/>
        </w:rPr>
      </w:pPr>
      <w:bookmarkStart w:id="55" w:name="_Toc22618"/>
      <w:bookmarkStart w:id="56" w:name="_Toc10340"/>
      <w:bookmarkStart w:id="57" w:name="_Toc1814"/>
      <w:bookmarkStart w:id="58" w:name="_Toc4760"/>
      <w:bookmarkStart w:id="59" w:name="_Toc3625"/>
      <w:bookmarkStart w:id="60" w:name="_Toc31421"/>
      <w:bookmarkStart w:id="61" w:name="_Toc11108"/>
      <w:bookmarkStart w:id="62" w:name="_Toc8772"/>
      <w:r>
        <w:rPr>
          <w:rFonts w:hint="eastAsia" w:ascii="仿宋" w:hAnsi="仿宋" w:eastAsia="仿宋" w:cs="仿宋"/>
          <w:b/>
          <w:color w:val="auto"/>
        </w:rPr>
        <w:t>1.4履约保证金</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4"/>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5"/>
      <w:bookmarkEnd w:id="56"/>
      <w:bookmarkEnd w:id="57"/>
      <w:r>
        <w:rPr>
          <w:rFonts w:hint="eastAsia" w:ascii="仿宋" w:hAnsi="仿宋" w:eastAsia="仿宋" w:cs="仿宋"/>
          <w:b/>
          <w:color w:val="auto"/>
          <w:sz w:val="24"/>
        </w:rPr>
        <w:t>预付款</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甲方（是/否）需要支付预付款。若需要支付预付款的，则：</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960"/>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960"/>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58"/>
      <w:bookmarkEnd w:id="59"/>
      <w:bookmarkEnd w:id="60"/>
      <w:bookmarkEnd w:id="61"/>
      <w:bookmarkEnd w:id="62"/>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outlineLvl w:val="0"/>
        <w:rPr>
          <w:rFonts w:ascii="仿宋" w:hAnsi="仿宋" w:eastAsia="仿宋" w:cs="仿宋"/>
          <w:bCs/>
          <w:color w:val="auto"/>
          <w:sz w:val="24"/>
        </w:rPr>
      </w:pPr>
      <w:bookmarkStart w:id="63" w:name="_Toc3079"/>
      <w:bookmarkStart w:id="64" w:name="_Toc8586"/>
      <w:bookmarkStart w:id="65" w:name="_Toc2375"/>
      <w:bookmarkStart w:id="66" w:name="_Toc5698"/>
      <w:bookmarkStart w:id="67" w:name="_Toc24662"/>
      <w:r>
        <w:rPr>
          <w:rFonts w:hint="eastAsia" w:ascii="仿宋" w:hAnsi="仿宋" w:eastAsia="仿宋" w:cs="仿宋"/>
          <w:bCs/>
          <w:color w:val="auto"/>
          <w:sz w:val="24"/>
        </w:rPr>
        <w:t>1.7.4若服务涉及货物的，则货物的：</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3"/>
      <w:bookmarkEnd w:id="64"/>
      <w:bookmarkEnd w:id="65"/>
      <w:bookmarkEnd w:id="66"/>
      <w:bookmarkEnd w:id="67"/>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rPr>
      </w:pPr>
      <w:bookmarkStart w:id="68" w:name="_Toc32454"/>
      <w:bookmarkStart w:id="69" w:name="_Toc26807"/>
      <w:bookmarkStart w:id="70" w:name="_Toc18683"/>
      <w:bookmarkStart w:id="71" w:name="_Toc9497"/>
      <w:bookmarkStart w:id="72" w:name="_Toc30329"/>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68"/>
    <w:bookmarkEnd w:id="69"/>
    <w:bookmarkEnd w:id="70"/>
    <w:bookmarkEnd w:id="71"/>
    <w:bookmarkEnd w:id="72"/>
    <w:p>
      <w:pPr>
        <w:spacing w:line="440" w:lineRule="exact"/>
        <w:ind w:firstLine="482" w:firstLineChars="200"/>
        <w:outlineLvl w:val="0"/>
        <w:rPr>
          <w:rFonts w:ascii="仿宋" w:hAnsi="仿宋" w:eastAsia="仿宋" w:cs="仿宋"/>
          <w:b/>
          <w:color w:val="auto"/>
          <w:sz w:val="24"/>
        </w:rPr>
      </w:pPr>
      <w:bookmarkStart w:id="73" w:name="_Toc16021"/>
      <w:bookmarkStart w:id="74" w:name="_Toc28375"/>
      <w:bookmarkStart w:id="75" w:name="_Toc15583"/>
      <w:r>
        <w:rPr>
          <w:rFonts w:hint="eastAsia" w:ascii="仿宋" w:hAnsi="仿宋" w:eastAsia="仿宋" w:cs="仿宋"/>
          <w:b/>
          <w:color w:val="auto"/>
          <w:sz w:val="24"/>
        </w:rPr>
        <w:t>1.9合同争议的解决</w:t>
      </w:r>
      <w:bookmarkEnd w:id="73"/>
      <w:bookmarkEnd w:id="74"/>
      <w:bookmarkEnd w:id="75"/>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440" w:lineRule="exact"/>
        <w:ind w:firstLine="482" w:firstLineChars="200"/>
        <w:outlineLvl w:val="0"/>
        <w:rPr>
          <w:rFonts w:ascii="仿宋" w:hAnsi="仿宋" w:eastAsia="仿宋" w:cs="仿宋"/>
          <w:b/>
          <w:color w:val="auto"/>
          <w:sz w:val="24"/>
        </w:rPr>
      </w:pPr>
      <w:bookmarkStart w:id="76" w:name="_Toc15322"/>
      <w:bookmarkStart w:id="77" w:name="_Toc7245"/>
      <w:bookmarkStart w:id="78" w:name="_Toc11173"/>
      <w:r>
        <w:rPr>
          <w:rFonts w:hint="eastAsia" w:ascii="仿宋" w:hAnsi="仿宋" w:eastAsia="仿宋" w:cs="仿宋"/>
          <w:b/>
          <w:color w:val="auto"/>
          <w:sz w:val="24"/>
        </w:rPr>
        <w:t>2.0 合同生效</w:t>
      </w:r>
      <w:bookmarkEnd w:id="76"/>
      <w:bookmarkEnd w:id="77"/>
      <w:bookmarkEnd w:id="78"/>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开户账号：开户账号：</w:t>
      </w:r>
    </w:p>
    <w:p>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pPr>
        <w:pStyle w:val="703"/>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ascii="仿宋" w:hAnsi="仿宋" w:eastAsia="仿宋" w:cs="仿宋"/>
          <w:b/>
          <w:color w:val="auto"/>
          <w:sz w:val="24"/>
        </w:rPr>
      </w:pPr>
      <w:bookmarkStart w:id="79" w:name="_Toc31297"/>
      <w:bookmarkStart w:id="80" w:name="_Toc19680"/>
      <w:bookmarkStart w:id="81" w:name="_Toc14021"/>
      <w:bookmarkStart w:id="82" w:name="_Toc5228"/>
      <w:bookmarkStart w:id="83" w:name="_Toc25079"/>
      <w:r>
        <w:rPr>
          <w:rFonts w:hint="eastAsia" w:ascii="仿宋" w:hAnsi="仿宋" w:eastAsia="仿宋" w:cs="仿宋"/>
          <w:b/>
          <w:color w:val="auto"/>
          <w:sz w:val="24"/>
        </w:rPr>
        <w:t>2.1 定义</w:t>
      </w:r>
      <w:bookmarkEnd w:id="79"/>
      <w:bookmarkEnd w:id="80"/>
      <w:bookmarkEnd w:id="81"/>
      <w:bookmarkEnd w:id="82"/>
      <w:bookmarkEnd w:id="8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ascii="仿宋" w:hAnsi="仿宋" w:eastAsia="仿宋" w:cs="仿宋"/>
          <w:b/>
          <w:color w:val="auto"/>
          <w:sz w:val="24"/>
        </w:rPr>
      </w:pPr>
      <w:bookmarkStart w:id="84" w:name="_Toc16752"/>
      <w:bookmarkStart w:id="85" w:name="_Toc23289"/>
      <w:bookmarkStart w:id="86" w:name="_Toc31402"/>
      <w:bookmarkStart w:id="87" w:name="_Toc19539"/>
      <w:bookmarkStart w:id="88" w:name="_Toc3769"/>
      <w:r>
        <w:rPr>
          <w:rFonts w:hint="eastAsia" w:ascii="仿宋" w:hAnsi="仿宋" w:eastAsia="仿宋" w:cs="仿宋"/>
          <w:b/>
          <w:color w:val="auto"/>
          <w:sz w:val="24"/>
        </w:rPr>
        <w:t>2.2 技术规范</w:t>
      </w:r>
      <w:bookmarkEnd w:id="84"/>
      <w:bookmarkEnd w:id="85"/>
      <w:bookmarkEnd w:id="86"/>
      <w:bookmarkEnd w:id="87"/>
      <w:bookmarkEnd w:id="8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89" w:name="_Toc9161"/>
      <w:bookmarkStart w:id="90" w:name="_Toc4133"/>
      <w:bookmarkStart w:id="91" w:name="_Toc27945"/>
      <w:bookmarkStart w:id="92" w:name="_Toc13673"/>
      <w:bookmarkStart w:id="93" w:name="_Toc12412"/>
      <w:r>
        <w:rPr>
          <w:rFonts w:hint="eastAsia" w:ascii="仿宋" w:hAnsi="仿宋" w:eastAsia="仿宋" w:cs="仿宋"/>
          <w:b/>
          <w:color w:val="auto"/>
          <w:sz w:val="24"/>
        </w:rPr>
        <w:t>2.3 知识产权</w:t>
      </w:r>
      <w:bookmarkEnd w:id="89"/>
      <w:bookmarkEnd w:id="90"/>
      <w:bookmarkEnd w:id="91"/>
      <w:bookmarkEnd w:id="92"/>
      <w:bookmarkEnd w:id="9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rPr>
      </w:pPr>
      <w:bookmarkStart w:id="94" w:name="_Toc32670"/>
      <w:bookmarkStart w:id="95" w:name="_Toc26555"/>
      <w:bookmarkStart w:id="96" w:name="_Toc31233"/>
      <w:bookmarkStart w:id="97" w:name="_Toc15447"/>
      <w:bookmarkStart w:id="98" w:name="_Toc22011"/>
      <w:r>
        <w:rPr>
          <w:rFonts w:hint="eastAsia" w:ascii="仿宋" w:hAnsi="仿宋" w:eastAsia="仿宋" w:cs="仿宋"/>
          <w:b/>
          <w:color w:val="auto"/>
          <w:sz w:val="24"/>
        </w:rPr>
        <w:t>2.5 结算方式和付款条件</w:t>
      </w:r>
      <w:bookmarkEnd w:id="94"/>
      <w:bookmarkEnd w:id="95"/>
      <w:bookmarkEnd w:id="96"/>
      <w:bookmarkEnd w:id="97"/>
      <w:bookmarkEnd w:id="9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99" w:name="_Toc13467"/>
      <w:bookmarkStart w:id="100" w:name="_Toc16163"/>
      <w:bookmarkStart w:id="101" w:name="_Toc18990"/>
      <w:bookmarkStart w:id="102" w:name="_Toc30507"/>
      <w:bookmarkStart w:id="103" w:name="_Toc13154"/>
      <w:r>
        <w:rPr>
          <w:rFonts w:hint="eastAsia" w:ascii="仿宋" w:hAnsi="仿宋" w:eastAsia="仿宋" w:cs="仿宋"/>
          <w:b/>
          <w:color w:val="auto"/>
          <w:sz w:val="24"/>
        </w:rPr>
        <w:t>2.6 技术资料和保密义务</w:t>
      </w:r>
      <w:bookmarkEnd w:id="99"/>
      <w:bookmarkEnd w:id="100"/>
      <w:bookmarkEnd w:id="101"/>
      <w:bookmarkEnd w:id="102"/>
      <w:bookmarkEnd w:id="10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04" w:name="_Toc19069"/>
      <w:r>
        <w:rPr>
          <w:rFonts w:hint="eastAsia" w:ascii="仿宋" w:hAnsi="仿宋" w:eastAsia="仿宋" w:cs="仿宋"/>
          <w:b/>
          <w:color w:val="auto"/>
          <w:sz w:val="24"/>
        </w:rPr>
        <w:t>2.7 质量保证</w:t>
      </w:r>
      <w:bookmarkEnd w:id="10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05" w:name="_Toc22267"/>
      <w:r>
        <w:rPr>
          <w:rFonts w:hint="eastAsia" w:ascii="仿宋" w:hAnsi="仿宋" w:eastAsia="仿宋" w:cs="仿宋"/>
          <w:b/>
          <w:color w:val="auto"/>
          <w:sz w:val="24"/>
        </w:rPr>
        <w:t>2.8 延迟履行</w:t>
      </w:r>
      <w:bookmarkEnd w:id="10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rPr>
      </w:pPr>
      <w:bookmarkStart w:id="106" w:name="_Toc10611"/>
      <w:r>
        <w:rPr>
          <w:rFonts w:hint="eastAsia" w:ascii="仿宋" w:hAnsi="仿宋" w:eastAsia="仿宋" w:cs="仿宋"/>
          <w:b/>
          <w:color w:val="auto"/>
          <w:sz w:val="24"/>
        </w:rPr>
        <w:t>2.9 合同变更</w:t>
      </w:r>
      <w:bookmarkEnd w:id="10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07" w:name="_Toc42"/>
      <w:bookmarkStart w:id="108" w:name="_Toc10663"/>
      <w:bookmarkStart w:id="109" w:name="_Toc21830"/>
      <w:bookmarkStart w:id="110" w:name="_Toc23368"/>
      <w:bookmarkStart w:id="111" w:name="_Toc26689"/>
      <w:r>
        <w:rPr>
          <w:rFonts w:hint="eastAsia" w:ascii="仿宋" w:hAnsi="仿宋" w:eastAsia="仿宋" w:cs="仿宋"/>
          <w:b/>
          <w:color w:val="auto"/>
          <w:sz w:val="24"/>
        </w:rPr>
        <w:t>2.10 合同转让和分包</w:t>
      </w:r>
      <w:bookmarkEnd w:id="107"/>
      <w:bookmarkEnd w:id="108"/>
      <w:bookmarkEnd w:id="109"/>
      <w:bookmarkEnd w:id="110"/>
      <w:bookmarkEnd w:id="11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rPr>
      </w:pPr>
      <w:bookmarkStart w:id="112" w:name="_Toc4720"/>
      <w:bookmarkStart w:id="113" w:name="_Toc32494"/>
      <w:bookmarkStart w:id="114" w:name="_Toc26633"/>
      <w:bookmarkStart w:id="115" w:name="_Toc14371"/>
      <w:bookmarkStart w:id="116" w:name="_Toc25571"/>
      <w:r>
        <w:rPr>
          <w:rFonts w:hint="eastAsia" w:ascii="仿宋" w:hAnsi="仿宋" w:eastAsia="仿宋" w:cs="仿宋"/>
          <w:b/>
          <w:color w:val="auto"/>
          <w:sz w:val="24"/>
        </w:rPr>
        <w:t>2.11 不可抗力</w:t>
      </w:r>
      <w:bookmarkEnd w:id="112"/>
      <w:bookmarkEnd w:id="113"/>
      <w:bookmarkEnd w:id="114"/>
      <w:bookmarkEnd w:id="115"/>
      <w:bookmarkEnd w:id="11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17" w:name="_Toc23854"/>
      <w:bookmarkStart w:id="118" w:name="_Toc24465"/>
      <w:bookmarkStart w:id="119" w:name="_Toc3638"/>
      <w:bookmarkStart w:id="120" w:name="_Toc25783"/>
      <w:bookmarkStart w:id="121" w:name="_Toc14115"/>
      <w:r>
        <w:rPr>
          <w:rFonts w:hint="eastAsia" w:ascii="仿宋" w:hAnsi="仿宋" w:eastAsia="仿宋" w:cs="仿宋"/>
          <w:b/>
          <w:color w:val="auto"/>
          <w:sz w:val="24"/>
        </w:rPr>
        <w:t>2.12 税费</w:t>
      </w:r>
      <w:bookmarkEnd w:id="117"/>
      <w:bookmarkEnd w:id="118"/>
      <w:bookmarkEnd w:id="119"/>
      <w:bookmarkEnd w:id="120"/>
      <w:bookmarkEnd w:id="12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rPr>
      </w:pPr>
      <w:bookmarkStart w:id="122" w:name="_Toc7315"/>
      <w:bookmarkStart w:id="123" w:name="_Toc26883"/>
      <w:bookmarkStart w:id="124" w:name="_Toc25525"/>
      <w:bookmarkStart w:id="125" w:name="_Toc30105"/>
      <w:bookmarkStart w:id="126" w:name="_Toc14814"/>
      <w:r>
        <w:rPr>
          <w:rFonts w:hint="eastAsia" w:ascii="仿宋" w:hAnsi="仿宋" w:eastAsia="仿宋" w:cs="仿宋"/>
          <w:b/>
          <w:color w:val="auto"/>
          <w:sz w:val="24"/>
        </w:rPr>
        <w:t>2.13 乙方破产</w:t>
      </w:r>
      <w:bookmarkEnd w:id="122"/>
      <w:bookmarkEnd w:id="123"/>
      <w:bookmarkEnd w:id="124"/>
      <w:bookmarkEnd w:id="125"/>
      <w:bookmarkEnd w:id="12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27" w:name="_Toc1123"/>
      <w:bookmarkStart w:id="128" w:name="_Toc2016"/>
      <w:bookmarkStart w:id="129" w:name="_Toc23323"/>
      <w:r>
        <w:rPr>
          <w:rFonts w:hint="eastAsia" w:ascii="仿宋" w:hAnsi="仿宋" w:eastAsia="仿宋" w:cs="仿宋"/>
          <w:b/>
          <w:color w:val="auto"/>
          <w:sz w:val="24"/>
        </w:rPr>
        <w:t>2.14 合同中止、终止</w:t>
      </w:r>
      <w:bookmarkEnd w:id="127"/>
      <w:bookmarkEnd w:id="128"/>
      <w:bookmarkEnd w:id="12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30" w:name="_Toc1969"/>
      <w:bookmarkStart w:id="131" w:name="_Toc14525"/>
      <w:bookmarkStart w:id="132" w:name="_Toc17363"/>
      <w:r>
        <w:rPr>
          <w:rFonts w:hint="eastAsia" w:ascii="仿宋" w:hAnsi="仿宋" w:eastAsia="仿宋" w:cs="仿宋"/>
          <w:b/>
          <w:color w:val="auto"/>
          <w:sz w:val="24"/>
        </w:rPr>
        <w:t>2.15 检验和验收</w:t>
      </w:r>
      <w:bookmarkEnd w:id="130"/>
      <w:bookmarkEnd w:id="131"/>
      <w:bookmarkEnd w:id="132"/>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ascii="仿宋" w:hAnsi="仿宋" w:eastAsia="仿宋" w:cs="仿宋"/>
          <w:b/>
          <w:color w:val="auto"/>
          <w:sz w:val="24"/>
        </w:rPr>
      </w:pPr>
      <w:bookmarkStart w:id="133" w:name="_Toc25198"/>
      <w:bookmarkStart w:id="134" w:name="_Toc12666"/>
      <w:bookmarkStart w:id="135" w:name="_Toc31892"/>
      <w:bookmarkStart w:id="136" w:name="_Toc2308"/>
      <w:bookmarkStart w:id="137" w:name="_Toc9808"/>
      <w:r>
        <w:rPr>
          <w:rFonts w:hint="eastAsia" w:ascii="仿宋" w:hAnsi="仿宋" w:eastAsia="仿宋" w:cs="仿宋"/>
          <w:b/>
          <w:color w:val="auto"/>
          <w:sz w:val="24"/>
        </w:rPr>
        <w:t>2.16 通知和送达</w:t>
      </w:r>
      <w:bookmarkEnd w:id="133"/>
      <w:bookmarkEnd w:id="134"/>
      <w:bookmarkEnd w:id="135"/>
      <w:bookmarkEnd w:id="136"/>
      <w:bookmarkEnd w:id="137"/>
    </w:p>
    <w:p>
      <w:pPr>
        <w:spacing w:line="560" w:lineRule="exact"/>
        <w:ind w:firstLine="480" w:firstLineChars="200"/>
        <w:rPr>
          <w:rFonts w:ascii="仿宋" w:hAnsi="仿宋" w:eastAsia="仿宋" w:cs="仿宋"/>
          <w:color w:val="auto"/>
          <w:sz w:val="24"/>
        </w:rPr>
      </w:pPr>
      <w:bookmarkStart w:id="138" w:name="_Toc18401"/>
      <w:bookmarkStart w:id="139" w:name="_Toc27674"/>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8"/>
      <w:bookmarkEnd w:id="139"/>
    </w:p>
    <w:p>
      <w:pPr>
        <w:spacing w:line="560" w:lineRule="exact"/>
        <w:ind w:firstLine="482" w:firstLineChars="200"/>
        <w:outlineLvl w:val="0"/>
        <w:rPr>
          <w:rFonts w:ascii="仿宋" w:hAnsi="仿宋" w:eastAsia="仿宋" w:cs="仿宋"/>
          <w:b/>
          <w:color w:val="auto"/>
          <w:sz w:val="24"/>
        </w:rPr>
      </w:pPr>
      <w:bookmarkStart w:id="140" w:name="_Toc28906"/>
      <w:bookmarkStart w:id="141" w:name="_Toc20808"/>
      <w:bookmarkStart w:id="142" w:name="_Toc5063"/>
      <w:bookmarkStart w:id="143" w:name="_Toc27644"/>
      <w:bookmarkStart w:id="144" w:name="_Toc12254"/>
      <w:r>
        <w:rPr>
          <w:rFonts w:hint="eastAsia" w:ascii="仿宋" w:hAnsi="仿宋" w:eastAsia="仿宋" w:cs="仿宋"/>
          <w:b/>
          <w:color w:val="auto"/>
          <w:sz w:val="24"/>
        </w:rPr>
        <w:t>2.17 合同使用的文字和适用的法律</w:t>
      </w:r>
      <w:bookmarkEnd w:id="140"/>
      <w:bookmarkEnd w:id="141"/>
      <w:bookmarkEnd w:id="142"/>
      <w:bookmarkEnd w:id="143"/>
      <w:bookmarkEnd w:id="14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ascii="仿宋" w:hAnsi="仿宋" w:eastAsia="仿宋" w:cs="仿宋"/>
          <w:b/>
          <w:color w:val="auto"/>
          <w:sz w:val="24"/>
        </w:rPr>
      </w:pPr>
      <w:bookmarkStart w:id="145" w:name="_Toc30599"/>
      <w:bookmarkStart w:id="146" w:name="_Toc18540"/>
      <w:bookmarkStart w:id="147" w:name="_Toc4355"/>
      <w:r>
        <w:rPr>
          <w:rFonts w:hint="eastAsia" w:ascii="仿宋" w:hAnsi="仿宋" w:eastAsia="仿宋" w:cs="仿宋"/>
          <w:b/>
          <w:color w:val="auto"/>
          <w:sz w:val="24"/>
        </w:rPr>
        <w:t>2.18 计量单位</w:t>
      </w:r>
      <w:bookmarkEnd w:id="145"/>
      <w:bookmarkEnd w:id="146"/>
      <w:bookmarkEnd w:id="14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48" w:name="_Toc18567"/>
      <w:bookmarkStart w:id="149" w:name="_Toc487900373"/>
      <w:bookmarkStart w:id="150" w:name="_Toc10330"/>
      <w:bookmarkStart w:id="151" w:name="_Toc279701263"/>
      <w:bookmarkStart w:id="152" w:name="_Toc259093692"/>
      <w:bookmarkStart w:id="153" w:name="_Toc12773"/>
      <w:r>
        <w:rPr>
          <w:rFonts w:hint="eastAsia" w:ascii="仿宋" w:hAnsi="仿宋" w:eastAsia="仿宋" w:cs="仿宋"/>
          <w:b/>
          <w:color w:val="auto"/>
          <w:sz w:val="24"/>
        </w:rPr>
        <w:t>2.19 合同使用的文字和适用的法律</w:t>
      </w:r>
      <w:bookmarkEnd w:id="148"/>
      <w:bookmarkEnd w:id="149"/>
      <w:bookmarkEnd w:id="150"/>
      <w:bookmarkEnd w:id="151"/>
      <w:bookmarkEnd w:id="152"/>
      <w:bookmarkEnd w:id="15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4" w:name="_Toc331685784"/>
      <w:bookmarkEnd w:id="154"/>
      <w:r>
        <w:rPr>
          <w:rFonts w:hint="eastAsia" w:ascii="仿宋" w:hAnsi="仿宋" w:eastAsia="仿宋" w:cs="仿宋"/>
          <w:b/>
          <w:color w:val="auto"/>
          <w:sz w:val="24"/>
        </w:rPr>
        <w:t>第三部分  合同专用条款</w:t>
      </w:r>
    </w:p>
    <w:p>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pPr>
              <w:spacing w:line="360" w:lineRule="auto"/>
              <w:rPr>
                <w:rFonts w:ascii="仿宋" w:hAnsi="仿宋" w:eastAsia="仿宋" w:cs="仿宋"/>
                <w:color w:val="auto"/>
                <w:sz w:val="24"/>
              </w:rPr>
            </w:pPr>
          </w:p>
        </w:tc>
      </w:tr>
    </w:tbl>
    <w:p>
      <w:pPr>
        <w:spacing w:line="360" w:lineRule="auto"/>
        <w:jc w:val="center"/>
        <w:rPr>
          <w:rFonts w:ascii="仿宋" w:hAnsi="仿宋" w:eastAsia="仿宋" w:cs="仿宋"/>
          <w:b/>
          <w:color w:val="auto"/>
          <w:sz w:val="36"/>
          <w:szCs w:val="36"/>
        </w:rPr>
      </w:pP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b/>
          <w:color w:val="auto"/>
          <w:sz w:val="36"/>
          <w:szCs w:val="20"/>
        </w:rPr>
      </w:pPr>
      <w:r>
        <w:rPr>
          <w:rFonts w:hint="eastAsia" w:ascii="仿宋" w:hAnsi="仿宋" w:eastAsia="仿宋" w:cs="仿宋"/>
          <w:b/>
          <w:color w:val="auto"/>
          <w:sz w:val="24"/>
        </w:rPr>
        <w:t>2.评分标准：</w:t>
      </w:r>
      <w:r>
        <w:rPr>
          <w:rFonts w:hint="eastAsia" w:ascii="仿宋" w:hAnsi="仿宋" w:eastAsia="仿宋" w:cs="仿宋"/>
          <w:color w:val="auto"/>
          <w:sz w:val="24"/>
        </w:rPr>
        <w:t>总分100分，其中标商务技术分7</w:t>
      </w:r>
      <w:r>
        <w:rPr>
          <w:rFonts w:hint="eastAsia" w:ascii="仿宋" w:hAnsi="仿宋" w:eastAsia="仿宋" w:cs="仿宋"/>
          <w:color w:val="auto"/>
          <w:sz w:val="24"/>
          <w:u w:val="single"/>
        </w:rPr>
        <w:t>0</w:t>
      </w:r>
      <w:r>
        <w:rPr>
          <w:rFonts w:hint="eastAsia" w:ascii="仿宋" w:hAnsi="仿宋" w:eastAsia="仿宋" w:cs="仿宋"/>
          <w:color w:val="auto"/>
          <w:sz w:val="24"/>
        </w:rPr>
        <w:t>分，价格分3</w:t>
      </w:r>
      <w:r>
        <w:rPr>
          <w:rFonts w:hint="eastAsia" w:ascii="仿宋" w:hAnsi="仿宋" w:eastAsia="仿宋" w:cs="仿宋"/>
          <w:color w:val="auto"/>
          <w:sz w:val="24"/>
          <w:u w:val="single"/>
        </w:rPr>
        <w:t>0</w:t>
      </w:r>
      <w:r>
        <w:rPr>
          <w:rFonts w:hint="eastAsia" w:ascii="仿宋" w:hAnsi="仿宋" w:eastAsia="仿宋" w:cs="仿宋"/>
          <w:color w:val="auto"/>
          <w:sz w:val="24"/>
        </w:rPr>
        <w:t>分。下述所列为评分依据，分值如下（计算分值时，按其算术平均值保留小数2位）。</w:t>
      </w:r>
    </w:p>
    <w:p>
      <w:pPr>
        <w:widowControl/>
        <w:snapToGrid w:val="0"/>
        <w:spacing w:line="480" w:lineRule="exact"/>
        <w:rPr>
          <w:rFonts w:ascii="仿宋" w:hAnsi="仿宋" w:eastAsia="仿宋" w:cs="仿宋"/>
          <w:b/>
          <w:bCs/>
          <w:color w:val="auto"/>
          <w:kern w:val="0"/>
          <w:sz w:val="24"/>
        </w:rPr>
      </w:pPr>
      <w:r>
        <w:rPr>
          <w:rFonts w:hint="eastAsia" w:ascii="仿宋" w:hAnsi="仿宋" w:eastAsia="仿宋" w:cs="仿宋"/>
          <w:b/>
          <w:bCs/>
          <w:iCs/>
          <w:color w:val="auto"/>
          <w:sz w:val="24"/>
        </w:rPr>
        <w:t xml:space="preserve">2.1 </w:t>
      </w:r>
      <w:r>
        <w:rPr>
          <w:rFonts w:hint="eastAsia" w:ascii="仿宋" w:hAnsi="仿宋" w:eastAsia="仿宋" w:cs="仿宋"/>
          <w:b/>
          <w:bCs/>
          <w:color w:val="auto"/>
          <w:kern w:val="0"/>
          <w:sz w:val="24"/>
        </w:rPr>
        <w:t>商务技术分：70分</w:t>
      </w:r>
    </w:p>
    <w:tbl>
      <w:tblPr>
        <w:tblStyle w:val="63"/>
        <w:tblW w:w="8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36"/>
        <w:gridCol w:w="603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序号</w:t>
            </w:r>
          </w:p>
        </w:tc>
        <w:tc>
          <w:tcPr>
            <w:tcW w:w="1236" w:type="dxa"/>
            <w:vAlign w:val="center"/>
          </w:tcPr>
          <w:p>
            <w:pPr>
              <w:widowControl/>
              <w:spacing w:line="24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评分内容</w:t>
            </w:r>
          </w:p>
        </w:tc>
        <w:tc>
          <w:tcPr>
            <w:tcW w:w="6036" w:type="dxa"/>
            <w:vAlign w:val="center"/>
          </w:tcPr>
          <w:p>
            <w:pPr>
              <w:widowControl/>
              <w:spacing w:line="24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评审细则</w:t>
            </w:r>
          </w:p>
        </w:tc>
        <w:tc>
          <w:tcPr>
            <w:tcW w:w="816" w:type="dxa"/>
            <w:vAlign w:val="center"/>
          </w:tcPr>
          <w:p>
            <w:pPr>
              <w:widowControl/>
              <w:spacing w:line="24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基本技术</w:t>
            </w:r>
          </w:p>
        </w:tc>
        <w:tc>
          <w:tcPr>
            <w:tcW w:w="6036" w:type="dxa"/>
            <w:vAlign w:val="center"/>
          </w:tcPr>
          <w:p>
            <w:pPr>
              <w:numPr>
                <w:ilvl w:val="0"/>
                <w:numId w:val="0"/>
              </w:numPr>
              <w:snapToGrid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技术参数响应情况：对应于招标文件第三部分招标项目范围及要求——</w:t>
            </w:r>
            <w:r>
              <w:rPr>
                <w:rFonts w:hint="eastAsia" w:ascii="仿宋" w:hAnsi="仿宋" w:eastAsia="仿宋" w:cs="仿宋"/>
                <w:color w:val="auto"/>
                <w:sz w:val="24"/>
                <w:szCs w:val="24"/>
                <w:lang w:val="en-US" w:eastAsia="zh-CN"/>
              </w:rPr>
              <w:t>1.招标项目名称及数量：——一、招标内容及需求——“1.3.1</w:t>
            </w:r>
            <w:r>
              <w:rPr>
                <w:rFonts w:hint="eastAsia" w:ascii="仿宋" w:hAnsi="仿宋" w:eastAsia="仿宋" w:cs="仿宋"/>
                <w:color w:val="auto"/>
                <w:sz w:val="24"/>
                <w:szCs w:val="24"/>
                <w:lang w:val="en-US" w:eastAsia="zh-CN"/>
              </w:rPr>
              <w:t>医技报告归档系统采购项目</w:t>
            </w:r>
            <w:r>
              <w:rPr>
                <w:rFonts w:hint="eastAsia" w:ascii="仿宋" w:hAnsi="仿宋" w:eastAsia="仿宋" w:cs="仿宋"/>
                <w:color w:val="auto"/>
                <w:sz w:val="24"/>
                <w:szCs w:val="24"/>
                <w:lang w:val="en-US" w:eastAsia="zh-CN"/>
              </w:rPr>
              <w:t>功能模块及其它要求”</w:t>
            </w:r>
            <w:r>
              <w:rPr>
                <w:rFonts w:hint="eastAsia" w:ascii="仿宋" w:hAnsi="仿宋" w:eastAsia="仿宋" w:cs="仿宋"/>
                <w:color w:val="auto"/>
                <w:sz w:val="24"/>
                <w:szCs w:val="24"/>
                <w:lang w:val="en-US" w:eastAsia="zh-CN"/>
              </w:rPr>
              <w:t>表格中各项，完全满足指标参数得</w:t>
            </w:r>
            <w:r>
              <w:rPr>
                <w:rFonts w:hint="eastAsia" w:ascii="仿宋" w:hAnsi="仿宋" w:eastAsia="仿宋" w:cs="仿宋"/>
                <w:color w:val="auto"/>
                <w:sz w:val="24"/>
                <w:szCs w:val="24"/>
                <w:lang w:val="en-US" w:eastAsia="zh-CN"/>
              </w:rPr>
              <w:t>36分。打“▲”为主要性能指标，每有一项负偏离扣3</w:t>
            </w:r>
            <w:bookmarkStart w:id="160" w:name="_GoBack"/>
            <w:bookmarkEnd w:id="160"/>
            <w:r>
              <w:rPr>
                <w:rFonts w:hint="eastAsia" w:ascii="仿宋" w:hAnsi="仿宋" w:eastAsia="仿宋" w:cs="仿宋"/>
                <w:color w:val="auto"/>
                <w:sz w:val="24"/>
                <w:szCs w:val="24"/>
                <w:lang w:val="en-US" w:eastAsia="zh-CN"/>
              </w:rPr>
              <w:t>分；其他指标，每有一项负偏离扣1分，扣完为止。</w:t>
            </w:r>
          </w:p>
        </w:tc>
        <w:tc>
          <w:tcPr>
            <w:tcW w:w="816" w:type="dxa"/>
            <w:vAlign w:val="center"/>
          </w:tcPr>
          <w:p>
            <w:pPr>
              <w:widowControl/>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企业资质认证及人员资质</w:t>
            </w:r>
          </w:p>
        </w:tc>
        <w:tc>
          <w:tcPr>
            <w:tcW w:w="6036" w:type="dxa"/>
            <w:vAlign w:val="center"/>
          </w:tcPr>
          <w:p>
            <w:pPr>
              <w:numPr>
                <w:ilvl w:val="0"/>
                <w:numId w:val="0"/>
              </w:numPr>
              <w:snapToGrid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lang w:val="en-US" w:eastAsia="zh-CN"/>
              </w:rPr>
              <w:t>投标人提供</w:t>
            </w:r>
            <w:r>
              <w:rPr>
                <w:rFonts w:hint="eastAsia" w:ascii="仿宋" w:hAnsi="仿宋" w:eastAsia="仿宋" w:cs="仿宋"/>
                <w:color w:val="auto"/>
                <w:sz w:val="24"/>
                <w:szCs w:val="24"/>
                <w:lang w:val="en-US" w:eastAsia="zh-CN"/>
              </w:rPr>
              <w:t>所投产品医技报告归档相关系统软件著作权，得1分，不提供不得分。</w:t>
            </w:r>
          </w:p>
          <w:p>
            <w:pPr>
              <w:numPr>
                <w:ilvl w:val="0"/>
                <w:numId w:val="0"/>
              </w:numPr>
              <w:snapToGrid w:val="0"/>
              <w:spacing w:line="240" w:lineRule="auto"/>
              <w:rPr>
                <w:rFonts w:hint="default"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投标人拟派项目负责人具备高级工程师（软件信息相关）得1分，不提供不得分。</w:t>
            </w:r>
          </w:p>
          <w:p>
            <w:pPr>
              <w:numPr>
                <w:ilvl w:val="0"/>
                <w:numId w:val="0"/>
              </w:numPr>
              <w:snapToGrid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3、投标人具有有效的ISO27001信息安全管理体系认证、ISO20000信息技术服务管理体系认证,每个得1分，最多得2分。</w:t>
            </w:r>
          </w:p>
          <w:p>
            <w:pPr>
              <w:numPr>
                <w:ilvl w:val="0"/>
                <w:numId w:val="0"/>
              </w:numPr>
              <w:snapToGrid w:val="0"/>
              <w:spacing w:line="240" w:lineRule="auto"/>
              <w:rPr>
                <w:rFonts w:hint="eastAsia" w:ascii="仿宋" w:hAnsi="仿宋" w:eastAsia="仿宋" w:cs="仿宋"/>
                <w:color w:val="auto"/>
                <w:sz w:val="24"/>
                <w:szCs w:val="24"/>
                <w:lang w:val="zh-CN" w:eastAsia="zh-CN"/>
              </w:rPr>
            </w:pPr>
            <w:r>
              <w:rPr>
                <w:rFonts w:hint="eastAsia" w:ascii="仿宋" w:hAnsi="仿宋" w:eastAsia="仿宋" w:cs="仿宋"/>
                <w:color w:val="auto"/>
                <w:kern w:val="2"/>
                <w:sz w:val="24"/>
                <w:szCs w:val="24"/>
                <w:lang w:val="en-US" w:eastAsia="zh-CN" w:bidi="ar-SA"/>
              </w:rPr>
              <w:t>4</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sz w:val="24"/>
                <w:szCs w:val="24"/>
                <w:lang w:val="en-US" w:eastAsia="zh-CN"/>
              </w:rPr>
              <w:t>注：须提供相关证书复印件加盖投标人公章，未提供不得分。</w:t>
            </w:r>
          </w:p>
        </w:tc>
        <w:tc>
          <w:tcPr>
            <w:tcW w:w="816" w:type="dxa"/>
            <w:vAlign w:val="center"/>
          </w:tcPr>
          <w:p>
            <w:pPr>
              <w:widowControl/>
              <w:spacing w:line="240" w:lineRule="auto"/>
              <w:ind w:firstLine="120" w:firstLineChars="5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项目案例</w:t>
            </w:r>
          </w:p>
        </w:tc>
        <w:tc>
          <w:tcPr>
            <w:tcW w:w="6036" w:type="dxa"/>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供应商自2021年1月1日以来（以合同签订时间为准）完成的同类案例，每有1个得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分，满分</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rPr>
              <w:t>注：每个案例提供合同复印件加盖供应商公章。</w:t>
            </w:r>
          </w:p>
        </w:tc>
        <w:tc>
          <w:tcPr>
            <w:tcW w:w="816" w:type="dxa"/>
            <w:vAlign w:val="center"/>
          </w:tcPr>
          <w:p>
            <w:pPr>
              <w:widowControl/>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236" w:type="dxa"/>
            <w:vAlign w:val="center"/>
          </w:tcPr>
          <w:p>
            <w:pPr>
              <w:pStyle w:val="28"/>
              <w:spacing w:line="240" w:lineRule="auto"/>
              <w:ind w:left="195" w:leftChars="93"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总体设计方案</w:t>
            </w:r>
            <w:r>
              <w:rPr>
                <w:rFonts w:hint="eastAsia" w:ascii="仿宋" w:hAnsi="仿宋" w:eastAsia="仿宋" w:cs="仿宋"/>
                <w:color w:val="auto"/>
                <w:sz w:val="24"/>
                <w:szCs w:val="24"/>
                <w:lang w:val="en-US" w:eastAsia="zh-CN"/>
              </w:rPr>
              <w:t xml:space="preserve"> </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rPr>
              <w:t>根据投标人针对项目实际情况提供的项目质量保障控制原则、质量检查流程，操作切实可行等方面进行打分，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不符合或不提供的不得分。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236" w:type="dxa"/>
            <w:vMerge w:val="restart"/>
            <w:vAlign w:val="center"/>
          </w:tcPr>
          <w:p>
            <w:pPr>
              <w:widowControl/>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技术方案</w:t>
            </w:r>
          </w:p>
          <w:p>
            <w:pPr>
              <w:widowControl/>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 xml:space="preserve"> </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rPr>
              <w:t>根据投标人提供的整体技术方案合理性，所采用技术先进性</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性能稳定性等方面进行打分，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不符合或不提供的不得分。</w:t>
            </w:r>
          </w:p>
        </w:tc>
        <w:tc>
          <w:tcPr>
            <w:tcW w:w="816" w:type="dxa"/>
            <w:vAlign w:val="center"/>
          </w:tcPr>
          <w:p>
            <w:pPr>
              <w:widowControl/>
              <w:spacing w:line="240" w:lineRule="auto"/>
              <w:ind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236" w:type="dxa"/>
            <w:vMerge w:val="continue"/>
            <w:vAlign w:val="center"/>
          </w:tcPr>
          <w:p>
            <w:pPr>
              <w:widowControl/>
              <w:spacing w:line="240" w:lineRule="auto"/>
              <w:jc w:val="center"/>
              <w:rPr>
                <w:rFonts w:hint="eastAsia" w:ascii="仿宋" w:hAnsi="仿宋" w:eastAsia="仿宋" w:cs="仿宋"/>
                <w:color w:val="auto"/>
                <w:sz w:val="24"/>
                <w:szCs w:val="24"/>
              </w:rPr>
            </w:pP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rPr>
              <w:t>投标人提供能够充分利用医院现有信息化资源与其他系统的集成，详细阐述了系统集成的总体原则、集成效果、集成流程图文说明的系统集成方案，得</w:t>
            </w:r>
            <w:r>
              <w:rPr>
                <w:rFonts w:hint="eastAsia" w:ascii="仿宋" w:hAnsi="仿宋" w:eastAsia="仿宋" w:cs="仿宋"/>
                <w:color w:val="auto"/>
                <w:kern w:val="0"/>
                <w:sz w:val="24"/>
                <w:szCs w:val="24"/>
                <w:lang w:val="en-US" w:eastAsia="zh-CN"/>
              </w:rPr>
              <w:t>0-</w:t>
            </w:r>
            <w:r>
              <w:rPr>
                <w:rFonts w:hint="eastAsia" w:ascii="仿宋" w:hAnsi="仿宋" w:eastAsia="仿宋" w:cs="仿宋"/>
                <w:color w:val="auto"/>
                <w:kern w:val="0"/>
                <w:sz w:val="24"/>
                <w:szCs w:val="24"/>
              </w:rPr>
              <w:t>3分。不符合或不提供的不得分。</w:t>
            </w:r>
          </w:p>
        </w:tc>
        <w:tc>
          <w:tcPr>
            <w:tcW w:w="816" w:type="dxa"/>
            <w:vAlign w:val="center"/>
          </w:tcPr>
          <w:p>
            <w:pPr>
              <w:widowControl/>
              <w:spacing w:line="240" w:lineRule="auto"/>
              <w:ind w:firstLine="240" w:firstLineChars="1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施工组织方案</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rPr>
              <w:t>根据投标人提供的针对本项目的工期响应、技术服务、技术支持以及对本项目人员配置、</w:t>
            </w:r>
            <w:r>
              <w:rPr>
                <w:rFonts w:hint="eastAsia" w:ascii="仿宋" w:hAnsi="仿宋" w:eastAsia="仿宋" w:cs="仿宋"/>
                <w:color w:val="auto"/>
                <w:sz w:val="24"/>
                <w:szCs w:val="24"/>
              </w:rPr>
              <w:t>验收可操作性与</w:t>
            </w:r>
            <w:r>
              <w:rPr>
                <w:rFonts w:hint="eastAsia" w:ascii="仿宋" w:hAnsi="仿宋" w:eastAsia="仿宋" w:cs="仿宋"/>
                <w:color w:val="auto"/>
                <w:kern w:val="0"/>
                <w:sz w:val="24"/>
                <w:szCs w:val="24"/>
              </w:rPr>
              <w:t>相关承诺等方面进行打分，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kern w:val="0"/>
                <w:sz w:val="24"/>
                <w:szCs w:val="24"/>
              </w:rPr>
              <w:t>不符合或不提供的不得分。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23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质保期优惠</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lang w:eastAsia="zh-CN"/>
              </w:rPr>
              <w:t>本项目系统</w:t>
            </w:r>
            <w:r>
              <w:rPr>
                <w:rFonts w:hint="eastAsia" w:ascii="仿宋" w:hAnsi="仿宋" w:eastAsia="仿宋" w:cs="仿宋"/>
                <w:color w:val="auto"/>
                <w:kern w:val="0"/>
                <w:sz w:val="24"/>
                <w:szCs w:val="24"/>
              </w:rPr>
              <w:t>在满足免费质保期1年的基础上，额外每增加一年得</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分，最高不超过</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接口</w:t>
            </w:r>
            <w:r>
              <w:rPr>
                <w:rFonts w:hint="eastAsia" w:ascii="仿宋" w:hAnsi="仿宋" w:eastAsia="仿宋" w:cs="仿宋"/>
                <w:color w:val="auto"/>
                <w:sz w:val="24"/>
                <w:szCs w:val="24"/>
              </w:rPr>
              <w:t>源代码</w:t>
            </w:r>
          </w:p>
        </w:tc>
        <w:tc>
          <w:tcPr>
            <w:tcW w:w="6036" w:type="dxa"/>
            <w:vAlign w:val="center"/>
          </w:tcPr>
          <w:p>
            <w:pPr>
              <w:widowControl/>
              <w:spacing w:line="240" w:lineRule="auto"/>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提</w:t>
            </w:r>
            <w:r>
              <w:rPr>
                <w:rFonts w:hint="eastAsia" w:ascii="仿宋" w:hAnsi="仿宋" w:eastAsia="仿宋" w:cs="仿宋"/>
                <w:color w:val="auto"/>
                <w:kern w:val="0"/>
                <w:sz w:val="24"/>
                <w:szCs w:val="24"/>
              </w:rPr>
              <w:t>供</w:t>
            </w:r>
            <w:r>
              <w:rPr>
                <w:rFonts w:hint="eastAsia" w:ascii="仿宋" w:hAnsi="仿宋" w:eastAsia="仿宋" w:cs="仿宋"/>
                <w:color w:val="auto"/>
                <w:kern w:val="0"/>
                <w:sz w:val="24"/>
                <w:szCs w:val="24"/>
                <w:lang w:val="en-US" w:eastAsia="zh-CN"/>
              </w:rPr>
              <w:t>本</w:t>
            </w:r>
            <w:r>
              <w:rPr>
                <w:rFonts w:hint="eastAsia" w:ascii="仿宋" w:hAnsi="仿宋" w:eastAsia="仿宋" w:cs="仿宋"/>
                <w:color w:val="auto"/>
                <w:kern w:val="0"/>
                <w:sz w:val="24"/>
                <w:szCs w:val="24"/>
              </w:rPr>
              <w:t>项</w:t>
            </w:r>
            <w:r>
              <w:rPr>
                <w:rFonts w:hint="eastAsia" w:ascii="仿宋" w:hAnsi="仿宋" w:eastAsia="仿宋" w:cs="仿宋"/>
                <w:color w:val="auto"/>
                <w:kern w:val="0"/>
                <w:sz w:val="24"/>
                <w:szCs w:val="24"/>
              </w:rPr>
              <w:t>目</w:t>
            </w:r>
            <w:r>
              <w:rPr>
                <w:rFonts w:hint="eastAsia" w:ascii="仿宋" w:hAnsi="仿宋" w:eastAsia="仿宋" w:cs="仿宋"/>
                <w:color w:val="auto"/>
                <w:sz w:val="24"/>
                <w:szCs w:val="24"/>
                <w:lang w:eastAsia="zh-CN"/>
              </w:rPr>
              <w:t>接口</w:t>
            </w:r>
            <w:r>
              <w:rPr>
                <w:rFonts w:hint="eastAsia" w:ascii="仿宋" w:hAnsi="仿宋" w:eastAsia="仿宋" w:cs="仿宋"/>
                <w:color w:val="auto"/>
                <w:kern w:val="0"/>
                <w:sz w:val="24"/>
                <w:szCs w:val="24"/>
              </w:rPr>
              <w:t>源代码，并承诺源代码可编译并能正常运行得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分，不提供不得分。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售后</w:t>
            </w:r>
            <w:r>
              <w:rPr>
                <w:rFonts w:hint="eastAsia" w:ascii="仿宋" w:hAnsi="仿宋" w:eastAsia="仿宋" w:cs="仿宋"/>
                <w:color w:val="auto"/>
                <w:sz w:val="24"/>
                <w:szCs w:val="24"/>
              </w:rPr>
              <w:t>服务</w:t>
            </w:r>
          </w:p>
          <w:p>
            <w:pPr>
              <w:widowControl/>
              <w:spacing w:line="240" w:lineRule="auto"/>
              <w:jc w:val="center"/>
              <w:rPr>
                <w:rFonts w:hint="eastAsia" w:ascii="仿宋" w:hAnsi="仿宋" w:eastAsia="仿宋" w:cs="仿宋"/>
                <w:color w:val="auto"/>
                <w:sz w:val="24"/>
                <w:szCs w:val="24"/>
              </w:rPr>
            </w:pPr>
          </w:p>
        </w:tc>
        <w:tc>
          <w:tcPr>
            <w:tcW w:w="6036" w:type="dxa"/>
            <w:vAlign w:val="center"/>
          </w:tcPr>
          <w:p>
            <w:pPr>
              <w:widowControl/>
              <w:spacing w:line="240" w:lineRule="auto"/>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投标人能否有技术和能力提供售后服务：</w:t>
            </w:r>
            <w:r>
              <w:rPr>
                <w:rFonts w:hint="eastAsia" w:ascii="仿宋" w:hAnsi="仿宋" w:eastAsia="仿宋" w:cs="仿宋"/>
                <w:color w:val="auto"/>
                <w:kern w:val="0"/>
                <w:sz w:val="24"/>
                <w:szCs w:val="24"/>
                <w:lang w:eastAsia="zh-CN"/>
              </w:rPr>
              <w:t>得</w:t>
            </w:r>
            <w:r>
              <w:rPr>
                <w:rFonts w:hint="eastAsia" w:ascii="仿宋" w:hAnsi="仿宋" w:eastAsia="仿宋" w:cs="仿宋"/>
                <w:color w:val="auto"/>
                <w:kern w:val="0"/>
                <w:sz w:val="24"/>
                <w:szCs w:val="24"/>
                <w:lang w:val="en-US" w:eastAsia="zh-CN"/>
              </w:rPr>
              <w:t>0-3</w:t>
            </w:r>
            <w:r>
              <w:rPr>
                <w:rFonts w:hint="eastAsia" w:ascii="仿宋" w:hAnsi="仿宋" w:eastAsia="仿宋" w:cs="仿宋"/>
                <w:color w:val="auto"/>
                <w:kern w:val="0"/>
                <w:sz w:val="24"/>
                <w:szCs w:val="24"/>
              </w:rPr>
              <w:t>，不得分。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bl>
    <w:p>
      <w:pPr>
        <w:widowControl/>
        <w:snapToGrid w:val="0"/>
        <w:spacing w:line="480" w:lineRule="exact"/>
        <w:rPr>
          <w:rFonts w:ascii="仿宋" w:hAnsi="仿宋" w:eastAsia="仿宋" w:cs="仿宋"/>
          <w:b/>
          <w:bCs/>
          <w:color w:val="auto"/>
          <w:kern w:val="0"/>
          <w:sz w:val="24"/>
        </w:rPr>
      </w:pPr>
    </w:p>
    <w:p>
      <w:pPr>
        <w:widowControl/>
        <w:snapToGrid w:val="0"/>
        <w:spacing w:line="480" w:lineRule="exact"/>
        <w:rPr>
          <w:rFonts w:ascii="仿宋" w:hAnsi="仿宋" w:eastAsia="仿宋" w:cs="仿宋"/>
          <w:b/>
          <w:bCs/>
          <w:color w:val="auto"/>
          <w:kern w:val="0"/>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00" w:lineRule="exact"/>
        <w:rPr>
          <w:rFonts w:ascii="仿宋" w:hAnsi="仿宋" w:eastAsia="仿宋" w:cs="仿宋"/>
          <w:b/>
          <w:bCs/>
          <w:iCs/>
          <w:color w:val="auto"/>
          <w:sz w:val="24"/>
        </w:rPr>
      </w:pPr>
      <w:r>
        <w:rPr>
          <w:rFonts w:hint="eastAsia" w:ascii="仿宋" w:hAnsi="仿宋" w:eastAsia="仿宋" w:cs="仿宋"/>
          <w:b/>
          <w:bCs/>
          <w:iCs/>
          <w:color w:val="auto"/>
          <w:sz w:val="24"/>
        </w:rPr>
        <w:t>2.2价格分：30分</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2.2.1评标基准价：即满足招标文件要求且投标价格最低的投标报价为评标基准价，其价格分为满分。</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2.2.2其他投标人的价格分统一按照下列公式计算：</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投标报价得分=(评标基准价／投标报价)×价格权值×100</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即：投标报价得分=(评标基准价／投标报价)×30</w:t>
      </w:r>
      <w:r>
        <w:rPr>
          <w:rFonts w:hint="eastAsia" w:ascii="仿宋" w:hAnsi="仿宋" w:eastAsia="仿宋" w:cs="仿宋"/>
          <w:color w:val="auto"/>
          <w:kern w:val="0"/>
          <w:sz w:val="24"/>
        </w:rPr>
        <w:br w:type="page"/>
      </w:r>
    </w:p>
    <w:p>
      <w:pPr>
        <w:pStyle w:val="61"/>
        <w:rPr>
          <w:rFonts w:ascii="仿宋" w:hAnsi="仿宋" w:eastAsia="仿宋" w:cs="仿宋"/>
          <w:color w:val="auto"/>
        </w:rPr>
      </w:pPr>
    </w:p>
    <w:bookmarkEnd w:id="30"/>
    <w:bookmarkEnd w:id="31"/>
    <w:p>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ascii="仿宋" w:hAnsi="仿宋" w:eastAsia="仿宋" w:cs="仿宋"/>
          <w:b/>
          <w:color w:val="auto"/>
          <w:kern w:val="0"/>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4"/>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ascii="仿宋" w:hAnsi="仿宋" w:eastAsia="仿宋" w:cs="仿宋"/>
          <w:color w:val="auto"/>
          <w:sz w:val="24"/>
        </w:rPr>
      </w:pP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绍兴市人民医院、华诚工程咨询集团有限公司：</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rPr>
        <w:t>（项目名称）【招标编号：（采购编号）】</w:t>
      </w:r>
      <w:r>
        <w:rPr>
          <w:rFonts w:hint="eastAsia" w:ascii="仿宋" w:hAnsi="仿宋" w:eastAsia="仿宋" w:cs="仿宋"/>
          <w:color w:val="auto"/>
          <w:sz w:val="24"/>
        </w:rPr>
        <w:t>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color w:val="auto"/>
          <w:kern w:val="0"/>
          <w:sz w:val="24"/>
          <w:lang w:val="zh-CN"/>
        </w:rPr>
      </w:pPr>
    </w:p>
    <w:p>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6360" w:firstLineChars="26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1"/>
        <w:rPr>
          <w:rFonts w:ascii="仿宋" w:hAnsi="仿宋" w:eastAsia="仿宋" w:cs="仿宋"/>
          <w:color w:val="auto"/>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ascii="仿宋" w:eastAsia="仿宋" w:cs="仿宋"/>
          <w:color w:val="auto"/>
        </w:rPr>
      </w:pPr>
      <w:r>
        <w:rPr>
          <w:rFonts w:hint="eastAsia" w:ascii="仿宋" w:eastAsia="仿宋" w:cs="仿宋"/>
          <w:color w:val="auto"/>
        </w:rPr>
        <w:t>（1）投标函…………………………………………………………………………（页码）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（2）法定代表人授权书 ………………………………………………………… （页码）</w:t>
      </w:r>
    </w:p>
    <w:p>
      <w:pPr>
        <w:pStyle w:val="906"/>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（5）法定代表人身份证明书……………………………………………………… （页码）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（6）商务技术偏离表……………………………………………………………… （页码）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 （页码）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8"/>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rPr>
        <w:t>绍兴市人民医院、华诚工程咨询集团有限公司</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color w:val="auto"/>
          <w:sz w:val="24"/>
        </w:rPr>
      </w:pP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投标人(公章)：　　　　　　　　　日期：  </w:t>
      </w:r>
    </w:p>
    <w:p>
      <w:pPr>
        <w:snapToGrid w:val="0"/>
        <w:spacing w:line="360" w:lineRule="auto"/>
        <w:jc w:val="center"/>
        <w:rPr>
          <w:rFonts w:ascii="仿宋" w:hAnsi="仿宋" w:eastAsia="仿宋" w:cs="仿宋"/>
          <w:b/>
          <w:color w:val="auto"/>
          <w:kern w:val="0"/>
          <w:sz w:val="32"/>
          <w:szCs w:val="32"/>
        </w:rPr>
      </w:pPr>
    </w:p>
    <w:p>
      <w:pPr>
        <w:snapToGrid w:val="0"/>
        <w:spacing w:line="360" w:lineRule="auto"/>
        <w:rPr>
          <w:rFonts w:ascii="仿宋" w:hAnsi="仿宋" w:eastAsia="仿宋" w:cs="仿宋"/>
          <w:color w:val="auto"/>
          <w:sz w:val="24"/>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lang w:val="zh-CN"/>
        </w:rPr>
      </w:pPr>
    </w:p>
    <w:p>
      <w:pPr>
        <w:spacing w:line="800" w:lineRule="exact"/>
        <w:rPr>
          <w:rFonts w:ascii="仿宋" w:hAnsi="仿宋" w:eastAsia="仿宋" w:cs="仿宋"/>
          <w:b/>
          <w:color w:val="auto"/>
          <w:sz w:val="24"/>
        </w:rPr>
      </w:pPr>
    </w:p>
    <w:p>
      <w:pPr>
        <w:pageBreakBefore/>
        <w:spacing w:line="800" w:lineRule="exact"/>
        <w:ind w:firstLine="1807" w:firstLineChars="600"/>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3"/>
        <w:rPr>
          <w:rFonts w:ascii="仿宋" w:hAnsi="仿宋" w:eastAsia="仿宋" w:cs="仿宋"/>
          <w:b/>
          <w:color w:val="auto"/>
        </w:rPr>
      </w:pPr>
    </w:p>
    <w:p>
      <w:pPr>
        <w:pStyle w:val="83"/>
        <w:rPr>
          <w:rFonts w:ascii="仿宋" w:hAnsi="仿宋" w:eastAsia="仿宋" w:cs="仿宋"/>
          <w:b/>
          <w:color w:val="auto"/>
        </w:rPr>
      </w:pPr>
    </w:p>
    <w:p>
      <w:pPr>
        <w:pStyle w:val="83"/>
        <w:rPr>
          <w:rFonts w:ascii="仿宋" w:hAnsi="仿宋" w:eastAsia="仿宋" w:cs="仿宋"/>
          <w:b/>
          <w:color w:val="auto"/>
        </w:rPr>
      </w:pPr>
    </w:p>
    <w:p>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投标人名称：                             （公章）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rPr>
      </w:pPr>
      <w:r>
        <w:rPr>
          <w:rFonts w:hint="eastAsia" w:ascii="仿宋" w:hAnsi="仿宋" w:eastAsia="仿宋" w:cs="仿宋"/>
          <w:color w:val="auto"/>
          <w:sz w:val="24"/>
        </w:rPr>
        <w:t>年   月   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ascii="仿宋" w:hAnsi="仿宋" w:eastAsia="仿宋" w:cs="仿宋"/>
          <w:b/>
          <w:bCs/>
          <w:color w:val="auto"/>
          <w:sz w:val="32"/>
          <w:szCs w:val="32"/>
        </w:rPr>
      </w:pPr>
    </w:p>
    <w:p>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ind w:firstLine="5160" w:firstLineChars="2150"/>
        <w:jc w:val="center"/>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right"/>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rPr>
      </w:pPr>
    </w:p>
    <w:p>
      <w:pPr>
        <w:autoSpaceDE w:val="0"/>
        <w:autoSpaceDN w:val="0"/>
        <w:spacing w:line="360" w:lineRule="auto"/>
        <w:rPr>
          <w:rFonts w:ascii="仿宋" w:hAnsi="仿宋" w:eastAsia="仿宋" w:cs="仿宋"/>
          <w:color w:val="auto"/>
          <w:sz w:val="24"/>
        </w:rPr>
      </w:pPr>
    </w:p>
    <w:p>
      <w:pPr>
        <w:snapToGrid w:val="0"/>
        <w:spacing w:line="360" w:lineRule="auto"/>
        <w:ind w:firstLine="6480" w:firstLineChars="27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650"/>
        <w:ind w:firstLine="0"/>
        <w:jc w:val="both"/>
        <w:rPr>
          <w:rFonts w:ascii="仿宋" w:eastAsia="仿宋" w:cs="仿宋"/>
          <w:color w:val="auto"/>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 w:hAnsi="仿宋" w:eastAsia="仿宋" w:cs="仿宋"/>
          <w:color w:val="auto"/>
          <w:kern w:val="0"/>
          <w:sz w:val="24"/>
        </w:rPr>
      </w:pPr>
    </w:p>
    <w:p>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640" w:firstLineChars="23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ind w:firstLine="5760" w:firstLineChars="2400"/>
        <w:rPr>
          <w:rFonts w:ascii="仿宋" w:hAnsi="仿宋" w:eastAsia="仿宋" w:cs="仿宋"/>
          <w:color w:val="auto"/>
          <w:kern w:val="0"/>
          <w:sz w:val="24"/>
        </w:rPr>
      </w:pPr>
      <w:r>
        <w:rPr>
          <w:rFonts w:hint="eastAsia" w:ascii="仿宋" w:hAnsi="仿宋" w:eastAsia="仿宋" w:cs="仿宋"/>
          <w:color w:val="auto"/>
          <w:kern w:val="0"/>
          <w:sz w:val="24"/>
          <w:lang w:val="zh-CN"/>
        </w:rPr>
        <w:t xml:space="preserve"> 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color w:val="auto"/>
          <w:kern w:val="0"/>
          <w:sz w:val="24"/>
        </w:rPr>
      </w:pPr>
    </w:p>
    <w:p>
      <w:pPr>
        <w:spacing w:line="360" w:lineRule="auto"/>
        <w:jc w:val="center"/>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ascii="仿宋" w:hAnsi="仿宋" w:eastAsia="仿宋" w:cs="仿宋"/>
          <w:color w:val="auto"/>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color w:val="auto"/>
          <w:sz w:val="24"/>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1"/>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1"/>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firstLine="6907" w:firstLineChars="2150"/>
        <w:rPr>
          <w:rFonts w:ascii="仿宋" w:hAnsi="仿宋" w:eastAsia="仿宋" w:cs="仿宋"/>
          <w:b/>
          <w:bCs/>
          <w:color w:val="auto"/>
          <w:sz w:val="32"/>
          <w:szCs w:val="32"/>
        </w:rPr>
      </w:pPr>
    </w:p>
    <w:p>
      <w:pPr>
        <w:snapToGrid w:val="0"/>
        <w:spacing w:line="360" w:lineRule="auto"/>
        <w:ind w:right="960"/>
        <w:rPr>
          <w:rFonts w:ascii="仿宋" w:hAnsi="仿宋" w:eastAsia="仿宋" w:cs="仿宋"/>
          <w:color w:val="auto"/>
          <w:kern w:val="0"/>
          <w:sz w:val="24"/>
          <w:lang w:val="zh-CN"/>
        </w:rPr>
      </w:pPr>
    </w:p>
    <w:p>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napToGrid w:val="0"/>
        <w:spacing w:line="360" w:lineRule="auto"/>
        <w:ind w:firstLine="5760" w:firstLineChars="24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pStyle w:val="81"/>
        <w:rPr>
          <w:rFonts w:ascii="仿宋" w:hAnsi="仿宋" w:eastAsia="仿宋" w:cs="仿宋"/>
          <w:color w:val="auto"/>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36" w:lineRule="auto"/>
        <w:jc w:val="center"/>
        <w:rPr>
          <w:rFonts w:ascii="仿宋" w:hAnsi="仿宋" w:eastAsia="仿宋" w:cs="仿宋"/>
          <w:color w:val="auto"/>
          <w:sz w:val="24"/>
        </w:rPr>
      </w:pPr>
    </w:p>
    <w:p>
      <w:pPr>
        <w:pStyle w:val="82"/>
        <w:rPr>
          <w:rFonts w:ascii="仿宋" w:hAnsi="仿宋" w:eastAsia="仿宋" w:cs="仿宋"/>
          <w:color w:val="auto"/>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（2）中小企业声明函（如有）……………………………………………………（页码）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（3）残疾人福利性单位声明函（如有）…………………………………………（页码）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pPr>
        <w:pStyle w:val="398"/>
        <w:spacing w:afterLines="0" w:line="440" w:lineRule="exact"/>
        <w:ind w:firstLine="480"/>
        <w:rPr>
          <w:rFonts w:ascii="仿宋" w:hAnsi="仿宋" w:eastAsia="仿宋" w:cs="仿宋"/>
          <w:color w:val="auto"/>
          <w:lang w:val="zh-CN"/>
        </w:rPr>
      </w:pPr>
      <w:r>
        <w:rPr>
          <w:rFonts w:hint="eastAsia" w:ascii="仿宋" w:hAnsi="仿宋" w:eastAsia="仿宋" w:cs="仿宋"/>
          <w:color w:val="auto"/>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Cs w:val="24"/>
          <w:lang w:eastAsia="zh-CN"/>
        </w:rPr>
        <w:t>绍兴市人民医院医技报告归档系统采购项目</w:t>
      </w:r>
      <w:r>
        <w:rPr>
          <w:rFonts w:hint="eastAsia" w:ascii="仿宋" w:hAnsi="仿宋" w:eastAsia="仿宋" w:cs="仿宋"/>
          <w:color w:val="auto"/>
          <w:lang w:val="zh-CN"/>
        </w:rPr>
        <w:t>【招标编号：</w:t>
      </w:r>
      <w:r>
        <w:rPr>
          <w:rFonts w:hint="eastAsia" w:ascii="仿宋" w:hAnsi="仿宋" w:eastAsia="仿宋" w:cs="仿宋"/>
          <w:color w:val="auto"/>
          <w:szCs w:val="24"/>
          <w:lang w:eastAsia="zh-CN"/>
        </w:rPr>
        <w:t>HCSY-2024-017</w:t>
      </w:r>
      <w:r>
        <w:rPr>
          <w:rFonts w:hint="eastAsia" w:ascii="仿宋" w:hAnsi="仿宋" w:eastAsia="仿宋" w:cs="仿宋"/>
          <w:color w:val="auto"/>
        </w:rPr>
        <w:t>】的实施</w:t>
      </w:r>
      <w:r>
        <w:rPr>
          <w:rFonts w:hint="eastAsia" w:ascii="仿宋" w:hAnsi="仿宋" w:eastAsia="仿宋" w:cs="仿宋"/>
          <w:color w:val="auto"/>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r>
        <w:rPr>
          <w:rFonts w:hint="eastAsia" w:ascii="仿宋" w:hAnsi="仿宋" w:eastAsia="仿宋" w:cs="仿宋"/>
          <w:b/>
          <w:color w:val="auto"/>
          <w:kern w:val="0"/>
          <w:sz w:val="24"/>
        </w:rPr>
        <w:t>价格</w:t>
      </w:r>
      <w:r>
        <w:rPr>
          <w:rFonts w:hint="eastAsia" w:ascii="仿宋" w:hAnsi="仿宋" w:eastAsia="仿宋" w:cs="仿宋"/>
          <w:b/>
          <w:color w:val="auto"/>
          <w:kern w:val="0"/>
          <w:sz w:val="24"/>
          <w:lang w:val="zh-CN"/>
        </w:rPr>
        <w:t>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noWrap/>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693" w:type="dxa"/>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2410" w:type="dxa"/>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843" w:type="dxa"/>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701" w:type="dxa"/>
            <w:noWrap/>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126" w:type="dxa"/>
            <w:noWrap/>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417" w:type="dxa"/>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noWrap/>
            <w:vAlign w:val="center"/>
          </w:tcPr>
          <w:p>
            <w:pPr>
              <w:snapToGrid w:val="0"/>
              <w:spacing w:line="360" w:lineRule="auto"/>
              <w:jc w:val="center"/>
              <w:rPr>
                <w:rFonts w:ascii="仿宋" w:hAnsi="仿宋" w:eastAsia="仿宋" w:cs="仿宋"/>
                <w:color w:val="auto"/>
                <w:sz w:val="24"/>
              </w:rPr>
            </w:pPr>
          </w:p>
        </w:tc>
        <w:tc>
          <w:tcPr>
            <w:tcW w:w="2693" w:type="dxa"/>
            <w:noWrap/>
            <w:vAlign w:val="center"/>
          </w:tcPr>
          <w:p>
            <w:pPr>
              <w:snapToGrid w:val="0"/>
              <w:spacing w:line="360" w:lineRule="auto"/>
              <w:jc w:val="center"/>
              <w:rPr>
                <w:rFonts w:ascii="仿宋" w:hAnsi="仿宋" w:eastAsia="仿宋" w:cs="仿宋"/>
                <w:color w:val="auto"/>
                <w:sz w:val="24"/>
              </w:rPr>
            </w:pPr>
          </w:p>
        </w:tc>
        <w:tc>
          <w:tcPr>
            <w:tcW w:w="2410" w:type="dxa"/>
            <w:noWrap/>
            <w:vAlign w:val="center"/>
          </w:tcPr>
          <w:p>
            <w:pPr>
              <w:snapToGrid w:val="0"/>
              <w:spacing w:line="360" w:lineRule="auto"/>
              <w:jc w:val="center"/>
              <w:rPr>
                <w:rFonts w:ascii="仿宋" w:hAnsi="仿宋" w:eastAsia="仿宋" w:cs="仿宋"/>
                <w:color w:val="auto"/>
                <w:sz w:val="24"/>
              </w:rPr>
            </w:pPr>
          </w:p>
        </w:tc>
        <w:tc>
          <w:tcPr>
            <w:tcW w:w="1843" w:type="dxa"/>
            <w:noWrap/>
            <w:vAlign w:val="center"/>
          </w:tcPr>
          <w:p>
            <w:pPr>
              <w:spacing w:line="360" w:lineRule="auto"/>
              <w:jc w:val="center"/>
              <w:rPr>
                <w:rFonts w:ascii="仿宋" w:hAnsi="仿宋" w:eastAsia="仿宋" w:cs="仿宋"/>
                <w:color w:val="auto"/>
                <w:sz w:val="24"/>
              </w:rPr>
            </w:pPr>
          </w:p>
        </w:tc>
        <w:tc>
          <w:tcPr>
            <w:tcW w:w="1701" w:type="dxa"/>
            <w:noWrap/>
            <w:vAlign w:val="center"/>
          </w:tcPr>
          <w:p>
            <w:pPr>
              <w:spacing w:line="360" w:lineRule="auto"/>
              <w:jc w:val="center"/>
              <w:rPr>
                <w:rFonts w:ascii="仿宋" w:hAnsi="仿宋" w:eastAsia="仿宋" w:cs="仿宋"/>
                <w:color w:val="auto"/>
                <w:sz w:val="24"/>
              </w:rPr>
            </w:pPr>
          </w:p>
        </w:tc>
        <w:tc>
          <w:tcPr>
            <w:tcW w:w="2126" w:type="dxa"/>
            <w:noWrap/>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417" w:type="dxa"/>
            <w:noWrap/>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noWrap/>
            <w:vAlign w:val="center"/>
          </w:tcPr>
          <w:p>
            <w:pPr>
              <w:snapToGrid w:val="0"/>
              <w:spacing w:line="360" w:lineRule="auto"/>
              <w:jc w:val="center"/>
              <w:rPr>
                <w:rFonts w:ascii="仿宋" w:hAnsi="仿宋" w:eastAsia="仿宋" w:cs="仿宋"/>
                <w:color w:val="auto"/>
                <w:sz w:val="24"/>
              </w:rPr>
            </w:pPr>
          </w:p>
        </w:tc>
        <w:tc>
          <w:tcPr>
            <w:tcW w:w="2693" w:type="dxa"/>
            <w:noWrap/>
            <w:vAlign w:val="center"/>
          </w:tcPr>
          <w:p>
            <w:pPr>
              <w:snapToGrid w:val="0"/>
              <w:spacing w:line="360" w:lineRule="auto"/>
              <w:jc w:val="center"/>
              <w:rPr>
                <w:rFonts w:ascii="仿宋" w:hAnsi="仿宋" w:eastAsia="仿宋" w:cs="仿宋"/>
                <w:color w:val="auto"/>
                <w:sz w:val="24"/>
              </w:rPr>
            </w:pPr>
          </w:p>
        </w:tc>
        <w:tc>
          <w:tcPr>
            <w:tcW w:w="2410" w:type="dxa"/>
            <w:noWrap/>
            <w:vAlign w:val="center"/>
          </w:tcPr>
          <w:p>
            <w:pPr>
              <w:snapToGrid w:val="0"/>
              <w:spacing w:line="360" w:lineRule="auto"/>
              <w:jc w:val="center"/>
              <w:rPr>
                <w:rFonts w:ascii="仿宋" w:hAnsi="仿宋" w:eastAsia="仿宋" w:cs="仿宋"/>
                <w:color w:val="auto"/>
                <w:sz w:val="24"/>
              </w:rPr>
            </w:pPr>
          </w:p>
        </w:tc>
        <w:tc>
          <w:tcPr>
            <w:tcW w:w="1843" w:type="dxa"/>
            <w:noWrap/>
            <w:vAlign w:val="center"/>
          </w:tcPr>
          <w:p>
            <w:pPr>
              <w:spacing w:line="360" w:lineRule="auto"/>
              <w:jc w:val="center"/>
              <w:rPr>
                <w:rFonts w:ascii="仿宋" w:hAnsi="仿宋" w:eastAsia="仿宋" w:cs="仿宋"/>
                <w:color w:val="auto"/>
                <w:sz w:val="24"/>
              </w:rPr>
            </w:pPr>
          </w:p>
        </w:tc>
        <w:tc>
          <w:tcPr>
            <w:tcW w:w="1701" w:type="dxa"/>
            <w:noWrap/>
            <w:vAlign w:val="center"/>
          </w:tcPr>
          <w:p>
            <w:pPr>
              <w:spacing w:line="360" w:lineRule="auto"/>
              <w:jc w:val="center"/>
              <w:rPr>
                <w:rFonts w:ascii="仿宋" w:hAnsi="仿宋" w:eastAsia="仿宋" w:cs="仿宋"/>
                <w:color w:val="auto"/>
                <w:sz w:val="24"/>
              </w:rPr>
            </w:pPr>
          </w:p>
        </w:tc>
        <w:tc>
          <w:tcPr>
            <w:tcW w:w="2126" w:type="dxa"/>
            <w:noWrap/>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10" w:type="dxa"/>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noWrap/>
            <w:vAlign w:val="center"/>
          </w:tcPr>
          <w:p>
            <w:pPr>
              <w:snapToGrid w:val="0"/>
              <w:spacing w:line="360" w:lineRule="auto"/>
              <w:jc w:val="center"/>
              <w:rPr>
                <w:rFonts w:ascii="仿宋" w:hAnsi="仿宋" w:eastAsia="仿宋" w:cs="仿宋"/>
                <w:color w:val="auto"/>
                <w:sz w:val="24"/>
              </w:rPr>
            </w:pPr>
          </w:p>
        </w:tc>
        <w:tc>
          <w:tcPr>
            <w:tcW w:w="1843" w:type="dxa"/>
            <w:noWrap/>
            <w:vAlign w:val="center"/>
          </w:tcPr>
          <w:p>
            <w:pPr>
              <w:snapToGrid w:val="0"/>
              <w:spacing w:line="360" w:lineRule="auto"/>
              <w:jc w:val="center"/>
              <w:rPr>
                <w:rFonts w:ascii="仿宋" w:hAnsi="仿宋" w:eastAsia="仿宋" w:cs="仿宋"/>
                <w:color w:val="auto"/>
                <w:sz w:val="24"/>
              </w:rPr>
            </w:pPr>
          </w:p>
        </w:tc>
        <w:tc>
          <w:tcPr>
            <w:tcW w:w="2693" w:type="dxa"/>
            <w:noWrap/>
            <w:vAlign w:val="center"/>
          </w:tcPr>
          <w:p>
            <w:pPr>
              <w:snapToGrid w:val="0"/>
              <w:spacing w:line="360" w:lineRule="auto"/>
              <w:jc w:val="center"/>
              <w:rPr>
                <w:rFonts w:ascii="仿宋" w:hAnsi="仿宋" w:eastAsia="仿宋" w:cs="仿宋"/>
                <w:color w:val="auto"/>
                <w:sz w:val="24"/>
              </w:rPr>
            </w:pPr>
          </w:p>
        </w:tc>
        <w:tc>
          <w:tcPr>
            <w:tcW w:w="2410" w:type="dxa"/>
            <w:noWrap/>
            <w:vAlign w:val="center"/>
          </w:tcPr>
          <w:p>
            <w:pPr>
              <w:snapToGrid w:val="0"/>
              <w:spacing w:line="360" w:lineRule="auto"/>
              <w:jc w:val="center"/>
              <w:rPr>
                <w:rFonts w:ascii="仿宋" w:hAnsi="仿宋" w:eastAsia="仿宋" w:cs="仿宋"/>
                <w:color w:val="auto"/>
                <w:sz w:val="24"/>
              </w:rPr>
            </w:pPr>
          </w:p>
        </w:tc>
        <w:tc>
          <w:tcPr>
            <w:tcW w:w="1843" w:type="dxa"/>
            <w:noWrap/>
            <w:vAlign w:val="center"/>
          </w:tcPr>
          <w:p>
            <w:pPr>
              <w:spacing w:line="360" w:lineRule="auto"/>
              <w:jc w:val="center"/>
              <w:rPr>
                <w:rFonts w:ascii="仿宋" w:hAnsi="仿宋" w:eastAsia="仿宋" w:cs="仿宋"/>
                <w:color w:val="auto"/>
                <w:sz w:val="24"/>
              </w:rPr>
            </w:pPr>
          </w:p>
        </w:tc>
        <w:tc>
          <w:tcPr>
            <w:tcW w:w="1701" w:type="dxa"/>
            <w:noWrap/>
            <w:vAlign w:val="center"/>
          </w:tcPr>
          <w:p>
            <w:pPr>
              <w:spacing w:line="360" w:lineRule="auto"/>
              <w:jc w:val="center"/>
              <w:rPr>
                <w:rFonts w:ascii="仿宋" w:hAnsi="仿宋" w:eastAsia="仿宋" w:cs="仿宋"/>
                <w:color w:val="auto"/>
                <w:sz w:val="24"/>
              </w:rPr>
            </w:pPr>
          </w:p>
        </w:tc>
        <w:tc>
          <w:tcPr>
            <w:tcW w:w="2126" w:type="dxa"/>
            <w:noWrap/>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10" w:type="dxa"/>
            <w:noWrap/>
            <w:vAlign w:val="center"/>
          </w:tcPr>
          <w:p>
            <w:pPr>
              <w:spacing w:line="360" w:lineRule="auto"/>
              <w:jc w:val="center"/>
              <w:rPr>
                <w:rFonts w:ascii="仿宋" w:hAnsi="仿宋" w:eastAsia="仿宋" w:cs="仿宋"/>
                <w:color w:val="auto"/>
                <w:sz w:val="24"/>
              </w:rPr>
            </w:pPr>
          </w:p>
        </w:tc>
        <w:tc>
          <w:tcPr>
            <w:tcW w:w="1417" w:type="dxa"/>
            <w:noWrap/>
            <w:vAlign w:val="center"/>
          </w:tcPr>
          <w:p>
            <w:pPr>
              <w:snapToGrid w:val="0"/>
              <w:spacing w:line="360" w:lineRule="auto"/>
              <w:jc w:val="center"/>
              <w:rPr>
                <w:rFonts w:ascii="仿宋" w:hAnsi="仿宋" w:eastAsia="仿宋" w:cs="仿宋"/>
                <w:color w:val="auto"/>
                <w:sz w:val="24"/>
              </w:rPr>
            </w:pPr>
          </w:p>
        </w:tc>
        <w:tc>
          <w:tcPr>
            <w:tcW w:w="1843" w:type="dxa"/>
            <w:noWrap/>
            <w:vAlign w:val="center"/>
          </w:tcPr>
          <w:p>
            <w:pPr>
              <w:snapToGrid w:val="0"/>
              <w:spacing w:line="360" w:lineRule="auto"/>
              <w:jc w:val="center"/>
              <w:rPr>
                <w:rFonts w:ascii="仿宋" w:hAnsi="仿宋" w:eastAsia="仿宋" w:cs="仿宋"/>
                <w:color w:val="auto"/>
                <w:sz w:val="24"/>
              </w:rPr>
            </w:pPr>
          </w:p>
        </w:tc>
        <w:tc>
          <w:tcPr>
            <w:tcW w:w="2693" w:type="dxa"/>
            <w:noWrap/>
            <w:vAlign w:val="center"/>
          </w:tcPr>
          <w:p>
            <w:pPr>
              <w:snapToGrid w:val="0"/>
              <w:spacing w:line="360" w:lineRule="auto"/>
              <w:jc w:val="center"/>
              <w:rPr>
                <w:rFonts w:ascii="仿宋" w:hAnsi="仿宋" w:eastAsia="仿宋" w:cs="仿宋"/>
                <w:color w:val="auto"/>
                <w:sz w:val="24"/>
              </w:rPr>
            </w:pPr>
          </w:p>
        </w:tc>
        <w:tc>
          <w:tcPr>
            <w:tcW w:w="2410" w:type="dxa"/>
            <w:noWrap/>
            <w:vAlign w:val="center"/>
          </w:tcPr>
          <w:p>
            <w:pPr>
              <w:snapToGrid w:val="0"/>
              <w:spacing w:line="360" w:lineRule="auto"/>
              <w:jc w:val="center"/>
              <w:rPr>
                <w:rFonts w:ascii="仿宋" w:hAnsi="仿宋" w:eastAsia="仿宋" w:cs="仿宋"/>
                <w:color w:val="auto"/>
                <w:sz w:val="24"/>
              </w:rPr>
            </w:pPr>
          </w:p>
        </w:tc>
        <w:tc>
          <w:tcPr>
            <w:tcW w:w="1843" w:type="dxa"/>
            <w:noWrap/>
            <w:vAlign w:val="center"/>
          </w:tcPr>
          <w:p>
            <w:pPr>
              <w:spacing w:line="360" w:lineRule="auto"/>
              <w:jc w:val="center"/>
              <w:rPr>
                <w:rFonts w:ascii="仿宋" w:hAnsi="仿宋" w:eastAsia="仿宋" w:cs="仿宋"/>
                <w:color w:val="auto"/>
                <w:sz w:val="24"/>
              </w:rPr>
            </w:pPr>
          </w:p>
        </w:tc>
        <w:tc>
          <w:tcPr>
            <w:tcW w:w="1701" w:type="dxa"/>
            <w:noWrap/>
            <w:vAlign w:val="center"/>
          </w:tcPr>
          <w:p>
            <w:pPr>
              <w:spacing w:line="360" w:lineRule="auto"/>
              <w:jc w:val="center"/>
              <w:rPr>
                <w:rFonts w:ascii="仿宋" w:hAnsi="仿宋" w:eastAsia="仿宋" w:cs="仿宋"/>
                <w:color w:val="auto"/>
                <w:sz w:val="24"/>
              </w:rPr>
            </w:pPr>
          </w:p>
        </w:tc>
        <w:tc>
          <w:tcPr>
            <w:tcW w:w="2126" w:type="dxa"/>
            <w:noWrap/>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6663" w:type="dxa"/>
            <w:gridSpan w:val="4"/>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8080" w:type="dxa"/>
            <w:gridSpan w:val="4"/>
            <w:noWrap/>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noWrap/>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8080" w:type="dxa"/>
            <w:gridSpan w:val="4"/>
            <w:noWrap/>
            <w:vAlign w:val="center"/>
          </w:tcPr>
          <w:p>
            <w:pPr>
              <w:spacing w:line="360" w:lineRule="auto"/>
              <w:jc w:val="center"/>
              <w:rPr>
                <w:rFonts w:ascii="仿宋" w:hAnsi="仿宋" w:eastAsia="仿宋" w:cs="仿宋"/>
                <w:color w:val="auto"/>
                <w:sz w:val="24"/>
              </w:rPr>
            </w:pPr>
          </w:p>
        </w:tc>
      </w:tr>
    </w:tbl>
    <w:p>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9240" w:firstLineChars="38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55" w:name="_Hlk101259491"/>
      <w:r>
        <w:rPr>
          <w:rFonts w:hint="eastAsia" w:ascii="仿宋" w:hAnsi="仿宋" w:eastAsia="仿宋" w:cs="仿宋"/>
          <w:color w:val="auto"/>
          <w:sz w:val="32"/>
          <w:szCs w:val="32"/>
        </w:rPr>
        <w:t>（如果有）</w:t>
      </w:r>
      <w:bookmarkEnd w:id="155"/>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color w:val="auto"/>
          <w:sz w:val="24"/>
        </w:rPr>
      </w:pPr>
    </w:p>
    <w:p>
      <w:pPr>
        <w:rPr>
          <w:rFonts w:ascii="仿宋" w:hAnsi="仿宋" w:eastAsia="仿宋" w:cs="仿宋"/>
          <w:b/>
          <w:color w:val="auto"/>
          <w:sz w:val="24"/>
        </w:rPr>
      </w:pPr>
    </w:p>
    <w:p>
      <w:pPr>
        <w:pStyle w:val="81"/>
        <w:rPr>
          <w:rFonts w:ascii="仿宋" w:hAnsi="仿宋" w:eastAsia="仿宋" w:cs="仿宋"/>
          <w:b/>
          <w:color w:val="auto"/>
        </w:rPr>
      </w:pPr>
    </w:p>
    <w:p>
      <w:pPr>
        <w:pStyle w:val="82"/>
        <w:rPr>
          <w:rFonts w:ascii="仿宋" w:hAnsi="仿宋" w:eastAsia="仿宋" w:cs="仿宋"/>
          <w:color w:val="auto"/>
        </w:rPr>
      </w:pPr>
    </w:p>
    <w:p>
      <w:pPr>
        <w:pStyle w:val="82"/>
        <w:rPr>
          <w:rFonts w:ascii="仿宋" w:hAnsi="仿宋" w:eastAsia="仿宋" w:cs="仿宋"/>
          <w:color w:val="auto"/>
        </w:rPr>
      </w:pPr>
    </w:p>
    <w:p>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1"/>
        <w:widowControl/>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color w:val="auto"/>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156" w:name="_Toc465665161"/>
      <w:r>
        <w:rPr>
          <w:rFonts w:hint="eastAsia" w:ascii="仿宋" w:hAnsi="仿宋" w:eastAsia="仿宋" w:cs="仿宋"/>
          <w:color w:val="auto"/>
        </w:rPr>
        <w:t>附件</w:t>
      </w:r>
      <w:bookmarkEnd w:id="156"/>
    </w:p>
    <w:p>
      <w:pPr>
        <w:spacing w:line="360" w:lineRule="auto"/>
        <w:rPr>
          <w:rFonts w:ascii="仿宋" w:hAnsi="仿宋" w:eastAsia="仿宋" w:cs="仿宋"/>
          <w:b/>
          <w:color w:val="auto"/>
          <w:sz w:val="24"/>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ascii="仿宋" w:hAnsi="仿宋" w:eastAsia="仿宋" w:cs="仿宋"/>
          <w:color w:val="auto"/>
          <w:sz w:val="24"/>
          <w:u w:val="dotted"/>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ascii="仿宋" w:hAnsi="仿宋" w:eastAsia="仿宋" w:cs="仿宋"/>
          <w:color w:val="auto"/>
          <w:sz w:val="24"/>
          <w:u w:val="dotted"/>
        </w:rPr>
      </w:pP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81"/>
        <w:rPr>
          <w:rFonts w:ascii="仿宋" w:hAnsi="仿宋" w:eastAsia="仿宋" w:cs="仿宋"/>
          <w:color w:val="auto"/>
        </w:rPr>
      </w:pP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w:pict>
          <v:rect id="Rectangle 17" o:spid="_x0000_s1026"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color w:val="auto"/>
          <w:sz w:val="24"/>
        </w:rPr>
        <w:pict>
          <v:rect id="Rectangle 16" o:spid="_x0000_s1027"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61"/>
        <w:ind w:firstLine="0"/>
        <w:rPr>
          <w:rFonts w:ascii="仿宋" w:hAnsi="仿宋" w:eastAsia="仿宋" w:cs="仿宋"/>
          <w:color w:val="auto"/>
        </w:rPr>
      </w:pPr>
    </w:p>
    <w:p>
      <w:pPr>
        <w:rPr>
          <w:rFonts w:ascii="仿宋" w:hAnsi="仿宋" w:eastAsia="仿宋" w:cs="仿宋"/>
          <w:color w:val="auto"/>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7" w:name="_Hlk101131882"/>
      <w:r>
        <w:rPr>
          <w:rFonts w:hint="eastAsia" w:ascii="仿宋" w:hAnsi="仿宋" w:eastAsia="仿宋" w:cs="仿宋"/>
          <w:color w:val="auto"/>
          <w:kern w:val="0"/>
          <w:sz w:val="24"/>
          <w:u w:val="single"/>
        </w:rPr>
        <w:t>联合体成员X,……</w:t>
      </w:r>
      <w:bookmarkEnd w:id="157"/>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8"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8"/>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59" w:name="_Hlk101133173"/>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59"/>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pacing w:line="440" w:lineRule="exact"/>
        <w:rPr>
          <w:rFonts w:ascii="仿宋" w:hAnsi="仿宋" w:eastAsia="仿宋" w:cs="仿宋"/>
          <w:color w:val="auto"/>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440" w:lineRule="exact"/>
        <w:ind w:firstLine="576"/>
        <w:rPr>
          <w:rFonts w:ascii="仿宋" w:hAnsi="仿宋" w:eastAsia="仿宋" w:cs="仿宋"/>
          <w:color w:val="auto"/>
          <w:u w:val="single"/>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440" w:lineRule="exact"/>
        <w:rPr>
          <w:rFonts w:ascii="仿宋" w:hAnsi="仿宋" w:eastAsia="仿宋" w:cs="仿宋"/>
          <w:color w:val="auto"/>
          <w:kern w:val="0"/>
          <w:sz w:val="24"/>
          <w:lang w:val="zh-CN"/>
        </w:rPr>
      </w:pP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投标人名称(电子签名)：</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投标人名称（公章）</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ascii="仿宋" w:hAnsi="仿宋" w:eastAsia="仿宋" w:cs="仿宋"/>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仿宋" w:eastAsia="仿宋" w:cs="仿宋"/>
          <w:color w:val="auto"/>
          <w:lang w:val="en-US"/>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hd w:val="clear" w:color="auto" w:fill="FFFFFF"/>
        <w:spacing w:line="600" w:lineRule="atLeast"/>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4"/>
        <w:rPr>
          <w:rFonts w:ascii="仿宋" w:hAnsi="仿宋" w:eastAsia="仿宋" w:cs="仿宋"/>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仿宋" w:hAnsi="仿宋" w:eastAsia="仿宋" w:cs="仿宋"/>
          <w:bCs/>
          <w:color w:val="auto"/>
          <w:sz w:val="24"/>
        </w:rPr>
      </w:pPr>
    </w:p>
    <w:p>
      <w:pPr>
        <w:spacing w:line="360" w:lineRule="auto"/>
        <w:rPr>
          <w:rFonts w:ascii="仿宋" w:hAnsi="仿宋" w:eastAsia="仿宋" w:cs="仿宋"/>
          <w:bCs/>
          <w:color w:val="auto"/>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宋体-简">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40</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35</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69</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68</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88</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70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33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pict>
        <v:shape id="_x0000_s2057" o:spid="_x0000_s205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joinstyle="miter"/>
          <v:imagedata o:title=""/>
          <o:lock v:ext="edit"/>
          <v:textbox inset="0mm,0mm,0mm,0mm" style="mso-fit-shape-to-text:t;">
            <w:txbxContent>
              <w:p>
                <w:pPr>
                  <w:pStyle w:val="40"/>
                </w:pPr>
                <w:r>
                  <w:fldChar w:fldCharType="begin"/>
                </w:r>
                <w:r>
                  <w:instrText xml:space="preserve"> PAGE  \* MERGEFORMAT </w:instrText>
                </w:r>
                <w:r>
                  <w:fldChar w:fldCharType="separate"/>
                </w:r>
                <w:r>
                  <w:t>32</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4098" o:spid="_x0000_s2058"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SVju0AAAAAUBAAAPAAAAAAAAAAEAIAAAACIAAABkcnMvZG93bnJldi54bWxQSwECFAAU&#10;AAAACACHTuJApp7U1MABAACbAwAADgAAAAAAAAABACAAAAAfAQAAZHJzL2Uyb0RvYy54bWxQSwUG&#10;AAAAAAYABgBZAQAAUQUAAAAA&#10;">
          <v:path/>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C5414F86"/>
    <w:multiLevelType w:val="singleLevel"/>
    <w:tmpl w:val="C5414F86"/>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FE19E4"/>
    <w:rsid w:val="00035103"/>
    <w:rsid w:val="00092153"/>
    <w:rsid w:val="00092EB3"/>
    <w:rsid w:val="00093A64"/>
    <w:rsid w:val="000A4BE6"/>
    <w:rsid w:val="000F0564"/>
    <w:rsid w:val="00123C52"/>
    <w:rsid w:val="00146FFD"/>
    <w:rsid w:val="00162876"/>
    <w:rsid w:val="00172E8A"/>
    <w:rsid w:val="001B15E5"/>
    <w:rsid w:val="001D694A"/>
    <w:rsid w:val="001E61E4"/>
    <w:rsid w:val="00265606"/>
    <w:rsid w:val="002674AF"/>
    <w:rsid w:val="0029229B"/>
    <w:rsid w:val="002A6A79"/>
    <w:rsid w:val="002A7BA5"/>
    <w:rsid w:val="002A7D3F"/>
    <w:rsid w:val="002C6ADA"/>
    <w:rsid w:val="002E0015"/>
    <w:rsid w:val="002F4C3C"/>
    <w:rsid w:val="003241B6"/>
    <w:rsid w:val="0032766D"/>
    <w:rsid w:val="00334F06"/>
    <w:rsid w:val="003726DD"/>
    <w:rsid w:val="003824CA"/>
    <w:rsid w:val="00392807"/>
    <w:rsid w:val="003B0C23"/>
    <w:rsid w:val="003F38D8"/>
    <w:rsid w:val="004202EB"/>
    <w:rsid w:val="004211F5"/>
    <w:rsid w:val="00427673"/>
    <w:rsid w:val="00463B22"/>
    <w:rsid w:val="004C3BEB"/>
    <w:rsid w:val="004D3833"/>
    <w:rsid w:val="004D388B"/>
    <w:rsid w:val="00544615"/>
    <w:rsid w:val="0055181B"/>
    <w:rsid w:val="005668FC"/>
    <w:rsid w:val="005B0CAC"/>
    <w:rsid w:val="005B7C98"/>
    <w:rsid w:val="006065F2"/>
    <w:rsid w:val="00670F18"/>
    <w:rsid w:val="006A78E7"/>
    <w:rsid w:val="00755F75"/>
    <w:rsid w:val="00760D10"/>
    <w:rsid w:val="00762AFD"/>
    <w:rsid w:val="00782AC8"/>
    <w:rsid w:val="00793FF0"/>
    <w:rsid w:val="007A04FE"/>
    <w:rsid w:val="007D550A"/>
    <w:rsid w:val="008147A7"/>
    <w:rsid w:val="00816FF1"/>
    <w:rsid w:val="008243D5"/>
    <w:rsid w:val="0085667E"/>
    <w:rsid w:val="00913715"/>
    <w:rsid w:val="009264D7"/>
    <w:rsid w:val="00945586"/>
    <w:rsid w:val="00973001"/>
    <w:rsid w:val="00995032"/>
    <w:rsid w:val="009A6BD4"/>
    <w:rsid w:val="009D2627"/>
    <w:rsid w:val="009D7364"/>
    <w:rsid w:val="00A12C64"/>
    <w:rsid w:val="00A2424F"/>
    <w:rsid w:val="00A77499"/>
    <w:rsid w:val="00A85BCA"/>
    <w:rsid w:val="00AA45F2"/>
    <w:rsid w:val="00AA5682"/>
    <w:rsid w:val="00AE1647"/>
    <w:rsid w:val="00B0187B"/>
    <w:rsid w:val="00B33B4C"/>
    <w:rsid w:val="00B5574D"/>
    <w:rsid w:val="00B74CF3"/>
    <w:rsid w:val="00B8785D"/>
    <w:rsid w:val="00BC62EF"/>
    <w:rsid w:val="00BD5274"/>
    <w:rsid w:val="00BE3742"/>
    <w:rsid w:val="00BE798C"/>
    <w:rsid w:val="00BF097D"/>
    <w:rsid w:val="00C05635"/>
    <w:rsid w:val="00C21384"/>
    <w:rsid w:val="00C74024"/>
    <w:rsid w:val="00C77EEE"/>
    <w:rsid w:val="00C94BFB"/>
    <w:rsid w:val="00CA4324"/>
    <w:rsid w:val="00CB45AC"/>
    <w:rsid w:val="00CB7613"/>
    <w:rsid w:val="00CE3B26"/>
    <w:rsid w:val="00D134A1"/>
    <w:rsid w:val="00D2728E"/>
    <w:rsid w:val="00D44862"/>
    <w:rsid w:val="00D70924"/>
    <w:rsid w:val="00DD1240"/>
    <w:rsid w:val="00E273BB"/>
    <w:rsid w:val="00E73CAB"/>
    <w:rsid w:val="00E85BD1"/>
    <w:rsid w:val="00E94BFA"/>
    <w:rsid w:val="00ED0416"/>
    <w:rsid w:val="00F142CD"/>
    <w:rsid w:val="00F26432"/>
    <w:rsid w:val="00F347D4"/>
    <w:rsid w:val="00FC3E1B"/>
    <w:rsid w:val="00FD0A27"/>
    <w:rsid w:val="00FD6B95"/>
    <w:rsid w:val="00FE19E4"/>
    <w:rsid w:val="00FF1EFC"/>
    <w:rsid w:val="00FF3A25"/>
    <w:rsid w:val="01537FD5"/>
    <w:rsid w:val="01F929B7"/>
    <w:rsid w:val="0284231A"/>
    <w:rsid w:val="030A6CC4"/>
    <w:rsid w:val="033E089E"/>
    <w:rsid w:val="04207E21"/>
    <w:rsid w:val="04D43B7F"/>
    <w:rsid w:val="053032E4"/>
    <w:rsid w:val="0677360E"/>
    <w:rsid w:val="06D74677"/>
    <w:rsid w:val="093D4DEB"/>
    <w:rsid w:val="09563EF1"/>
    <w:rsid w:val="0983157E"/>
    <w:rsid w:val="09927DEF"/>
    <w:rsid w:val="09A55A72"/>
    <w:rsid w:val="0BEB4F2B"/>
    <w:rsid w:val="0C9E6EA8"/>
    <w:rsid w:val="0E172295"/>
    <w:rsid w:val="0E5928AD"/>
    <w:rsid w:val="0F450170"/>
    <w:rsid w:val="0F70349D"/>
    <w:rsid w:val="0FA0239A"/>
    <w:rsid w:val="0FA37CB2"/>
    <w:rsid w:val="1022443D"/>
    <w:rsid w:val="10524B30"/>
    <w:rsid w:val="10B32706"/>
    <w:rsid w:val="112F3D99"/>
    <w:rsid w:val="12D65A66"/>
    <w:rsid w:val="13146A05"/>
    <w:rsid w:val="133236CD"/>
    <w:rsid w:val="135A5A87"/>
    <w:rsid w:val="13750189"/>
    <w:rsid w:val="14127BE9"/>
    <w:rsid w:val="14EC7D9D"/>
    <w:rsid w:val="158D1A3D"/>
    <w:rsid w:val="169E17AF"/>
    <w:rsid w:val="182275AF"/>
    <w:rsid w:val="18F356AC"/>
    <w:rsid w:val="18F705FB"/>
    <w:rsid w:val="195210FF"/>
    <w:rsid w:val="1AEF6A73"/>
    <w:rsid w:val="1D893A5B"/>
    <w:rsid w:val="1DBE44DB"/>
    <w:rsid w:val="1F4629DA"/>
    <w:rsid w:val="1FDE6C98"/>
    <w:rsid w:val="1FFB1882"/>
    <w:rsid w:val="21433EB4"/>
    <w:rsid w:val="22162278"/>
    <w:rsid w:val="240370EB"/>
    <w:rsid w:val="25CE1DB0"/>
    <w:rsid w:val="26EF48C2"/>
    <w:rsid w:val="27502A7E"/>
    <w:rsid w:val="28ED3243"/>
    <w:rsid w:val="2C063C1D"/>
    <w:rsid w:val="2CDA6E57"/>
    <w:rsid w:val="2D087520"/>
    <w:rsid w:val="2E247EE0"/>
    <w:rsid w:val="2EEF12C2"/>
    <w:rsid w:val="314E52FC"/>
    <w:rsid w:val="3223097F"/>
    <w:rsid w:val="32BC7E5B"/>
    <w:rsid w:val="32D316E8"/>
    <w:rsid w:val="33AF4B9A"/>
    <w:rsid w:val="33F702EF"/>
    <w:rsid w:val="34FD62DD"/>
    <w:rsid w:val="356B2D42"/>
    <w:rsid w:val="375F4FA9"/>
    <w:rsid w:val="37756D43"/>
    <w:rsid w:val="37B55C92"/>
    <w:rsid w:val="37C93D25"/>
    <w:rsid w:val="39381485"/>
    <w:rsid w:val="39B54B6C"/>
    <w:rsid w:val="3AA677BB"/>
    <w:rsid w:val="3B434284"/>
    <w:rsid w:val="3C8975A9"/>
    <w:rsid w:val="3CFA6AA9"/>
    <w:rsid w:val="3D02786C"/>
    <w:rsid w:val="3E385286"/>
    <w:rsid w:val="3F326AC0"/>
    <w:rsid w:val="3F4A70F7"/>
    <w:rsid w:val="3F862F37"/>
    <w:rsid w:val="40EA0E91"/>
    <w:rsid w:val="422B52A9"/>
    <w:rsid w:val="435334AC"/>
    <w:rsid w:val="440D1C51"/>
    <w:rsid w:val="440E51B2"/>
    <w:rsid w:val="44D530D8"/>
    <w:rsid w:val="46DC29FE"/>
    <w:rsid w:val="47894AB2"/>
    <w:rsid w:val="4CF25AFA"/>
    <w:rsid w:val="4DB82445"/>
    <w:rsid w:val="4DE4148C"/>
    <w:rsid w:val="4DFA2A5E"/>
    <w:rsid w:val="4FAE554B"/>
    <w:rsid w:val="505D2275"/>
    <w:rsid w:val="50C301CB"/>
    <w:rsid w:val="51031C29"/>
    <w:rsid w:val="52B70F1D"/>
    <w:rsid w:val="551C4659"/>
    <w:rsid w:val="57DAE6E1"/>
    <w:rsid w:val="58711B6E"/>
    <w:rsid w:val="58BF6D7E"/>
    <w:rsid w:val="5955323E"/>
    <w:rsid w:val="59792118"/>
    <w:rsid w:val="59914276"/>
    <w:rsid w:val="5C2E3077"/>
    <w:rsid w:val="5C3F52A6"/>
    <w:rsid w:val="5E765647"/>
    <w:rsid w:val="5F5F127E"/>
    <w:rsid w:val="5F665FB3"/>
    <w:rsid w:val="5FE4712E"/>
    <w:rsid w:val="5FED10F1"/>
    <w:rsid w:val="621B75F8"/>
    <w:rsid w:val="63530B6F"/>
    <w:rsid w:val="641C6E32"/>
    <w:rsid w:val="642152E2"/>
    <w:rsid w:val="65077AE2"/>
    <w:rsid w:val="65080E4C"/>
    <w:rsid w:val="656C6F6F"/>
    <w:rsid w:val="66D134CA"/>
    <w:rsid w:val="678B0E31"/>
    <w:rsid w:val="69EA7BCD"/>
    <w:rsid w:val="6A971908"/>
    <w:rsid w:val="6AEF1016"/>
    <w:rsid w:val="6B093D50"/>
    <w:rsid w:val="6BC8789F"/>
    <w:rsid w:val="6BEF1545"/>
    <w:rsid w:val="6C0B2A9F"/>
    <w:rsid w:val="6C2430E3"/>
    <w:rsid w:val="6CBB09DC"/>
    <w:rsid w:val="6E7E0139"/>
    <w:rsid w:val="6E8656E8"/>
    <w:rsid w:val="6E97436B"/>
    <w:rsid w:val="6FCF721E"/>
    <w:rsid w:val="70052E70"/>
    <w:rsid w:val="701961FE"/>
    <w:rsid w:val="705E78D7"/>
    <w:rsid w:val="70742B15"/>
    <w:rsid w:val="718974DC"/>
    <w:rsid w:val="729E74BD"/>
    <w:rsid w:val="733B7A9B"/>
    <w:rsid w:val="75371D1E"/>
    <w:rsid w:val="75426B57"/>
    <w:rsid w:val="75486CB6"/>
    <w:rsid w:val="75CD7146"/>
    <w:rsid w:val="77455475"/>
    <w:rsid w:val="782673CA"/>
    <w:rsid w:val="782C2706"/>
    <w:rsid w:val="789B6A68"/>
    <w:rsid w:val="792F3574"/>
    <w:rsid w:val="796C6803"/>
    <w:rsid w:val="79A7721D"/>
    <w:rsid w:val="7A165815"/>
    <w:rsid w:val="7B1724FD"/>
    <w:rsid w:val="7BC33260"/>
    <w:rsid w:val="7CAD7D9D"/>
    <w:rsid w:val="7DC65163"/>
    <w:rsid w:val="7EB7B118"/>
    <w:rsid w:val="7EB9429C"/>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2">
    <w:name w:val="Plain Text"/>
    <w:basedOn w:val="1"/>
    <w:next w:val="1"/>
    <w:link w:val="127"/>
    <w:autoRedefine/>
    <w:qFormat/>
    <w:uiPriority w:val="0"/>
    <w:rPr>
      <w:rFonts w:ascii="宋体" w:hAnsi="Courier New" w:cs="Arial"/>
      <w:snapToGrid w:val="0"/>
      <w:szCs w:val="21"/>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basedOn w:val="70"/>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Default"/>
    <w:next w:val="82"/>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字符"/>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2"/>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7"/>
    <w:autoRedefine/>
    <w:qFormat/>
    <w:uiPriority w:val="0"/>
    <w:rPr>
      <w:rFonts w:ascii="黑体" w:hAnsi="Courier New" w:eastAsia="黑体"/>
    </w:rPr>
  </w:style>
  <w:style w:type="character" w:customStyle="1" w:styleId="303">
    <w:name w:val="正文文本 2 字符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basedOn w:val="70"/>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2"/>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30"/>
    <w:autoRedefine/>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autoRedefine/>
    <w:qFormat/>
    <w:uiPriority w:val="34"/>
    <w:pPr>
      <w:ind w:firstLine="420" w:firstLineChars="200"/>
    </w:pPr>
  </w:style>
  <w:style w:type="paragraph" w:styleId="966">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6"/>
    <customShpInfo spid="_x0000_s2057"/>
    <customShpInfo spid="_x0000_s2055"/>
    <customShpInfo spid="_x0000_s2058"/>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3E01FA-80A1-470E-AA56-D50769082C80}">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88</Pages>
  <Words>7643</Words>
  <Characters>43566</Characters>
  <Lines>363</Lines>
  <Paragraphs>102</Paragraphs>
  <TotalTime>4</TotalTime>
  <ScaleCrop>false</ScaleCrop>
  <LinksUpToDate>false</LinksUpToDate>
  <CharactersWithSpaces>51107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2024-02-07T00:13:00Z</dcterms:created>
  <dc:creator>玥</dc:creator>
  <cp:lastModifiedBy>HC</cp:lastModifiedBy>
  <cp:lastPrinted>2023-12-06T02:37:00Z</cp:lastPrinted>
  <dcterms:modified xsi:type="dcterms:W3CDTF">2024-05-07T09:03:58Z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9FB7FD0F3ADB4BA9B5911F01638FC7DD_13</vt:lpwstr>
  </property>
</Properties>
</file>