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2"/>
          <w:szCs w:val="52"/>
        </w:rPr>
        <w:t>绍兴市人民医院标本委托外送检验项目</w:t>
      </w:r>
    </w:p>
    <w:p>
      <w:pPr>
        <w:tabs>
          <w:tab w:val="left" w:pos="6788"/>
        </w:tabs>
        <w:jc w:val="left"/>
        <w:outlineLvl w:val="0"/>
        <w:rPr>
          <w:rFonts w:ascii="仿宋" w:hAnsi="仿宋" w:eastAsia="仿宋" w:cs="仿宋"/>
          <w:b/>
          <w:sz w:val="72"/>
          <w:szCs w:val="72"/>
        </w:rPr>
      </w:pPr>
      <w:r>
        <w:rPr>
          <w:rFonts w:hint="eastAsia" w:ascii="仿宋" w:hAnsi="仿宋" w:eastAsia="仿宋" w:cs="仿宋"/>
          <w:b/>
          <w:sz w:val="72"/>
          <w:szCs w:val="72"/>
        </w:rPr>
        <w:tab/>
      </w: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 xml:space="preserve">CGSHZJ-2024-N000983 </w:t>
      </w:r>
    </w:p>
    <w:tbl>
      <w:tblPr>
        <w:tblStyle w:val="64"/>
        <w:tblW w:w="6596" w:type="dxa"/>
        <w:jc w:val="center"/>
        <w:tblLayout w:type="fixed"/>
        <w:tblCellMar>
          <w:top w:w="0" w:type="dxa"/>
          <w:left w:w="108" w:type="dxa"/>
          <w:bottom w:w="0" w:type="dxa"/>
          <w:right w:w="108" w:type="dxa"/>
        </w:tblCellMar>
      </w:tblPr>
      <w:tblGrid>
        <w:gridCol w:w="2356"/>
        <w:gridCol w:w="4240"/>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rPr>
                <w:rFonts w:hint="eastAsia" w:ascii="仿宋" w:hAnsi="仿宋" w:eastAsia="仿宋" w:cs="仿宋"/>
                <w:spacing w:val="1400"/>
                <w:kern w:val="0"/>
                <w:sz w:val="28"/>
                <w:szCs w:val="28"/>
                <w:fitText w:val="1680" w:id="1"/>
              </w:rPr>
            </w:pPr>
          </w:p>
        </w:tc>
        <w:tc>
          <w:tcPr>
            <w:tcW w:w="4240"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b w:val="0"/>
                <w:bCs w:val="0"/>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6596"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五</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绍兴市人民医院标本委托外送检验项目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https://www.zcygov.cn/）获取（下载）招标文件，并于2024年月日点分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 xml:space="preserve">CGSHZJ-2024-N000983 </w:t>
      </w:r>
    </w:p>
    <w:p>
      <w:pPr>
        <w:spacing w:line="288" w:lineRule="auto"/>
        <w:ind w:firstLine="482" w:firstLineChars="200"/>
        <w:rPr>
          <w:rFonts w:ascii="仿宋" w:hAnsi="仿宋" w:eastAsia="仿宋" w:cs="仿宋"/>
          <w:sz w:val="24"/>
        </w:rPr>
      </w:pPr>
      <w:r>
        <w:rPr>
          <w:rFonts w:hint="eastAsia" w:ascii="仿宋" w:hAnsi="仿宋" w:eastAsia="仿宋" w:cs="仿宋"/>
          <w:b/>
          <w:sz w:val="24"/>
        </w:rPr>
        <w:t>项目名称：绍兴市人民医院标本委托外送检验项目</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预算金额（元）：4000000</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最高限价（元）：4000000</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标项名称：绍兴市人民医院标本委托外送检验项目</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预算金额：4000000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服务全部由符合政策要求的中小企业承接，提供中小企业声明函；</w:t>
      </w:r>
    </w:p>
    <w:p>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Style w:val="78"/>
          <w:rFonts w:hint="eastAsia" w:ascii="仿宋" w:hAnsi="仿宋" w:eastAsia="仿宋" w:cs="仿宋"/>
          <w:snapToGrid/>
          <w:color w:val="auto"/>
          <w:kern w:val="2"/>
          <w:sz w:val="24"/>
          <w:szCs w:val="24"/>
          <w:u w:val="single"/>
        </w:rPr>
        <w:t>投标人具有与本项目相适应的《医疗机构执业许可证》(诊疗科目需包括医学检验）</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8"/>
          <w:rFonts w:hint="eastAsia" w:ascii="仿宋" w:hAnsi="仿宋" w:eastAsia="仿宋" w:cs="仿宋"/>
          <w:snapToGrid/>
          <w:color w:val="auto"/>
          <w:kern w:val="2"/>
          <w:sz w:val="24"/>
          <w:szCs w:val="24"/>
          <w:u w:val="single"/>
        </w:rPr>
        <w:t>2024年月日</w:t>
      </w:r>
      <w:r>
        <w:rPr>
          <w:rFonts w:hint="eastAsia" w:ascii="仿宋" w:hAnsi="仿宋" w:eastAsia="仿宋" w:cs="仿宋"/>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Style w:val="78"/>
          <w:rFonts w:hint="eastAsia" w:ascii="仿宋" w:hAnsi="仿宋" w:eastAsia="仿宋" w:cs="仿宋"/>
          <w:snapToGrid/>
          <w:color w:val="auto"/>
          <w:kern w:val="2"/>
          <w:sz w:val="24"/>
          <w:szCs w:val="24"/>
          <w:u w:val="single"/>
        </w:rPr>
        <w:t>2024年月日点分</w:t>
      </w:r>
      <w:r>
        <w:rPr>
          <w:rStyle w:val="78"/>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Style w:val="78"/>
          <w:rFonts w:hint="eastAsia" w:ascii="仿宋" w:hAnsi="仿宋" w:eastAsia="仿宋" w:cs="仿宋"/>
          <w:snapToGrid/>
          <w:color w:val="auto"/>
          <w:kern w:val="2"/>
          <w:sz w:val="24"/>
          <w:szCs w:val="24"/>
          <w:u w:val="single"/>
        </w:rPr>
        <w:t>2024年月日点分</w:t>
      </w:r>
      <w:r>
        <w:rPr>
          <w:rStyle w:val="78"/>
          <w:rFonts w:hint="eastAsia" w:ascii="仿宋" w:hAnsi="仿宋" w:eastAsia="仿宋" w:cs="仿宋"/>
          <w:bCs/>
          <w:snapToGrid/>
          <w:color w:val="auto"/>
          <w:kern w:val="2"/>
          <w:sz w:val="24"/>
          <w:szCs w:val="24"/>
          <w:u w:val="single"/>
        </w:rPr>
        <w:t>00秒</w:t>
      </w:r>
    </w:p>
    <w:p>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288" w:lineRule="auto"/>
        <w:rPr>
          <w:rFonts w:ascii="仿宋" w:hAnsi="仿宋" w:eastAsia="仿宋" w:cs="仿宋"/>
          <w:sz w:val="24"/>
        </w:rPr>
      </w:pPr>
      <w:r>
        <w:rPr>
          <w:rFonts w:hint="eastAsia" w:ascii="仿宋" w:hAnsi="仿宋" w:eastAsia="仿宋" w:cs="仿宋"/>
          <w:b/>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35393637"/>
      <w:bookmarkStart w:id="12" w:name="_Toc28359096"/>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5" w:name="_Toc35393638"/>
      <w:bookmarkStart w:id="16" w:name="_Toc28359097"/>
      <w:bookmarkStart w:id="17" w:name="_Toc28359020"/>
      <w:bookmarkStart w:id="18" w:name="_Toc35393807"/>
      <w:r>
        <w:rPr>
          <w:rFonts w:hint="eastAsia" w:ascii="仿宋" w:hAnsi="仿宋" w:eastAsia="仿宋" w:cs="仿宋"/>
          <w:sz w:val="24"/>
        </w:rPr>
        <w:t>名称：绍兴市人民医院</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项目联系人（询问）：冯一</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项目联系方式（询问）：13575588911</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质疑联系人：陈志良</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质疑联系方式：0575-88558821</w:t>
      </w:r>
    </w:p>
    <w:p>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35393639"/>
      <w:bookmarkStart w:id="20" w:name="_Toc28359021"/>
      <w:bookmarkStart w:id="21" w:name="_Toc35393808"/>
      <w:bookmarkStart w:id="22" w:name="_Toc28359098"/>
      <w:r>
        <w:rPr>
          <w:rFonts w:hint="eastAsia" w:ascii="仿宋" w:hAnsi="仿宋" w:eastAsia="仿宋" w:cs="仿宋"/>
          <w:sz w:val="24"/>
        </w:rPr>
        <w:t>名称：耀华建设管理有限公司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绍兴市越城区阳明北路80号滨江大厦C楼3楼309号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rPr>
        <w:t>叶梦雯、阮建宏</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w:t>
      </w:r>
      <w:r>
        <w:rPr>
          <w:rFonts w:hint="eastAsia" w:ascii="仿宋" w:hAnsi="仿宋" w:eastAsia="仿宋" w:cs="仿宋"/>
          <w:kern w:val="0"/>
          <w:sz w:val="24"/>
        </w:rPr>
        <w:t>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郭虹</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质疑联系方式：0575-</w:t>
      </w:r>
      <w:r>
        <w:rPr>
          <w:rFonts w:hint="eastAsia" w:ascii="仿宋" w:hAnsi="仿宋" w:eastAsia="仿宋" w:cs="仿宋"/>
          <w:kern w:val="0"/>
          <w:sz w:val="24"/>
        </w:rPr>
        <w:t>88336881</w:t>
      </w:r>
      <w:r>
        <w:rPr>
          <w:rFonts w:hint="eastAsia" w:ascii="仿宋" w:hAnsi="仿宋" w:eastAsia="仿宋" w:cs="仿宋"/>
          <w:sz w:val="24"/>
        </w:rPr>
        <w:t>　</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ascii="仿宋" w:hAnsi="仿宋" w:eastAsia="仿宋" w:cs="仿宋"/>
          <w:sz w:val="24"/>
        </w:rPr>
      </w:pPr>
      <w:r>
        <w:rPr>
          <w:rFonts w:hint="eastAsia" w:ascii="仿宋" w:hAnsi="仿宋" w:eastAsia="仿宋" w:cs="仿宋"/>
          <w:sz w:val="24"/>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  </w:t>
            </w:r>
            <w:r>
              <w:rPr>
                <w:rFonts w:hint="eastAsia" w:ascii="仿宋" w:hAnsi="仿宋" w:eastAsia="仿宋" w:cs="仿宋"/>
                <w:sz w:val="24"/>
              </w:rPr>
              <w:t>,地点：</w:t>
            </w:r>
            <w:r>
              <w:rPr>
                <w:rFonts w:hint="eastAsia" w:ascii="仿宋" w:hAnsi="仿宋" w:eastAsia="仿宋" w:cs="仿宋"/>
                <w:sz w:val="24"/>
                <w:u w:val="single"/>
              </w:rPr>
              <w:t xml:space="preserve">  /  </w:t>
            </w:r>
            <w:r>
              <w:rPr>
                <w:rFonts w:hint="eastAsia" w:ascii="仿宋" w:hAnsi="仿宋" w:eastAsia="仿宋" w:cs="仿宋"/>
                <w:sz w:val="24"/>
              </w:rPr>
              <w:t>，联系人：</w:t>
            </w:r>
            <w:r>
              <w:rPr>
                <w:rFonts w:hint="eastAsia" w:ascii="仿宋" w:hAnsi="仿宋" w:eastAsia="仿宋" w:cs="仿宋"/>
                <w:sz w:val="24"/>
                <w:u w:val="single"/>
              </w:rPr>
              <w:t xml:space="preserve">  /  </w:t>
            </w:r>
            <w:r>
              <w:rPr>
                <w:rFonts w:hint="eastAsia" w:ascii="仿宋" w:hAnsi="仿宋" w:eastAsia="仿宋" w:cs="仿宋"/>
                <w:sz w:val="24"/>
              </w:rPr>
              <w:t>，联系方式：</w:t>
            </w:r>
            <w:r>
              <w:rPr>
                <w:rFonts w:hint="eastAsia" w:ascii="仿宋" w:hAnsi="仿宋" w:eastAsia="仿宋" w:cs="仿宋"/>
                <w:sz w:val="24"/>
                <w:u w:val="single"/>
              </w:rPr>
              <w:t xml:space="preserve">  /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rPr>
              <w:t xml:space="preserve">      </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napToGrid w:val="0"/>
                <w:kern w:val="28"/>
                <w:sz w:val="24"/>
                <w:u w:val="single"/>
              </w:rPr>
              <w:t xml:space="preserve">      </w:t>
            </w:r>
            <w:r>
              <w:rPr>
                <w:rFonts w:hint="eastAsia" w:ascii="仿宋" w:hAnsi="仿宋" w:eastAsia="仿宋" w:cs="仿宋"/>
                <w:kern w:val="0"/>
                <w:sz w:val="24"/>
              </w:rPr>
              <w:t>；地点：</w:t>
            </w:r>
            <w:r>
              <w:rPr>
                <w:rFonts w:hint="eastAsia" w:ascii="仿宋" w:hAnsi="仿宋" w:eastAsia="仿宋" w:cs="仿宋"/>
                <w:snapToGrid w:val="0"/>
                <w:kern w:val="28"/>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napToGrid w:val="0"/>
                <w:kern w:val="28"/>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napToGrid w:val="0"/>
                <w:kern w:val="28"/>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autoSpaceDE w:val="0"/>
              <w:autoSpaceDN w:val="0"/>
              <w:spacing w:line="288" w:lineRule="auto"/>
              <w:jc w:val="left"/>
              <w:rPr>
                <w:rFonts w:ascii="仿宋" w:hAnsi="仿宋" w:eastAsia="仿宋" w:cs="仿宋"/>
                <w:b/>
                <w:sz w:val="24"/>
                <w:highlight w:val="green"/>
              </w:rPr>
            </w:pPr>
            <w:r>
              <w:rPr>
                <w:rFonts w:hint="eastAsia" w:ascii="仿宋" w:hAnsi="仿宋" w:eastAsia="仿宋"/>
                <w:sz w:val="24"/>
              </w:rPr>
              <w:t>★</w:t>
            </w:r>
            <w:r>
              <w:rPr>
                <w:rFonts w:hint="eastAsia" w:ascii="仿宋" w:hAnsi="仿宋" w:eastAsia="仿宋"/>
                <w:b/>
                <w:snapToGrid w:val="0"/>
                <w:kern w:val="28"/>
                <w:sz w:val="24"/>
              </w:rPr>
              <w:t>对未提供样品或提供样品不满足采购需求实质性条件的，作无效投标处理。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方案讲解演示：</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pPr>
              <w:spacing w:line="288" w:lineRule="auto"/>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sz w:val="24"/>
                <w:highlight w:val="gree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元收取。（各中标单位按整个项目中标金额占比支付代理服务费）</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第三部分"/>
      <w:bookmarkStart w:id="24" w:name="_Toc164416483"/>
    </w:p>
    <w:p>
      <w:pPr>
        <w:adjustRightInd/>
        <w:spacing w:line="288" w:lineRule="auto"/>
        <w:jc w:val="center"/>
        <w:outlineLvl w:val="0"/>
        <w:rPr>
          <w:rFonts w:ascii="仿宋" w:hAnsi="仿宋" w:eastAsia="仿宋" w:cs="仿宋"/>
          <w:b/>
          <w:sz w:val="32"/>
          <w:szCs w:val="32"/>
        </w:rPr>
      </w:pPr>
    </w:p>
    <w:p>
      <w:pPr>
        <w:adjustRightInd/>
        <w:spacing w:line="288" w:lineRule="auto"/>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32"/>
          <w:szCs w:val="32"/>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2.2.19投标人需要说明的其他文件和说明（格式自拟）。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3"/>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3"/>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pPr>
        <w:spacing w:line="288" w:lineRule="auto"/>
        <w:jc w:val="center"/>
        <w:rPr>
          <w:rFonts w:ascii="仿宋" w:hAnsi="仿宋" w:eastAsia="仿宋" w:cs="仿宋"/>
          <w:b/>
          <w:sz w:val="32"/>
          <w:szCs w:val="32"/>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5"/>
    <w:p>
      <w:pPr>
        <w:pStyle w:val="32"/>
        <w:spacing w:line="288" w:lineRule="auto"/>
        <w:ind w:firstLine="726"/>
        <w:jc w:val="center"/>
        <w:rPr>
          <w:rFonts w:ascii="仿宋" w:hAnsi="仿宋" w:eastAsia="仿宋" w:cs="仿宋"/>
          <w:b/>
          <w:sz w:val="32"/>
          <w:szCs w:val="32"/>
        </w:rPr>
      </w:pPr>
      <w:bookmarkStart w:id="26" w:name="_Toc81372776"/>
      <w:bookmarkStart w:id="27" w:name="_Toc84325929"/>
      <w:bookmarkStart w:id="28" w:name="_Toc81372953"/>
    </w:p>
    <w:p>
      <w:pPr>
        <w:pStyle w:val="32"/>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6"/>
    <w:bookmarkEnd w:id="27"/>
    <w:bookmarkEnd w:id="28"/>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288" w:lineRule="auto"/>
        <w:jc w:val="center"/>
        <w:outlineLvl w:val="0"/>
        <w:rPr>
          <w:rFonts w:ascii="仿宋" w:hAnsi="仿宋" w:eastAsia="仿宋" w:cs="仿宋"/>
          <w:sz w:val="24"/>
        </w:rPr>
      </w:pPr>
      <w:bookmarkStart w:id="29" w:name="_Toc86217003"/>
      <w:bookmarkStart w:id="30" w:name="第五部分"/>
      <w:r>
        <w:rPr>
          <w:rFonts w:hint="eastAsia" w:ascii="仿宋" w:hAnsi="仿宋" w:eastAsia="仿宋" w:cs="仿宋"/>
          <w:b/>
          <w:sz w:val="36"/>
          <w:szCs w:val="36"/>
        </w:rPr>
        <w:t>第三部分   招标项目范围及要求</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一、检验外送项目清单</w:t>
      </w:r>
    </w:p>
    <w:p>
      <w:pPr>
        <w:spacing w:line="288" w:lineRule="auto"/>
        <w:rPr>
          <w:rFonts w:ascii="仿宋" w:hAnsi="仿宋" w:eastAsia="仿宋" w:cs="仿宋"/>
          <w:b/>
          <w:sz w:val="24"/>
        </w:rPr>
      </w:pPr>
      <w:r>
        <w:rPr>
          <w:rFonts w:hint="eastAsia" w:ascii="仿宋" w:hAnsi="仿宋" w:eastAsia="仿宋" w:cs="仿宋"/>
          <w:b/>
          <w:sz w:val="24"/>
        </w:rPr>
        <w:t>本项目普检预算金额300万元，基因突变预算金额100万元，合计400万元。</w:t>
      </w:r>
    </w:p>
    <w:p>
      <w:pPr>
        <w:spacing w:line="288" w:lineRule="auto"/>
        <w:ind w:firstLine="482" w:firstLineChars="200"/>
        <w:rPr>
          <w:rFonts w:ascii="仿宋" w:hAnsi="仿宋" w:eastAsia="仿宋" w:cs="仿宋"/>
          <w:b/>
          <w:bCs/>
          <w:sz w:val="24"/>
        </w:rPr>
      </w:pPr>
      <w:r>
        <w:rPr>
          <w:rFonts w:hint="eastAsia" w:ascii="仿宋" w:hAnsi="仿宋" w:eastAsia="仿宋" w:cs="仿宋"/>
          <w:b/>
          <w:bCs/>
          <w:sz w:val="24"/>
        </w:rPr>
        <w:t>1.普检项目（按疾病检测需要项目数量收费）</w:t>
      </w:r>
    </w:p>
    <w:tbl>
      <w:tblPr>
        <w:tblStyle w:val="64"/>
        <w:tblW w:w="8019" w:type="dxa"/>
        <w:tblInd w:w="96" w:type="dxa"/>
        <w:tblLayout w:type="autofit"/>
        <w:tblCellMar>
          <w:top w:w="0" w:type="dxa"/>
          <w:left w:w="108" w:type="dxa"/>
          <w:bottom w:w="0" w:type="dxa"/>
          <w:right w:w="108" w:type="dxa"/>
        </w:tblCellMar>
      </w:tblPr>
      <w:tblGrid>
        <w:gridCol w:w="969"/>
        <w:gridCol w:w="7050"/>
      </w:tblGrid>
      <w:tr>
        <w:trPr>
          <w:trHeight w:val="36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sz w:val="24"/>
              </w:rPr>
            </w:pPr>
            <w:r>
              <w:rPr>
                <w:rFonts w:hint="eastAsia" w:ascii="仿宋" w:hAnsi="仿宋" w:eastAsia="仿宋" w:cs="仿宋"/>
                <w:b/>
                <w:bCs/>
                <w:sz w:val="24"/>
              </w:rPr>
              <w:t>序号</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sz w:val="24"/>
              </w:rPr>
            </w:pPr>
            <w:r>
              <w:rPr>
                <w:rFonts w:hint="eastAsia" w:ascii="仿宋" w:hAnsi="仿宋" w:eastAsia="仿宋" w:cs="仿宋"/>
                <w:b/>
                <w:bCs/>
                <w:sz w:val="24"/>
              </w:rPr>
              <w:t>检测项</w:t>
            </w:r>
          </w:p>
        </w:tc>
      </w:tr>
      <w:tr>
        <w:tblPrEx>
          <w:tblCellMar>
            <w:top w:w="0" w:type="dxa"/>
            <w:left w:w="108" w:type="dxa"/>
            <w:bottom w:w="0" w:type="dxa"/>
            <w:right w:w="108" w:type="dxa"/>
          </w:tblCellMar>
        </w:tblPrEx>
        <w:trPr>
          <w:trHeight w:val="36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醛固酮测定（24小时尿）</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β2微球蛋白(血、尿)</w:t>
            </w:r>
          </w:p>
        </w:tc>
      </w:tr>
      <w:tr>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类胰岛素样生长因子-1测定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类胰岛素样生长因子结合蛋白-3测定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5</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直接抗人球蛋白试验</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6</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间接抗人球蛋白试验</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7</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微量元素测定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8</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铅测定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9</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军团菌检测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10</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巨细胞病毒脱氧核糖核酸</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11</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单纯疱疹病毒I型脱氧核糖核酸</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12</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单纯疱疹病毒II型脱氧核糖核酸</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13</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细小病毒B19核酸检测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14</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新型隐球菌荚膜抗原测定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15</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水痘-带状疱疹抗体检测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16</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免疫固定电泳（血、尿）</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17</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血红蛋白电泳</w:t>
            </w:r>
          </w:p>
        </w:tc>
      </w:tr>
      <w:tr>
        <w:tblPrEx>
          <w:tblCellMar>
            <w:top w:w="0" w:type="dxa"/>
            <w:left w:w="108" w:type="dxa"/>
            <w:bottom w:w="0" w:type="dxa"/>
            <w:right w:w="108" w:type="dxa"/>
          </w:tblCellMar>
        </w:tblPrEx>
        <w:trPr>
          <w:trHeight w:val="696"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18</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总铁结合力组合（不饱和铁结合力、血清铁、总铁结合力、血清铁饱和度）</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19</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胃泌素</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20</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Rh血型其他抗原鉴定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21</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生长激素</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22</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丙肝RNA检测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23</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G6PD活性检测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24</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高灵敏丙肝RNA检测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25</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Rta/IgG抗体</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26</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甲胎蛋白异质体质</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27</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粪钙卫蛋白</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28</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游离轻链</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29</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EB病毒DNA</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30</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呼吸道多种病原体核酸组合</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31</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人CK18-M30/M65</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32</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前列腺特异性抗源同源异构体</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33</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铜蓝蛋白</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34</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生殖分泌物免疫荧光染色</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35</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狼疮抗凝物</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36</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草酸盐测定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37</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可溶性CD25</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38</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壁细胞抗体</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39</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内因子抗体</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40</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趋化因子、生长因子、CSF</w:t>
            </w:r>
          </w:p>
        </w:tc>
      </w:tr>
      <w:tr>
        <w:tblPrEx>
          <w:tblCellMar>
            <w:top w:w="0" w:type="dxa"/>
            <w:left w:w="108" w:type="dxa"/>
            <w:bottom w:w="0" w:type="dxa"/>
            <w:right w:w="108" w:type="dxa"/>
          </w:tblCellMar>
        </w:tblPrEx>
        <w:trPr>
          <w:trHeight w:val="44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41</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幽门螺杆菌检测</w:t>
            </w:r>
          </w:p>
        </w:tc>
      </w:tr>
      <w:tr>
        <w:tblPrEx>
          <w:tblCellMar>
            <w:top w:w="0" w:type="dxa"/>
            <w:left w:w="108" w:type="dxa"/>
            <w:bottom w:w="0" w:type="dxa"/>
            <w:right w:w="108" w:type="dxa"/>
          </w:tblCellMar>
        </w:tblPrEx>
        <w:trPr>
          <w:trHeight w:val="36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42</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proGRP</w:t>
            </w:r>
          </w:p>
        </w:tc>
      </w:tr>
      <w:tr>
        <w:tblPrEx>
          <w:tblCellMar>
            <w:top w:w="0" w:type="dxa"/>
            <w:left w:w="108" w:type="dxa"/>
            <w:bottom w:w="0" w:type="dxa"/>
            <w:right w:w="108" w:type="dxa"/>
          </w:tblCellMar>
        </w:tblPrEx>
        <w:trPr>
          <w:trHeight w:val="38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43</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脑脊液寡克隆电泳分析</w:t>
            </w:r>
          </w:p>
        </w:tc>
      </w:tr>
      <w:tr>
        <w:tblPrEx>
          <w:tblCellMar>
            <w:top w:w="0" w:type="dxa"/>
            <w:left w:w="108" w:type="dxa"/>
            <w:bottom w:w="0" w:type="dxa"/>
            <w:right w:w="108" w:type="dxa"/>
          </w:tblCellMar>
        </w:tblPrEx>
        <w:trPr>
          <w:trHeight w:val="36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44</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冷凝集</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45</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肥达氏试验</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46</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登革热核酸检测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47</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24小时尿游离皮质醇</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48</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结核分枝杆菌核酸检测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49</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kern w:val="0"/>
                <w:sz w:val="24"/>
                <w:lang w:bidi="ar"/>
              </w:rPr>
              <w:t>肺炎支原体耐药突变位点检测</w:t>
            </w:r>
          </w:p>
        </w:tc>
      </w:tr>
    </w:tbl>
    <w:p>
      <w:pPr>
        <w:spacing w:line="288" w:lineRule="auto"/>
        <w:ind w:firstLine="482" w:firstLineChars="200"/>
        <w:rPr>
          <w:rFonts w:ascii="仿宋" w:hAnsi="仿宋" w:eastAsia="仿宋" w:cs="仿宋"/>
          <w:b/>
          <w:bCs/>
          <w:sz w:val="24"/>
        </w:rPr>
      </w:pPr>
      <w:r>
        <w:rPr>
          <w:rFonts w:hint="eastAsia" w:ascii="仿宋" w:hAnsi="仿宋" w:eastAsia="仿宋" w:cs="仿宋"/>
          <w:b/>
          <w:bCs/>
          <w:sz w:val="24"/>
        </w:rPr>
        <w:t>2.基因突变项目（按疾病检测需要项目数量收费）</w:t>
      </w:r>
    </w:p>
    <w:tbl>
      <w:tblPr>
        <w:tblStyle w:val="64"/>
        <w:tblW w:w="8019" w:type="dxa"/>
        <w:tblInd w:w="96" w:type="dxa"/>
        <w:tblLayout w:type="autofit"/>
        <w:tblCellMar>
          <w:top w:w="0" w:type="dxa"/>
          <w:left w:w="108" w:type="dxa"/>
          <w:bottom w:w="0" w:type="dxa"/>
          <w:right w:w="108" w:type="dxa"/>
        </w:tblCellMar>
      </w:tblPr>
      <w:tblGrid>
        <w:gridCol w:w="969"/>
        <w:gridCol w:w="7050"/>
      </w:tblGrid>
      <w:tr>
        <w:tblPrEx>
          <w:tblCellMar>
            <w:top w:w="0" w:type="dxa"/>
            <w:left w:w="108" w:type="dxa"/>
            <w:bottom w:w="0" w:type="dxa"/>
            <w:right w:w="108" w:type="dxa"/>
          </w:tblCellMar>
        </w:tblPrEx>
        <w:trPr>
          <w:trHeight w:val="36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sz w:val="24"/>
              </w:rPr>
            </w:pPr>
            <w:r>
              <w:rPr>
                <w:rFonts w:hint="eastAsia" w:ascii="仿宋" w:hAnsi="仿宋" w:eastAsia="仿宋" w:cs="仿宋"/>
                <w:b/>
                <w:bCs/>
                <w:sz w:val="24"/>
              </w:rPr>
              <w:t>序号</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sz w:val="24"/>
              </w:rPr>
            </w:pPr>
            <w:r>
              <w:rPr>
                <w:rFonts w:hint="eastAsia" w:ascii="仿宋" w:hAnsi="仿宋" w:eastAsia="仿宋" w:cs="仿宋"/>
                <w:b/>
                <w:bCs/>
                <w:sz w:val="24"/>
              </w:rPr>
              <w:t>检测项</w:t>
            </w:r>
          </w:p>
        </w:tc>
      </w:tr>
      <w:tr>
        <w:tblPrEx>
          <w:tblCellMar>
            <w:top w:w="0" w:type="dxa"/>
            <w:left w:w="108" w:type="dxa"/>
            <w:bottom w:w="0" w:type="dxa"/>
            <w:right w:w="108" w:type="dxa"/>
          </w:tblCellMar>
        </w:tblPrEx>
        <w:trPr>
          <w:trHeight w:val="36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人类EGFR基因突变检测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2</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人类K-RAS基因突变检测（包括人类PIK3CA基因突变检测）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3</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人类EML4-ALK融合基因检测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4</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人类B-RAF基因V600E突变检测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5</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基因表达水平对肿瘤药物敏感性的判断检测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6</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化学药物用药指导的基因检测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7</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乙肝耐药基因测定</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8</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丙肝病毒基因分型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9</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单基因遗传病基因突变检测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10</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HLA-B27基因分型检测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11</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地中海贫血基因检测</w:t>
            </w:r>
          </w:p>
        </w:tc>
      </w:tr>
      <w:tr>
        <w:tblPrEx>
          <w:tblCellMar>
            <w:top w:w="0" w:type="dxa"/>
            <w:left w:w="108" w:type="dxa"/>
            <w:bottom w:w="0" w:type="dxa"/>
            <w:right w:w="108" w:type="dxa"/>
          </w:tblCellMar>
        </w:tblPrEx>
        <w:trPr>
          <w:trHeight w:val="348"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sz w:val="24"/>
              </w:rPr>
            </w:pPr>
            <w:r>
              <w:rPr>
                <w:rFonts w:hint="eastAsia" w:ascii="仿宋" w:hAnsi="仿宋" w:eastAsia="仿宋" w:cs="仿宋"/>
                <w:kern w:val="0"/>
                <w:sz w:val="24"/>
                <w:lang w:bidi="ar"/>
              </w:rPr>
              <w:t>12</w:t>
            </w:r>
          </w:p>
        </w:tc>
        <w:tc>
          <w:tcPr>
            <w:tcW w:w="7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left"/>
              <w:textAlignment w:val="center"/>
              <w:rPr>
                <w:rFonts w:ascii="仿宋" w:hAnsi="仿宋" w:eastAsia="仿宋" w:cs="仿宋"/>
                <w:sz w:val="24"/>
              </w:rPr>
            </w:pPr>
            <w:r>
              <w:rPr>
                <w:rFonts w:hint="eastAsia" w:ascii="仿宋" w:hAnsi="仿宋" w:eastAsia="仿宋" w:cs="仿宋"/>
                <w:sz w:val="24"/>
              </w:rPr>
              <w:t>医院同意外送的其他检测项目（项目需有收费依据）</w:t>
            </w:r>
          </w:p>
        </w:tc>
      </w:tr>
    </w:tbl>
    <w:p>
      <w:pPr>
        <w:spacing w:line="288" w:lineRule="auto"/>
        <w:ind w:firstLine="482" w:firstLineChars="200"/>
        <w:rPr>
          <w:rFonts w:ascii="仿宋" w:hAnsi="仿宋" w:eastAsia="仿宋" w:cs="仿宋"/>
          <w:b/>
          <w:bCs/>
          <w:sz w:val="24"/>
          <w:szCs w:val="20"/>
        </w:rPr>
      </w:pPr>
      <w:r>
        <w:rPr>
          <w:rFonts w:hint="eastAsia" w:ascii="仿宋" w:hAnsi="仿宋" w:eastAsia="仿宋" w:cs="仿宋"/>
          <w:b/>
          <w:bCs/>
          <w:sz w:val="24"/>
        </w:rPr>
        <w:t>备注：投标人上述全部项目必须均能开展，不能缺项。</w:t>
      </w:r>
    </w:p>
    <w:p>
      <w:pPr>
        <w:tabs>
          <w:tab w:val="left" w:pos="3870"/>
          <w:tab w:val="left" w:pos="4085"/>
        </w:tabs>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二、服务要求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1、投标人所提供的产品必须符合国家有关的质量标准及相应的行业标准，且系国家有关部门批准许可生产或许可销售的合格产品。</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2、投标人接到采购人电话通知一个工作日内（紧急检测要求2小时内送达）必须送标本到指定部门。</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3、合同期内，若中标人累计三次无正当理由不能提供投标书所列产品的，采购单位有权取消合同。</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4、中标人对采购人不明原因引起的医疗投诉，能协助采购人做好患者的协调工作，并承担相关的处理和赔偿费用。</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5、因投标产品质量问题所造成的医疗纠纷，所产生的所有费用由中标人承担。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6、协议期内，由于代理权限的转移或者公司注销等原因，中标人应以书面的形式说明原因并协助医院做好产品的延续工作，同时采购人有权重新确定新的中标单位。</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7、投标响应文件中所列产品必须保证质量，并不得更改名称，否则将被作为不诚实行为，采购人有权要求其改正，直至取消中标资格。</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8、受委托实验室负责每天到医学检验科收集标本，对标本进行可靠包装，并负责进行标本信息的输入与上传至受委托实验室。非医院标本不得带入医学检验科整理上传，未经医学检验科同意不得将非委托标本带出检验科。</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9、所有样本的运送必须符合样本温度的管理要求，采用相应的冷链运送技术，特殊标本运输过程中需干冰冻存。所有样本运送必须采用符合相关标准的冷链物流车或转送车辆及冷链物流箱，冷链物流车或转送车辆及冷链物流箱配备数量满足标本转送要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10、受委托实验室负责根据检验申请单的检验项目要求对标本进行检验，并对检验结果的准确性负责，如因检验结果的准确性引起医疗纠纷，所产生的所有费用由受委托实验室承担。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受委托实验室负责对检验后的标本进行妥善保存，以便检验结果有疑义时进行再次检验，保存标本的时间不应少于相关标准或条例所规定的时间。检验后标本不得它用，如有违反，受委托实验室将承担全部责任。样本交接及运送过程必须符合样本的安全管理要求，符合《病原微生物实验室生物安全管理条例》、《可感染人类的高致病性病原微生物菌（毒）种或样本运输管理规定》、《浙江省病原微生物实验室生物安全管理办法（试行）》等相关法律法规规章涉及的生物安全规定。</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每周一至周日收取标本，按标本保存条件进行运输，对保证标本的可靠性和有效性负责，并在《项目手册》中的规定“报告时间”内发放报告，所有中标项目报告时间最长不超过7天。结果及时导入医院LIS系统，保证检验报告的准确性和及时性。样本有特殊情况无法按时出报告需要提前通知医学检验科，受委托实验室对检验报告单的准确性和及时性负责。</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当医学检验科对受委托实验室的检验结果有疑义或异议时，医学检验科可要求受委托实验室重新检验或再委托其他相同资质或更高资质第三方检验。这种情况下所发生的费用，由中标人承担。如出现三次（含三次）以上质量问题，采购人有权中止合同，并在完成下一承接单位前，中标人需配合过渡期标本的检测。</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中标人应协助医院价格管理科及信息中心完成委托项目医嘱建立及录入。所有中标项目收费单价以《浙江省基本医疗保险医疗服务项目》及《绍兴市县级以上公立医院医疗服务价格手册》为依据，经采购人物价管理部门审核确定，如因试剂无证被查或套条码收费检测被查，所产生的一切后果及损失，由中标人承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受委托实验室按医学检验科要求提供以下设备：（1）固定式下载服务器或专线访问客户端；（2）彩色打印机2台（临检中心、血液科各1台）；（3）主流硬件配置电脑2台（如提供的是专线访问客户端需增加1台电脑），配置需符合日常申请单结果上传下载需求：CPU I5或更高、1TB、内存8G、Win7系统、知名品牌）。</w:t>
      </w:r>
    </w:p>
    <w:p>
      <w:pPr>
        <w:tabs>
          <w:tab w:val="left" w:pos="3870"/>
          <w:tab w:val="left" w:pos="4085"/>
        </w:tabs>
        <w:snapToGrid w:val="0"/>
        <w:spacing w:line="288" w:lineRule="auto"/>
        <w:ind w:firstLine="480" w:firstLineChars="200"/>
        <w:rPr>
          <w:rFonts w:ascii="仿宋" w:hAnsi="仿宋" w:eastAsia="仿宋" w:cs="仿宋"/>
          <w:sz w:val="24"/>
        </w:rPr>
      </w:pPr>
      <w:r>
        <w:rPr>
          <w:rFonts w:hint="eastAsia" w:ascii="仿宋" w:hAnsi="仿宋" w:eastAsia="仿宋" w:cs="仿宋"/>
          <w:sz w:val="24"/>
        </w:rPr>
        <w:t>16、所有病人项目信息录入受委托实验室医院终端系统后可自动发送至受委托实验室，结果（包括图文报告及数字报告）可自动返回医学检验科LIS并完成自动审核；按医院要求完成报告的归档，调阅、访问等功能，其所产生的费用均由中标方承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受委托实验室应和医院信息中心及时对接，提供对接LIS系统软件服务，可随时配合软件升级、数据储存、上传下载等需要，定期维护数据储存设备并管理好委托实验室提供的服务器。需承担信息系统升级改造、一院两区信息系统要求等所产生的接口费等费用；如投放设备发生问题由受委托实验室立即解决。</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18、每月提供项目清单及对账服务。</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19、受委托项目更改方法学、试剂、参考范围、样本类型等需提前和医院医学检验科沟通。</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20、建立委托实验室（血液病检测）相关专业人员、医学检验科相关人员、血液科医生微信群，以便及时沟通患者情况。</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21、受委托实验室需在中标后1个月内完成以上设备、系统更新等工作。</w:t>
      </w:r>
    </w:p>
    <w:p>
      <w:pPr>
        <w:tabs>
          <w:tab w:val="left" w:pos="3870"/>
          <w:tab w:val="left" w:pos="4085"/>
        </w:tabs>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三、服务期限</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自合同签订之日起两年。</w:t>
      </w:r>
    </w:p>
    <w:p>
      <w:pPr>
        <w:tabs>
          <w:tab w:val="left" w:pos="3870"/>
          <w:tab w:val="left" w:pos="4085"/>
        </w:tabs>
        <w:snapToGrid w:val="0"/>
        <w:spacing w:line="288" w:lineRule="auto"/>
        <w:ind w:firstLine="482" w:firstLineChars="200"/>
        <w:jc w:val="left"/>
        <w:rPr>
          <w:rFonts w:ascii="仿宋" w:hAnsi="仿宋" w:eastAsia="仿宋" w:cs="仿宋"/>
          <w:b/>
          <w:bCs/>
          <w:sz w:val="24"/>
          <w:lang w:val="zh-CN"/>
        </w:rPr>
      </w:pPr>
      <w:r>
        <w:rPr>
          <w:rFonts w:hint="eastAsia" w:ascii="仿宋" w:hAnsi="仿宋" w:eastAsia="仿宋" w:cs="仿宋"/>
          <w:b/>
          <w:bCs/>
          <w:sz w:val="24"/>
          <w:lang w:val="zh-CN"/>
        </w:rPr>
        <w:t>四、付款方式</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lang w:val="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tabs>
          <w:tab w:val="left" w:pos="3870"/>
          <w:tab w:val="left" w:pos="4085"/>
        </w:tabs>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★五、报价要求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本项目报价以《</w:t>
      </w:r>
      <w:r>
        <w:rPr>
          <w:rFonts w:hint="eastAsia" w:ascii="仿宋" w:hAnsi="仿宋" w:eastAsia="仿宋" w:cs="仿宋"/>
          <w:sz w:val="24"/>
          <w:lang w:val="zh-CN"/>
        </w:rPr>
        <w:t>浙江省医疗服务行业物价收费标准</w:t>
      </w:r>
      <w:r>
        <w:rPr>
          <w:rFonts w:hint="eastAsia" w:ascii="仿宋" w:hAnsi="仿宋" w:eastAsia="仿宋" w:cs="仿宋"/>
          <w:sz w:val="24"/>
        </w:rPr>
        <w:t>》为基准价，按折扣报价（即：结算价=基准价*折扣数值。如报价为29%，表示折扣为2.9折），</w:t>
      </w:r>
      <w:r>
        <w:rPr>
          <w:rFonts w:hint="eastAsia" w:ascii="仿宋" w:hAnsi="仿宋" w:eastAsia="仿宋" w:cs="仿宋"/>
          <w:b/>
          <w:bCs/>
          <w:sz w:val="24"/>
          <w:u w:val="single"/>
          <w:lang w:val="zh-CN"/>
        </w:rPr>
        <w:t>投标折扣不高于</w:t>
      </w:r>
      <w:r>
        <w:rPr>
          <w:rFonts w:hint="eastAsia" w:ascii="仿宋" w:hAnsi="仿宋" w:eastAsia="仿宋" w:cs="仿宋"/>
          <w:b/>
          <w:bCs/>
          <w:sz w:val="24"/>
          <w:u w:val="single"/>
        </w:rPr>
        <w:t>《</w:t>
      </w:r>
      <w:r>
        <w:rPr>
          <w:rFonts w:hint="eastAsia" w:ascii="仿宋" w:hAnsi="仿宋" w:eastAsia="仿宋" w:cs="仿宋"/>
          <w:b/>
          <w:bCs/>
          <w:sz w:val="24"/>
          <w:u w:val="single"/>
          <w:lang w:val="zh-CN"/>
        </w:rPr>
        <w:t>浙江省医疗服务行业物价收费标准</w:t>
      </w:r>
      <w:r>
        <w:rPr>
          <w:rFonts w:hint="eastAsia" w:ascii="仿宋" w:hAnsi="仿宋" w:eastAsia="仿宋" w:cs="仿宋"/>
          <w:b/>
          <w:bCs/>
          <w:sz w:val="24"/>
          <w:u w:val="single"/>
        </w:rPr>
        <w:t>》</w:t>
      </w:r>
      <w:r>
        <w:rPr>
          <w:rFonts w:hint="eastAsia" w:ascii="仿宋" w:hAnsi="仿宋" w:eastAsia="仿宋" w:cs="仿宋"/>
          <w:b/>
          <w:bCs/>
          <w:sz w:val="24"/>
          <w:u w:val="single"/>
          <w:lang w:val="zh-CN"/>
        </w:rPr>
        <w:t>的</w:t>
      </w:r>
      <w:r>
        <w:rPr>
          <w:rFonts w:hint="eastAsia" w:ascii="仿宋" w:hAnsi="仿宋" w:eastAsia="仿宋" w:cs="仿宋"/>
          <w:b/>
          <w:bCs/>
          <w:sz w:val="24"/>
          <w:u w:val="single"/>
        </w:rPr>
        <w:t>30</w:t>
      </w:r>
      <w:r>
        <w:rPr>
          <w:rFonts w:hint="eastAsia" w:ascii="仿宋" w:hAnsi="仿宋" w:eastAsia="仿宋" w:cs="仿宋"/>
          <w:b/>
          <w:bCs/>
          <w:sz w:val="24"/>
          <w:u w:val="single"/>
          <w:lang w:val="zh-CN"/>
        </w:rPr>
        <w:t>%，否则视作无效投标。</w:t>
      </w:r>
    </w:p>
    <w:p>
      <w:pPr>
        <w:tabs>
          <w:tab w:val="left" w:pos="3870"/>
          <w:tab w:val="left" w:pos="4085"/>
        </w:tabs>
        <w:snapToGrid w:val="0"/>
        <w:spacing w:line="288" w:lineRule="auto"/>
        <w:ind w:firstLine="482" w:firstLineChars="200"/>
        <w:jc w:val="left"/>
        <w:rPr>
          <w:rFonts w:ascii="仿宋" w:hAnsi="仿宋" w:eastAsia="仿宋" w:cs="仿宋"/>
          <w:b/>
          <w:bCs/>
          <w:sz w:val="24"/>
          <w:lang w:val="zh-CN"/>
        </w:rPr>
      </w:pPr>
      <w:r>
        <w:rPr>
          <w:rFonts w:hint="eastAsia" w:ascii="仿宋" w:hAnsi="仿宋" w:eastAsia="仿宋" w:cs="仿宋"/>
          <w:b/>
          <w:bCs/>
          <w:sz w:val="24"/>
        </w:rPr>
        <w:t>六</w:t>
      </w:r>
      <w:r>
        <w:rPr>
          <w:rFonts w:hint="eastAsia" w:ascii="仿宋" w:hAnsi="仿宋" w:eastAsia="仿宋" w:cs="仿宋"/>
          <w:b/>
          <w:bCs/>
          <w:sz w:val="24"/>
          <w:lang w:val="zh-CN"/>
        </w:rPr>
        <w:t>、其他要求</w:t>
      </w:r>
    </w:p>
    <w:p>
      <w:pPr>
        <w:tabs>
          <w:tab w:val="left" w:pos="3870"/>
          <w:tab w:val="left" w:pos="4085"/>
        </w:tabs>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lang w:val="zh-CN"/>
        </w:rPr>
        <w:t>1、以上标段内项目在合同期间如医院或其共建实验室自行开展检测，可随时终止项目，不受合同限制。</w:t>
      </w:r>
    </w:p>
    <w:p>
      <w:pPr>
        <w:tabs>
          <w:tab w:val="left" w:pos="3870"/>
          <w:tab w:val="left" w:pos="4085"/>
        </w:tabs>
        <w:snapToGrid w:val="0"/>
        <w:spacing w:line="288" w:lineRule="auto"/>
        <w:ind w:firstLine="480" w:firstLineChars="200"/>
        <w:jc w:val="left"/>
        <w:rPr>
          <w:lang w:val="zh-CN"/>
        </w:rPr>
      </w:pPr>
      <w:r>
        <w:rPr>
          <w:rFonts w:hint="eastAsia" w:ascii="仿宋" w:hAnsi="仿宋" w:eastAsia="仿宋" w:cs="仿宋"/>
          <w:sz w:val="24"/>
        </w:rPr>
        <w:t>2、如有医院同意的临时委托检验项目送检，价格应按合同折扣执行。</w:t>
      </w:r>
    </w:p>
    <w:p>
      <w:pPr>
        <w:tabs>
          <w:tab w:val="left" w:pos="3870"/>
          <w:tab w:val="left" w:pos="4085"/>
        </w:tabs>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3</w:t>
      </w:r>
      <w:r>
        <w:rPr>
          <w:rFonts w:hint="eastAsia" w:ascii="仿宋" w:hAnsi="仿宋" w:eastAsia="仿宋" w:cs="仿宋"/>
          <w:sz w:val="24"/>
          <w:lang w:val="zh-CN"/>
        </w:rPr>
        <w:t>、合同期满后，在采购人没有再次进行招标前，或因再次招标至投标人改变，原投标人必须协助采购人做好衔接工作且供应价不变。合同期内，如有授权、法人等变更情况，采购人有权中止合同。</w:t>
      </w:r>
    </w:p>
    <w:p>
      <w:pPr>
        <w:tabs>
          <w:tab w:val="left" w:pos="3870"/>
          <w:tab w:val="left" w:pos="4085"/>
        </w:tabs>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、合同期间如遇有上级部门集中招标采购规定的，按上级部门规定执行，本期合同自然终止。</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lang w:val="zh-CN"/>
        </w:rPr>
        <w:t>5、中标人应对所有检测结果进行保密，如有泄露情况，采购人有权追究相关法律责任。</w:t>
      </w:r>
    </w:p>
    <w:p>
      <w:pPr>
        <w:spacing w:line="288" w:lineRule="auto"/>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4"/>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 w:val="28"/>
          <w:szCs w:val="28"/>
        </w:rPr>
        <w:t>第一部分 合同书</w:t>
      </w:r>
    </w:p>
    <w:p>
      <w:pPr>
        <w:spacing w:before="120" w:line="288" w:lineRule="auto"/>
        <w:rPr>
          <w:rFonts w:ascii="仿宋" w:hAnsi="仿宋" w:eastAsia="仿宋" w:cs="仿宋"/>
          <w:sz w:val="24"/>
        </w:rPr>
      </w:pPr>
    </w:p>
    <w:p>
      <w:pPr>
        <w:pStyle w:val="3"/>
        <w:spacing w:line="288" w:lineRule="auto"/>
        <w:rPr>
          <w:rFonts w:ascii="仿宋" w:eastAsia="仿宋" w:cs="仿宋"/>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01"/>
        <w:spacing w:before="120" w:line="288" w:lineRule="auto"/>
        <w:rPr>
          <w:rFonts w:ascii="仿宋" w:hAnsi="仿宋" w:eastAsia="仿宋" w:cs="仿宋"/>
          <w:szCs w:val="24"/>
        </w:rPr>
      </w:pPr>
    </w:p>
    <w:p>
      <w:pPr>
        <w:pStyle w:val="601"/>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pacing w:line="288" w:lineRule="auto"/>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sz w:val="24"/>
        </w:rPr>
      </w:pPr>
      <w:bookmarkStart w:id="31" w:name="_Toc22967"/>
      <w:bookmarkStart w:id="32" w:name="_Toc20421"/>
      <w:bookmarkStart w:id="33" w:name="_Toc15367"/>
      <w:bookmarkStart w:id="34" w:name="_Toc19273"/>
      <w:bookmarkStart w:id="35" w:name="_Toc28855"/>
      <w:r>
        <w:rPr>
          <w:rFonts w:hint="eastAsia" w:ascii="仿宋" w:hAnsi="仿宋" w:eastAsia="仿宋" w:cs="仿宋"/>
          <w:b/>
          <w:sz w:val="24"/>
        </w:rPr>
        <w:t>1.1 合同组成部分</w:t>
      </w:r>
      <w:bookmarkEnd w:id="31"/>
      <w:bookmarkEnd w:id="32"/>
      <w:bookmarkEnd w:id="33"/>
      <w:bookmarkEnd w:id="34"/>
      <w:bookmarkEnd w:id="35"/>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36" w:name="_Toc18585"/>
      <w:bookmarkStart w:id="37" w:name="_Toc2918"/>
      <w:bookmarkStart w:id="38" w:name="_Toc22185"/>
      <w:bookmarkStart w:id="39" w:name="_Toc6311"/>
      <w:bookmarkStart w:id="40" w:name="_Toc6773"/>
      <w:r>
        <w:rPr>
          <w:rFonts w:hint="eastAsia" w:ascii="仿宋" w:hAnsi="仿宋" w:eastAsia="仿宋" w:cs="仿宋"/>
          <w:b/>
          <w:sz w:val="24"/>
        </w:rPr>
        <w:t>1.2 标的</w:t>
      </w:r>
      <w:bookmarkEnd w:id="36"/>
      <w:bookmarkEnd w:id="37"/>
      <w:bookmarkEnd w:id="38"/>
      <w:bookmarkEnd w:id="39"/>
      <w:bookmarkEnd w:id="40"/>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6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spacing w:line="288" w:lineRule="auto"/>
        <w:ind w:firstLine="480" w:firstLineChars="200"/>
        <w:rPr>
          <w:rFonts w:ascii="仿宋" w:hAnsi="仿宋" w:eastAsia="仿宋" w:cs="仿宋"/>
          <w:sz w:val="24"/>
          <w:u w:val="single"/>
        </w:rPr>
      </w:pPr>
      <w:bookmarkStart w:id="41" w:name="_Toc1386"/>
      <w:bookmarkStart w:id="42" w:name="_Toc4929"/>
      <w:bookmarkStart w:id="43" w:name="_Toc13918"/>
      <w:bookmarkStart w:id="44" w:name="_Toc5635"/>
      <w:bookmarkStart w:id="45"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1"/>
      <w:bookmarkEnd w:id="42"/>
      <w:bookmarkEnd w:id="43"/>
      <w:bookmarkEnd w:id="44"/>
      <w:bookmarkEnd w:id="45"/>
    </w:p>
    <w:p>
      <w:pPr>
        <w:spacing w:line="288" w:lineRule="auto"/>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1"/>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1"/>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288" w:lineRule="auto"/>
              <w:ind w:firstLine="480" w:firstLineChars="200"/>
              <w:jc w:val="center"/>
              <w:rPr>
                <w:rFonts w:ascii="仿宋" w:hAnsi="仿宋" w:eastAsia="仿宋" w:cs="仿宋"/>
                <w:sz w:val="24"/>
                <w:szCs w:val="24"/>
              </w:rPr>
            </w:pPr>
          </w:p>
        </w:tc>
        <w:tc>
          <w:tcPr>
            <w:tcW w:w="3402" w:type="dxa"/>
            <w:vAlign w:val="center"/>
          </w:tcPr>
          <w:p>
            <w:pPr>
              <w:pStyle w:val="321"/>
              <w:spacing w:line="288" w:lineRule="auto"/>
              <w:ind w:firstLine="480" w:firstLineChars="200"/>
              <w:jc w:val="center"/>
              <w:rPr>
                <w:rFonts w:ascii="仿宋" w:hAnsi="仿宋" w:eastAsia="仿宋" w:cs="仿宋"/>
                <w:sz w:val="24"/>
                <w:szCs w:val="24"/>
              </w:rPr>
            </w:pPr>
          </w:p>
        </w:tc>
        <w:tc>
          <w:tcPr>
            <w:tcW w:w="2552" w:type="dxa"/>
            <w:vAlign w:val="center"/>
          </w:tcPr>
          <w:p>
            <w:pPr>
              <w:pStyle w:val="321"/>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288" w:lineRule="auto"/>
              <w:ind w:firstLine="480" w:firstLineChars="200"/>
              <w:jc w:val="center"/>
              <w:rPr>
                <w:rFonts w:ascii="仿宋" w:hAnsi="仿宋" w:eastAsia="仿宋" w:cs="仿宋"/>
                <w:sz w:val="24"/>
                <w:szCs w:val="24"/>
              </w:rPr>
            </w:pPr>
          </w:p>
        </w:tc>
        <w:tc>
          <w:tcPr>
            <w:tcW w:w="3402" w:type="dxa"/>
            <w:vAlign w:val="center"/>
          </w:tcPr>
          <w:p>
            <w:pPr>
              <w:pStyle w:val="321"/>
              <w:spacing w:line="288" w:lineRule="auto"/>
              <w:ind w:firstLine="480" w:firstLineChars="200"/>
              <w:jc w:val="center"/>
              <w:rPr>
                <w:rFonts w:ascii="仿宋" w:hAnsi="仿宋" w:eastAsia="仿宋" w:cs="仿宋"/>
                <w:sz w:val="24"/>
                <w:szCs w:val="24"/>
              </w:rPr>
            </w:pPr>
          </w:p>
        </w:tc>
        <w:tc>
          <w:tcPr>
            <w:tcW w:w="2552" w:type="dxa"/>
            <w:vAlign w:val="center"/>
          </w:tcPr>
          <w:p>
            <w:pPr>
              <w:pStyle w:val="321"/>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288" w:lineRule="auto"/>
              <w:ind w:firstLine="480" w:firstLineChars="200"/>
              <w:jc w:val="center"/>
              <w:rPr>
                <w:rFonts w:ascii="仿宋" w:hAnsi="仿宋" w:eastAsia="仿宋" w:cs="仿宋"/>
                <w:sz w:val="24"/>
                <w:szCs w:val="24"/>
              </w:rPr>
            </w:pPr>
          </w:p>
        </w:tc>
        <w:tc>
          <w:tcPr>
            <w:tcW w:w="3402" w:type="dxa"/>
            <w:vAlign w:val="center"/>
          </w:tcPr>
          <w:p>
            <w:pPr>
              <w:pStyle w:val="321"/>
              <w:spacing w:line="288" w:lineRule="auto"/>
              <w:ind w:firstLine="480" w:firstLineChars="200"/>
              <w:jc w:val="center"/>
              <w:rPr>
                <w:rFonts w:ascii="仿宋" w:hAnsi="仿宋" w:eastAsia="仿宋" w:cs="仿宋"/>
                <w:sz w:val="24"/>
                <w:szCs w:val="24"/>
              </w:rPr>
            </w:pPr>
          </w:p>
        </w:tc>
        <w:tc>
          <w:tcPr>
            <w:tcW w:w="2552" w:type="dxa"/>
            <w:vAlign w:val="center"/>
          </w:tcPr>
          <w:p>
            <w:pPr>
              <w:pStyle w:val="321"/>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288" w:lineRule="auto"/>
              <w:ind w:firstLine="480" w:firstLineChars="200"/>
              <w:jc w:val="center"/>
              <w:rPr>
                <w:rFonts w:ascii="仿宋" w:hAnsi="仿宋" w:eastAsia="仿宋" w:cs="仿宋"/>
                <w:sz w:val="24"/>
                <w:szCs w:val="24"/>
              </w:rPr>
            </w:pPr>
          </w:p>
        </w:tc>
        <w:tc>
          <w:tcPr>
            <w:tcW w:w="3402" w:type="dxa"/>
            <w:vAlign w:val="center"/>
          </w:tcPr>
          <w:p>
            <w:pPr>
              <w:pStyle w:val="321"/>
              <w:spacing w:line="288" w:lineRule="auto"/>
              <w:ind w:firstLine="480" w:firstLineChars="200"/>
              <w:jc w:val="center"/>
              <w:rPr>
                <w:rFonts w:ascii="仿宋" w:hAnsi="仿宋" w:eastAsia="仿宋" w:cs="仿宋"/>
                <w:sz w:val="24"/>
                <w:szCs w:val="24"/>
              </w:rPr>
            </w:pPr>
          </w:p>
        </w:tc>
        <w:tc>
          <w:tcPr>
            <w:tcW w:w="2552" w:type="dxa"/>
            <w:vAlign w:val="center"/>
          </w:tcPr>
          <w:p>
            <w:pPr>
              <w:pStyle w:val="321"/>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1"/>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1"/>
              <w:spacing w:line="288" w:lineRule="auto"/>
              <w:ind w:firstLine="480" w:firstLineChars="200"/>
              <w:jc w:val="center"/>
              <w:rPr>
                <w:rFonts w:ascii="仿宋" w:hAnsi="仿宋" w:eastAsia="仿宋" w:cs="仿宋"/>
                <w:sz w:val="24"/>
                <w:szCs w:val="24"/>
              </w:rPr>
            </w:pPr>
          </w:p>
        </w:tc>
      </w:tr>
    </w:tbl>
    <w:p>
      <w:pPr>
        <w:spacing w:line="288" w:lineRule="auto"/>
        <w:ind w:firstLine="480" w:firstLineChars="200"/>
        <w:rPr>
          <w:rFonts w:ascii="仿宋" w:hAnsi="仿宋" w:eastAsia="仿宋" w:cs="仿宋"/>
          <w:sz w:val="24"/>
        </w:rPr>
      </w:pPr>
      <w:bookmarkStart w:id="46" w:name="_Toc14993"/>
      <w:bookmarkStart w:id="47" w:name="_Toc30158"/>
      <w:bookmarkStart w:id="48" w:name="_Toc26916"/>
      <w:bookmarkStart w:id="49" w:name="_Toc30506"/>
      <w:bookmarkStart w:id="50"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spacing w:line="288" w:lineRule="auto"/>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46"/>
    <w:bookmarkEnd w:id="47"/>
    <w:bookmarkEnd w:id="48"/>
    <w:bookmarkEnd w:id="49"/>
    <w:bookmarkEnd w:id="50"/>
    <w:p>
      <w:pPr>
        <w:pStyle w:val="962"/>
        <w:spacing w:before="0" w:beforeAutospacing="0" w:after="0" w:afterAutospacing="0" w:line="288" w:lineRule="auto"/>
        <w:ind w:firstLine="482" w:firstLineChars="200"/>
        <w:rPr>
          <w:rFonts w:ascii="仿宋" w:hAnsi="仿宋" w:eastAsia="仿宋" w:cs="仿宋"/>
          <w:b/>
        </w:rPr>
      </w:pPr>
      <w:bookmarkStart w:id="51" w:name="_Toc1814"/>
      <w:bookmarkStart w:id="52" w:name="_Toc22618"/>
      <w:bookmarkStart w:id="53" w:name="_Toc10340"/>
      <w:bookmarkStart w:id="54" w:name="_Toc4760"/>
      <w:bookmarkStart w:id="55" w:name="_Toc11108"/>
      <w:bookmarkStart w:id="56" w:name="_Toc31421"/>
      <w:bookmarkStart w:id="57" w:name="_Toc8772"/>
      <w:bookmarkStart w:id="58" w:name="_Toc3625"/>
      <w:r>
        <w:rPr>
          <w:rFonts w:hint="eastAsia" w:ascii="仿宋" w:hAnsi="仿宋" w:eastAsia="仿宋" w:cs="仿宋"/>
          <w:b/>
        </w:rPr>
        <w:t>1.4履约保证金</w:t>
      </w:r>
    </w:p>
    <w:p>
      <w:pPr>
        <w:pStyle w:val="96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tabs>
          <w:tab w:val="left" w:pos="0"/>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51"/>
      <w:bookmarkEnd w:id="52"/>
      <w:bookmarkEnd w:id="53"/>
      <w:r>
        <w:rPr>
          <w:rFonts w:hint="eastAsia" w:ascii="仿宋" w:hAnsi="仿宋" w:eastAsia="仿宋" w:cs="仿宋"/>
          <w:b/>
          <w:sz w:val="24"/>
        </w:rPr>
        <w:t>预付款</w:t>
      </w:r>
    </w:p>
    <w:p>
      <w:pPr>
        <w:pStyle w:val="96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2" w:firstLineChars="200"/>
        <w:rPr>
          <w:rFonts w:ascii="仿宋" w:hAnsi="仿宋" w:eastAsia="仿宋" w:cs="仿宋"/>
          <w:b/>
          <w:bCs/>
        </w:rPr>
      </w:pPr>
      <w:r>
        <w:rPr>
          <w:rFonts w:hint="eastAsia" w:ascii="仿宋" w:hAnsi="仿宋" w:eastAsia="仿宋" w:cs="仿宋"/>
          <w:b/>
          <w:bCs/>
        </w:rPr>
        <w:t>1.6资金支付</w:t>
      </w:r>
    </w:p>
    <w:p>
      <w:pPr>
        <w:pStyle w:val="962"/>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54"/>
      <w:bookmarkEnd w:id="55"/>
      <w:bookmarkEnd w:id="56"/>
      <w:bookmarkEnd w:id="57"/>
      <w:bookmarkEnd w:id="58"/>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outlineLvl w:val="0"/>
        <w:rPr>
          <w:rFonts w:ascii="仿宋" w:hAnsi="仿宋" w:eastAsia="仿宋" w:cs="仿宋"/>
          <w:bCs/>
          <w:sz w:val="24"/>
        </w:rPr>
      </w:pPr>
      <w:bookmarkStart w:id="59" w:name="_Toc2375"/>
      <w:bookmarkStart w:id="60" w:name="_Toc8586"/>
      <w:bookmarkStart w:id="61" w:name="_Toc3079"/>
      <w:bookmarkStart w:id="62" w:name="_Toc5698"/>
      <w:bookmarkStart w:id="63" w:name="_Toc24662"/>
      <w:r>
        <w:rPr>
          <w:rFonts w:hint="eastAsia" w:ascii="仿宋" w:hAnsi="仿宋" w:eastAsia="仿宋" w:cs="仿宋"/>
          <w:bCs/>
          <w:sz w:val="24"/>
        </w:rPr>
        <w:t>1.7.4若服务涉及货物的，则货物的：</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59"/>
      <w:bookmarkEnd w:id="60"/>
      <w:bookmarkEnd w:id="61"/>
      <w:bookmarkEnd w:id="62"/>
      <w:bookmarkEnd w:id="63"/>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spacing w:line="288" w:lineRule="auto"/>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bookmarkStart w:id="64" w:name="_Toc30329"/>
      <w:bookmarkStart w:id="65" w:name="_Toc26807"/>
      <w:bookmarkStart w:id="66" w:name="_Toc9497"/>
      <w:bookmarkStart w:id="67" w:name="_Toc18683"/>
      <w:bookmarkStart w:id="68"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64"/>
    <w:bookmarkEnd w:id="65"/>
    <w:bookmarkEnd w:id="66"/>
    <w:bookmarkEnd w:id="67"/>
    <w:bookmarkEnd w:id="68"/>
    <w:p>
      <w:pPr>
        <w:spacing w:line="288" w:lineRule="auto"/>
        <w:ind w:firstLine="482" w:firstLineChars="200"/>
        <w:outlineLvl w:val="0"/>
        <w:rPr>
          <w:rFonts w:ascii="仿宋" w:hAnsi="仿宋" w:eastAsia="仿宋" w:cs="仿宋"/>
          <w:b/>
          <w:sz w:val="24"/>
        </w:rPr>
      </w:pPr>
      <w:bookmarkStart w:id="69" w:name="_Toc16021"/>
      <w:bookmarkStart w:id="70" w:name="_Toc15583"/>
      <w:bookmarkStart w:id="71" w:name="_Toc28375"/>
      <w:r>
        <w:rPr>
          <w:rFonts w:hint="eastAsia" w:ascii="仿宋" w:hAnsi="仿宋" w:eastAsia="仿宋" w:cs="仿宋"/>
          <w:b/>
          <w:sz w:val="24"/>
        </w:rPr>
        <w:t>1.9合同争议的解决</w:t>
      </w:r>
      <w:bookmarkEnd w:id="69"/>
      <w:bookmarkEnd w:id="70"/>
      <w:bookmarkEnd w:id="71"/>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288" w:lineRule="auto"/>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72" w:name="_Toc11173"/>
      <w:bookmarkStart w:id="73" w:name="_Toc7245"/>
      <w:bookmarkStart w:id="74" w:name="_Toc15322"/>
      <w:r>
        <w:rPr>
          <w:rFonts w:hint="eastAsia" w:ascii="仿宋" w:hAnsi="仿宋" w:eastAsia="仿宋" w:cs="仿宋"/>
          <w:b/>
          <w:sz w:val="24"/>
        </w:rPr>
        <w:t>2.0 合同生效</w:t>
      </w:r>
      <w:bookmarkEnd w:id="72"/>
      <w:bookmarkEnd w:id="73"/>
      <w:bookmarkEnd w:id="74"/>
    </w:p>
    <w:p>
      <w:pPr>
        <w:spacing w:line="288" w:lineRule="auto"/>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spacing w:line="288" w:lineRule="auto"/>
        <w:jc w:val="left"/>
        <w:rPr>
          <w:rFonts w:ascii="仿宋" w:hAnsi="仿宋" w:eastAsia="仿宋" w:cs="仿宋"/>
          <w:b/>
          <w:sz w:val="24"/>
        </w:rPr>
      </w:pPr>
      <w:r>
        <w:rPr>
          <w:rFonts w:hint="eastAsia" w:ascii="仿宋" w:hAnsi="仿宋" w:eastAsia="仿宋" w:cs="仿宋"/>
          <w:b/>
        </w:rPr>
        <w:br w:type="page"/>
      </w:r>
    </w:p>
    <w:p>
      <w:pPr>
        <w:pStyle w:val="704"/>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第二部分 合同一般条款</w:t>
      </w:r>
    </w:p>
    <w:p>
      <w:pPr>
        <w:spacing w:line="288" w:lineRule="auto"/>
        <w:ind w:firstLine="482" w:firstLineChars="200"/>
        <w:outlineLvl w:val="0"/>
        <w:rPr>
          <w:rFonts w:ascii="仿宋" w:hAnsi="仿宋" w:eastAsia="仿宋" w:cs="仿宋"/>
          <w:b/>
          <w:sz w:val="24"/>
        </w:rPr>
      </w:pPr>
      <w:bookmarkStart w:id="75" w:name="_Toc5228"/>
      <w:bookmarkStart w:id="76" w:name="_Toc14021"/>
      <w:bookmarkStart w:id="77" w:name="_Toc19680"/>
      <w:bookmarkStart w:id="78" w:name="_Toc31297"/>
      <w:bookmarkStart w:id="79" w:name="_Toc25079"/>
      <w:r>
        <w:rPr>
          <w:rFonts w:hint="eastAsia" w:ascii="仿宋" w:hAnsi="仿宋" w:eastAsia="仿宋" w:cs="仿宋"/>
          <w:b/>
          <w:sz w:val="24"/>
        </w:rPr>
        <w:t>2.1 定义</w:t>
      </w:r>
      <w:bookmarkEnd w:id="75"/>
      <w:bookmarkEnd w:id="76"/>
      <w:bookmarkEnd w:id="77"/>
      <w:bookmarkEnd w:id="78"/>
      <w:bookmarkEnd w:id="79"/>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288"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288" w:lineRule="auto"/>
        <w:ind w:firstLine="482" w:firstLineChars="200"/>
        <w:outlineLvl w:val="0"/>
        <w:rPr>
          <w:rFonts w:ascii="仿宋" w:hAnsi="仿宋" w:eastAsia="仿宋" w:cs="仿宋"/>
          <w:b/>
          <w:sz w:val="24"/>
        </w:rPr>
      </w:pPr>
      <w:bookmarkStart w:id="80" w:name="_Toc16752"/>
      <w:bookmarkStart w:id="81" w:name="_Toc3769"/>
      <w:bookmarkStart w:id="82" w:name="_Toc23289"/>
      <w:bookmarkStart w:id="83" w:name="_Toc31402"/>
      <w:bookmarkStart w:id="84" w:name="_Toc19539"/>
      <w:r>
        <w:rPr>
          <w:rFonts w:hint="eastAsia" w:ascii="仿宋" w:hAnsi="仿宋" w:eastAsia="仿宋" w:cs="仿宋"/>
          <w:b/>
          <w:sz w:val="24"/>
        </w:rPr>
        <w:t>2.2 技术规范</w:t>
      </w:r>
      <w:bookmarkEnd w:id="80"/>
      <w:bookmarkEnd w:id="81"/>
      <w:bookmarkEnd w:id="82"/>
      <w:bookmarkEnd w:id="83"/>
      <w:bookmarkEnd w:id="84"/>
    </w:p>
    <w:p>
      <w:pPr>
        <w:spacing w:line="288"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85" w:name="_Toc9161"/>
      <w:bookmarkStart w:id="86" w:name="_Toc12412"/>
      <w:bookmarkStart w:id="87" w:name="_Toc13673"/>
      <w:bookmarkStart w:id="88" w:name="_Toc4133"/>
      <w:bookmarkStart w:id="89" w:name="_Toc27945"/>
      <w:r>
        <w:rPr>
          <w:rFonts w:hint="eastAsia" w:ascii="仿宋" w:hAnsi="仿宋" w:eastAsia="仿宋" w:cs="仿宋"/>
          <w:b/>
          <w:sz w:val="24"/>
        </w:rPr>
        <w:t>2.3 知识产权</w:t>
      </w:r>
      <w:bookmarkEnd w:id="85"/>
      <w:bookmarkEnd w:id="86"/>
      <w:bookmarkEnd w:id="87"/>
      <w:bookmarkEnd w:id="88"/>
      <w:bookmarkEnd w:id="89"/>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288"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288" w:lineRule="auto"/>
        <w:ind w:firstLine="482" w:firstLineChars="200"/>
        <w:outlineLvl w:val="0"/>
        <w:rPr>
          <w:rFonts w:ascii="仿宋" w:hAnsi="仿宋" w:eastAsia="仿宋" w:cs="仿宋"/>
          <w:b/>
          <w:sz w:val="24"/>
        </w:rPr>
      </w:pPr>
      <w:bookmarkStart w:id="90" w:name="_Toc31233"/>
      <w:bookmarkStart w:id="91" w:name="_Toc26555"/>
      <w:bookmarkStart w:id="92" w:name="_Toc15447"/>
      <w:bookmarkStart w:id="93" w:name="_Toc32670"/>
      <w:bookmarkStart w:id="94" w:name="_Toc22011"/>
      <w:r>
        <w:rPr>
          <w:rFonts w:hint="eastAsia" w:ascii="仿宋" w:hAnsi="仿宋" w:eastAsia="仿宋" w:cs="仿宋"/>
          <w:b/>
          <w:sz w:val="24"/>
        </w:rPr>
        <w:t>2.5 结算方式和付款条件</w:t>
      </w:r>
      <w:bookmarkEnd w:id="90"/>
      <w:bookmarkEnd w:id="91"/>
      <w:bookmarkEnd w:id="92"/>
      <w:bookmarkEnd w:id="93"/>
      <w:bookmarkEnd w:id="94"/>
    </w:p>
    <w:p>
      <w:pPr>
        <w:spacing w:line="288"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95" w:name="_Toc16163"/>
      <w:bookmarkStart w:id="96" w:name="_Toc18990"/>
      <w:bookmarkStart w:id="97" w:name="_Toc30507"/>
      <w:bookmarkStart w:id="98" w:name="_Toc13467"/>
      <w:bookmarkStart w:id="99" w:name="_Toc13154"/>
      <w:r>
        <w:rPr>
          <w:rFonts w:hint="eastAsia" w:ascii="仿宋" w:hAnsi="仿宋" w:eastAsia="仿宋" w:cs="仿宋"/>
          <w:b/>
          <w:sz w:val="24"/>
        </w:rPr>
        <w:t>2.6 技术资料和保密义务</w:t>
      </w:r>
      <w:bookmarkEnd w:id="95"/>
      <w:bookmarkEnd w:id="96"/>
      <w:bookmarkEnd w:id="97"/>
      <w:bookmarkEnd w:id="98"/>
      <w:bookmarkEnd w:id="99"/>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00" w:name="_Toc19069"/>
      <w:r>
        <w:rPr>
          <w:rFonts w:hint="eastAsia" w:ascii="仿宋" w:hAnsi="仿宋" w:eastAsia="仿宋" w:cs="仿宋"/>
          <w:b/>
          <w:sz w:val="24"/>
        </w:rPr>
        <w:t>2.7 质量保证</w:t>
      </w:r>
      <w:bookmarkEnd w:id="100"/>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01" w:name="_Toc22267"/>
      <w:r>
        <w:rPr>
          <w:rFonts w:hint="eastAsia" w:ascii="仿宋" w:hAnsi="仿宋" w:eastAsia="仿宋" w:cs="仿宋"/>
          <w:b/>
          <w:sz w:val="24"/>
        </w:rPr>
        <w:t>2.8 延迟履行</w:t>
      </w:r>
      <w:bookmarkEnd w:id="101"/>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288" w:lineRule="auto"/>
        <w:ind w:firstLine="482" w:firstLineChars="200"/>
        <w:outlineLvl w:val="0"/>
        <w:rPr>
          <w:rFonts w:ascii="仿宋" w:hAnsi="仿宋" w:eastAsia="仿宋" w:cs="仿宋"/>
          <w:b/>
          <w:sz w:val="24"/>
        </w:rPr>
      </w:pPr>
      <w:bookmarkStart w:id="102" w:name="_Toc10611"/>
      <w:r>
        <w:rPr>
          <w:rFonts w:hint="eastAsia" w:ascii="仿宋" w:hAnsi="仿宋" w:eastAsia="仿宋" w:cs="仿宋"/>
          <w:b/>
          <w:sz w:val="24"/>
        </w:rPr>
        <w:t>2.9 合同变更</w:t>
      </w:r>
      <w:bookmarkEnd w:id="102"/>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03" w:name="_Toc10663"/>
      <w:bookmarkStart w:id="104" w:name="_Toc21830"/>
      <w:bookmarkStart w:id="105" w:name="_Toc23368"/>
      <w:bookmarkStart w:id="106" w:name="_Toc42"/>
      <w:bookmarkStart w:id="107" w:name="_Toc26689"/>
      <w:r>
        <w:rPr>
          <w:rFonts w:hint="eastAsia" w:ascii="仿宋" w:hAnsi="仿宋" w:eastAsia="仿宋" w:cs="仿宋"/>
          <w:b/>
          <w:sz w:val="24"/>
        </w:rPr>
        <w:t>2.10 合同转让和分包</w:t>
      </w:r>
      <w:bookmarkEnd w:id="103"/>
      <w:bookmarkEnd w:id="104"/>
      <w:bookmarkEnd w:id="105"/>
      <w:bookmarkEnd w:id="106"/>
      <w:bookmarkEnd w:id="107"/>
    </w:p>
    <w:p>
      <w:pPr>
        <w:spacing w:line="288"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2" w:firstLineChars="200"/>
        <w:outlineLvl w:val="0"/>
        <w:rPr>
          <w:rFonts w:ascii="仿宋" w:hAnsi="仿宋" w:eastAsia="仿宋" w:cs="仿宋"/>
          <w:b/>
          <w:sz w:val="24"/>
        </w:rPr>
      </w:pPr>
      <w:bookmarkStart w:id="108" w:name="_Toc14371"/>
      <w:bookmarkStart w:id="109" w:name="_Toc25571"/>
      <w:bookmarkStart w:id="110" w:name="_Toc26633"/>
      <w:bookmarkStart w:id="111" w:name="_Toc32494"/>
      <w:bookmarkStart w:id="112" w:name="_Toc4720"/>
      <w:r>
        <w:rPr>
          <w:rFonts w:hint="eastAsia" w:ascii="仿宋" w:hAnsi="仿宋" w:eastAsia="仿宋" w:cs="仿宋"/>
          <w:b/>
          <w:sz w:val="24"/>
        </w:rPr>
        <w:t>2.11 不可抗力</w:t>
      </w:r>
      <w:bookmarkEnd w:id="108"/>
      <w:bookmarkEnd w:id="109"/>
      <w:bookmarkEnd w:id="110"/>
      <w:bookmarkEnd w:id="111"/>
      <w:bookmarkEnd w:id="112"/>
    </w:p>
    <w:p>
      <w:pPr>
        <w:spacing w:line="288"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13" w:name="_Toc24465"/>
      <w:bookmarkStart w:id="114" w:name="_Toc3638"/>
      <w:bookmarkStart w:id="115" w:name="_Toc14115"/>
      <w:bookmarkStart w:id="116" w:name="_Toc23854"/>
      <w:bookmarkStart w:id="117" w:name="_Toc25783"/>
      <w:r>
        <w:rPr>
          <w:rFonts w:hint="eastAsia" w:ascii="仿宋" w:hAnsi="仿宋" w:eastAsia="仿宋" w:cs="仿宋"/>
          <w:b/>
          <w:sz w:val="24"/>
        </w:rPr>
        <w:t>2.12 税费</w:t>
      </w:r>
      <w:bookmarkEnd w:id="113"/>
      <w:bookmarkEnd w:id="114"/>
      <w:bookmarkEnd w:id="115"/>
      <w:bookmarkEnd w:id="116"/>
      <w:bookmarkEnd w:id="117"/>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288" w:lineRule="auto"/>
        <w:ind w:firstLine="482" w:firstLineChars="200"/>
        <w:outlineLvl w:val="0"/>
        <w:rPr>
          <w:rFonts w:ascii="仿宋" w:hAnsi="仿宋" w:eastAsia="仿宋" w:cs="仿宋"/>
          <w:b/>
          <w:sz w:val="24"/>
        </w:rPr>
      </w:pPr>
      <w:bookmarkStart w:id="118" w:name="_Toc26883"/>
      <w:bookmarkStart w:id="119" w:name="_Toc30105"/>
      <w:bookmarkStart w:id="120" w:name="_Toc7315"/>
      <w:bookmarkStart w:id="121" w:name="_Toc25525"/>
      <w:bookmarkStart w:id="122" w:name="_Toc14814"/>
      <w:r>
        <w:rPr>
          <w:rFonts w:hint="eastAsia" w:ascii="仿宋" w:hAnsi="仿宋" w:eastAsia="仿宋" w:cs="仿宋"/>
          <w:b/>
          <w:sz w:val="24"/>
        </w:rPr>
        <w:t>2.13 乙方破产</w:t>
      </w:r>
      <w:bookmarkEnd w:id="118"/>
      <w:bookmarkEnd w:id="119"/>
      <w:bookmarkEnd w:id="120"/>
      <w:bookmarkEnd w:id="121"/>
      <w:bookmarkEnd w:id="122"/>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23" w:name="_Toc23323"/>
      <w:bookmarkStart w:id="124" w:name="_Toc2016"/>
      <w:bookmarkStart w:id="125" w:name="_Toc1123"/>
      <w:r>
        <w:rPr>
          <w:rFonts w:hint="eastAsia" w:ascii="仿宋" w:hAnsi="仿宋" w:eastAsia="仿宋" w:cs="仿宋"/>
          <w:b/>
          <w:sz w:val="24"/>
        </w:rPr>
        <w:t>2.14 合同中止、终止</w:t>
      </w:r>
      <w:bookmarkEnd w:id="123"/>
      <w:bookmarkEnd w:id="124"/>
      <w:bookmarkEnd w:id="125"/>
    </w:p>
    <w:p>
      <w:pPr>
        <w:spacing w:line="288"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26" w:name="_Toc14525"/>
      <w:bookmarkStart w:id="127" w:name="_Toc1969"/>
      <w:bookmarkStart w:id="128" w:name="_Toc17363"/>
      <w:r>
        <w:rPr>
          <w:rFonts w:hint="eastAsia" w:ascii="仿宋" w:hAnsi="仿宋" w:eastAsia="仿宋" w:cs="仿宋"/>
          <w:b/>
          <w:sz w:val="24"/>
        </w:rPr>
        <w:t>2.15 检验和验收</w:t>
      </w:r>
      <w:bookmarkEnd w:id="126"/>
      <w:bookmarkEnd w:id="127"/>
      <w:bookmarkEnd w:id="128"/>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288" w:lineRule="auto"/>
        <w:ind w:firstLine="482" w:firstLineChars="200"/>
        <w:outlineLvl w:val="0"/>
        <w:rPr>
          <w:rFonts w:ascii="仿宋" w:hAnsi="仿宋" w:eastAsia="仿宋" w:cs="仿宋"/>
          <w:b/>
          <w:sz w:val="24"/>
        </w:rPr>
      </w:pPr>
      <w:bookmarkStart w:id="129" w:name="_Toc12666"/>
      <w:bookmarkStart w:id="130" w:name="_Toc2308"/>
      <w:bookmarkStart w:id="131" w:name="_Toc31892"/>
      <w:bookmarkStart w:id="132" w:name="_Toc9808"/>
      <w:bookmarkStart w:id="133" w:name="_Toc25198"/>
      <w:r>
        <w:rPr>
          <w:rFonts w:hint="eastAsia" w:ascii="仿宋" w:hAnsi="仿宋" w:eastAsia="仿宋" w:cs="仿宋"/>
          <w:b/>
          <w:sz w:val="24"/>
        </w:rPr>
        <w:t>2.16 通知和送达</w:t>
      </w:r>
      <w:bookmarkEnd w:id="129"/>
      <w:bookmarkEnd w:id="130"/>
      <w:bookmarkEnd w:id="131"/>
      <w:bookmarkEnd w:id="132"/>
      <w:bookmarkEnd w:id="133"/>
    </w:p>
    <w:p>
      <w:pPr>
        <w:spacing w:line="288" w:lineRule="auto"/>
        <w:ind w:firstLine="480" w:firstLineChars="200"/>
        <w:rPr>
          <w:rFonts w:ascii="仿宋" w:hAnsi="仿宋" w:eastAsia="仿宋" w:cs="仿宋"/>
          <w:sz w:val="24"/>
        </w:rPr>
      </w:pPr>
      <w:bookmarkStart w:id="134" w:name="_Toc18401"/>
      <w:bookmarkStart w:id="135"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288"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4"/>
      <w:bookmarkEnd w:id="135"/>
    </w:p>
    <w:p>
      <w:pPr>
        <w:spacing w:line="288" w:lineRule="auto"/>
        <w:ind w:firstLine="482" w:firstLineChars="200"/>
        <w:outlineLvl w:val="0"/>
        <w:rPr>
          <w:rFonts w:ascii="仿宋" w:hAnsi="仿宋" w:eastAsia="仿宋" w:cs="仿宋"/>
          <w:b/>
          <w:sz w:val="24"/>
        </w:rPr>
      </w:pPr>
      <w:bookmarkStart w:id="136" w:name="_Toc20808"/>
      <w:bookmarkStart w:id="137" w:name="_Toc12254"/>
      <w:bookmarkStart w:id="138" w:name="_Toc28906"/>
      <w:bookmarkStart w:id="139" w:name="_Toc5063"/>
      <w:bookmarkStart w:id="140" w:name="_Toc27644"/>
      <w:r>
        <w:rPr>
          <w:rFonts w:hint="eastAsia" w:ascii="仿宋" w:hAnsi="仿宋" w:eastAsia="仿宋" w:cs="仿宋"/>
          <w:b/>
          <w:sz w:val="24"/>
        </w:rPr>
        <w:t>2.17 合同使用的文字和适用的法律</w:t>
      </w:r>
      <w:bookmarkEnd w:id="136"/>
      <w:bookmarkEnd w:id="137"/>
      <w:bookmarkEnd w:id="138"/>
      <w:bookmarkEnd w:id="139"/>
      <w:bookmarkEnd w:id="140"/>
    </w:p>
    <w:p>
      <w:pPr>
        <w:spacing w:line="288"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288" w:lineRule="auto"/>
        <w:ind w:firstLine="482" w:firstLineChars="200"/>
        <w:outlineLvl w:val="0"/>
        <w:rPr>
          <w:rFonts w:ascii="仿宋" w:hAnsi="仿宋" w:eastAsia="仿宋" w:cs="仿宋"/>
          <w:b/>
          <w:sz w:val="24"/>
        </w:rPr>
      </w:pPr>
      <w:bookmarkStart w:id="141" w:name="_Toc4355"/>
      <w:bookmarkStart w:id="142" w:name="_Toc30599"/>
      <w:bookmarkStart w:id="143" w:name="_Toc18540"/>
      <w:r>
        <w:rPr>
          <w:rFonts w:hint="eastAsia" w:ascii="仿宋" w:hAnsi="仿宋" w:eastAsia="仿宋" w:cs="仿宋"/>
          <w:b/>
          <w:sz w:val="24"/>
        </w:rPr>
        <w:t>2.18 计量单位</w:t>
      </w:r>
      <w:bookmarkEnd w:id="141"/>
      <w:bookmarkEnd w:id="142"/>
      <w:bookmarkEnd w:id="143"/>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44" w:name="_Toc10330"/>
      <w:bookmarkStart w:id="145" w:name="_Toc12773"/>
      <w:bookmarkStart w:id="146" w:name="_Toc18567"/>
      <w:bookmarkStart w:id="147" w:name="_Toc259093692"/>
      <w:bookmarkStart w:id="148" w:name="_Toc487900373"/>
      <w:bookmarkStart w:id="149" w:name="_Toc279701263"/>
      <w:r>
        <w:rPr>
          <w:rFonts w:hint="eastAsia" w:ascii="仿宋" w:hAnsi="仿宋" w:eastAsia="仿宋" w:cs="仿宋"/>
          <w:b/>
          <w:sz w:val="24"/>
        </w:rPr>
        <w:t>2.19 合同使用的文字和适用的法律</w:t>
      </w:r>
      <w:bookmarkEnd w:id="144"/>
      <w:bookmarkEnd w:id="145"/>
      <w:bookmarkEnd w:id="146"/>
      <w:bookmarkEnd w:id="147"/>
      <w:bookmarkEnd w:id="148"/>
      <w:bookmarkEnd w:id="149"/>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2.20合同份数</w:t>
      </w:r>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288" w:lineRule="auto"/>
        <w:ind w:firstLine="420" w:firstLineChars="200"/>
        <w:jc w:val="center"/>
        <w:outlineLvl w:val="0"/>
        <w:rPr>
          <w:rFonts w:ascii="仿宋" w:hAnsi="仿宋" w:eastAsia="仿宋" w:cs="仿宋"/>
          <w:b/>
          <w:sz w:val="28"/>
          <w:szCs w:val="28"/>
        </w:rPr>
      </w:pPr>
      <w:r>
        <w:rPr>
          <w:rFonts w:hint="eastAsia" w:ascii="仿宋" w:hAnsi="仿宋" w:eastAsia="仿宋" w:cs="仿宋"/>
          <w:kern w:val="0"/>
        </w:rPr>
        <w:br w:type="page"/>
      </w:r>
      <w:bookmarkStart w:id="150" w:name="_Toc331685784"/>
      <w:r>
        <w:rPr>
          <w:rFonts w:hint="eastAsia" w:ascii="仿宋" w:hAnsi="仿宋" w:eastAsia="仿宋" w:cs="仿宋"/>
          <w:b/>
          <w:sz w:val="28"/>
          <w:szCs w:val="28"/>
        </w:rPr>
        <w:t xml:space="preserve"> </w:t>
      </w:r>
      <w:bookmarkEnd w:id="150"/>
      <w:r>
        <w:rPr>
          <w:rFonts w:hint="eastAsia" w:ascii="仿宋" w:hAnsi="仿宋" w:eastAsia="仿宋" w:cs="仿宋"/>
          <w:b/>
          <w:sz w:val="28"/>
          <w:szCs w:val="28"/>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44" w:type="dxa"/>
        <w:tblInd w:w="-32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15"/>
        <w:gridCol w:w="80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029"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1.3.2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1.5.1 </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1.5.3 </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1.8.7</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1.9.2</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029"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2.5</w:t>
            </w:r>
          </w:p>
        </w:tc>
        <w:tc>
          <w:tcPr>
            <w:tcW w:w="8029"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2.11.3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2.11.4 </w:t>
            </w:r>
          </w:p>
        </w:tc>
        <w:tc>
          <w:tcPr>
            <w:tcW w:w="8029"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2.15.1</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2.15.3</w:t>
            </w:r>
          </w:p>
        </w:tc>
        <w:tc>
          <w:tcPr>
            <w:tcW w:w="8029"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15"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2.19</w:t>
            </w:r>
          </w:p>
        </w:tc>
        <w:tc>
          <w:tcPr>
            <w:tcW w:w="8029" w:type="dxa"/>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pPr>
        <w:spacing w:line="288" w:lineRule="auto"/>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4"/>
        <w:tblW w:w="10157" w:type="dxa"/>
        <w:tblInd w:w="-810" w:type="dxa"/>
        <w:tblLayout w:type="fixed"/>
        <w:tblCellMar>
          <w:top w:w="0" w:type="dxa"/>
          <w:left w:w="108" w:type="dxa"/>
          <w:bottom w:w="0" w:type="dxa"/>
          <w:right w:w="108" w:type="dxa"/>
        </w:tblCellMar>
      </w:tblPr>
      <w:tblGrid>
        <w:gridCol w:w="837"/>
        <w:gridCol w:w="1141"/>
        <w:gridCol w:w="7375"/>
        <w:gridCol w:w="804"/>
      </w:tblGrid>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ascii="仿宋" w:hAnsi="仿宋" w:eastAsia="仿宋" w:cs="仿宋"/>
                <w:iCs/>
                <w:sz w:val="24"/>
              </w:rPr>
            </w:pPr>
            <w:r>
              <w:rPr>
                <w:rFonts w:hint="eastAsia" w:ascii="仿宋" w:hAnsi="仿宋" w:eastAsia="仿宋" w:cs="仿宋"/>
                <w:b/>
                <w:sz w:val="24"/>
              </w:rPr>
              <w:t>序号</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ascii="仿宋" w:hAnsi="仿宋" w:eastAsia="仿宋" w:cs="仿宋"/>
                <w:iCs/>
                <w:sz w:val="24"/>
              </w:rPr>
            </w:pPr>
            <w:r>
              <w:rPr>
                <w:rFonts w:hint="eastAsia" w:ascii="仿宋" w:hAnsi="仿宋" w:eastAsia="仿宋" w:cs="仿宋"/>
                <w:b/>
                <w:sz w:val="24"/>
              </w:rPr>
              <w:t>评分项</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ascii="仿宋" w:hAnsi="仿宋" w:eastAsia="仿宋" w:cs="仿宋"/>
                <w:iCs/>
                <w:sz w:val="24"/>
              </w:rPr>
            </w:pPr>
            <w:r>
              <w:rPr>
                <w:rFonts w:hint="eastAsia" w:ascii="仿宋" w:hAnsi="仿宋" w:eastAsia="仿宋" w:cs="仿宋"/>
                <w:b/>
                <w:sz w:val="24"/>
              </w:rPr>
              <w:t>评审依据及标准</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ascii="仿宋" w:hAnsi="仿宋" w:eastAsia="仿宋" w:cs="仿宋"/>
                <w:iCs/>
                <w:sz w:val="24"/>
              </w:rPr>
            </w:pPr>
            <w:r>
              <w:rPr>
                <w:rFonts w:hint="eastAsia" w:ascii="仿宋" w:hAnsi="仿宋" w:eastAsia="仿宋" w:cs="仿宋"/>
                <w:b/>
                <w:sz w:val="24"/>
              </w:rPr>
              <w:t>分值</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bookmarkStart w:id="151" w:name="OLE_LINK1" w:colFirst="3" w:colLast="3"/>
            <w:r>
              <w:rPr>
                <w:rFonts w:hint="eastAsia" w:ascii="仿宋" w:hAnsi="仿宋" w:eastAsia="仿宋" w:cs="仿宋"/>
                <w:iCs/>
                <w:sz w:val="24"/>
                <w:lang w:bidi="ar"/>
              </w:rPr>
              <w:t>1</w:t>
            </w:r>
          </w:p>
        </w:tc>
        <w:tc>
          <w:tcPr>
            <w:tcW w:w="11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企业综合实力</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根据投标人提供的公司经营管理制度，项目实施优势等综合评分，0-5分。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5</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2</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投标人承接检测实验室获得省级及以上政府部门颁发的省级及以上重点实验室或者示范实验室得4分，提供证书复印件加盖投标人公章。</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4</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3</w:t>
            </w:r>
          </w:p>
        </w:tc>
        <w:tc>
          <w:tcPr>
            <w:tcW w:w="11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检测能力</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投标人承接检测实验室自2021年1月1日至投标截止时间同类项目的业绩：投标人每提供一个同类项目业绩证明材料的，得1分，未提供的不得分，得分不超过3分。</w:t>
            </w:r>
            <w:r>
              <w:rPr>
                <w:rFonts w:hint="eastAsia" w:ascii="仿宋" w:hAnsi="仿宋" w:eastAsia="仿宋" w:cs="仿宋"/>
                <w:iCs/>
                <w:sz w:val="24"/>
                <w:lang w:bidi="ar"/>
              </w:rPr>
              <w:br w:type="textWrapping"/>
            </w:r>
            <w:r>
              <w:rPr>
                <w:rFonts w:hint="eastAsia" w:ascii="仿宋" w:hAnsi="仿宋" w:eastAsia="仿宋" w:cs="仿宋"/>
                <w:iCs/>
                <w:sz w:val="24"/>
                <w:lang w:bidi="ar"/>
              </w:rPr>
              <w:t>业绩证明材料：须提供合同复印件加盖投标人公章；证明材料内容能同时反映其服务内容的以下要素：（1）服务内容为医疗外送检验服务；（2）年度服务（服务期12个月及以上）。</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3</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4</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投标人承接检测PCR实验室通过认证项目包括感染性疾病相关基因检测、血液肿瘤相关基因检测、遗传相关基因检测、药物代谢相关基因检测得8分，每缺少一项扣2分。（提供检测服务的实验室和投标人的营业执照必须一致）提供证书复印件作为证明材料，否则不得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8</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5</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根据投标人承接检测实验室提供的通过ISO15189认可的数量进行打分。达到120项，得4分；每再增加40项加1分，最高加2分。增加不到40项，不计分，本项最高得6分。</w:t>
            </w:r>
            <w:r>
              <w:rPr>
                <w:rFonts w:hint="eastAsia" w:ascii="仿宋" w:hAnsi="仿宋" w:eastAsia="仿宋" w:cs="仿宋"/>
                <w:kern w:val="0"/>
                <w:sz w:val="24"/>
              </w:rPr>
              <w:t>提供项目汇总清单及</w:t>
            </w:r>
            <w:r>
              <w:rPr>
                <w:rFonts w:hint="eastAsia" w:ascii="仿宋" w:hAnsi="仿宋" w:eastAsia="仿宋" w:cs="仿宋"/>
                <w:iCs/>
                <w:sz w:val="24"/>
                <w:lang w:bidi="ar"/>
              </w:rPr>
              <w:t>证书复印件加盖投标人公章。</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6</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6</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88" w:lineRule="auto"/>
              <w:jc w:val="left"/>
              <w:rPr>
                <w:rFonts w:ascii="仿宋" w:hAnsi="仿宋" w:eastAsia="仿宋" w:cs="仿宋"/>
                <w:iCs/>
                <w:sz w:val="24"/>
              </w:rPr>
            </w:pPr>
            <w:r>
              <w:rPr>
                <w:rFonts w:hint="eastAsia" w:ascii="仿宋" w:hAnsi="仿宋" w:eastAsia="仿宋" w:cs="仿宋"/>
                <w:kern w:val="0"/>
                <w:sz w:val="24"/>
              </w:rPr>
              <w:t>投标人承接检测实验室具有2023年国家卫生健康委临床检验中心、省级临检中心室间质评证书，累计获得证书数量综合评价，累计获得证书150项且证书覆盖招标项目1项得0.3分（最高6分）。累计获得证书合格项目总数每增加10项加1分，加分最高得2分。增加不到10项不得分。需提供项目汇总清单及相关证书原件扫描件加盖公章。（共计8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8</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lang w:bidi="ar"/>
              </w:rPr>
            </w:pPr>
            <w:r>
              <w:rPr>
                <w:rFonts w:hint="eastAsia" w:ascii="仿宋" w:hAnsi="仿宋" w:eastAsia="仿宋" w:cs="仿宋"/>
                <w:iCs/>
                <w:sz w:val="24"/>
                <w:lang w:bidi="ar"/>
              </w:rPr>
              <w:t>7</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88" w:lineRule="auto"/>
              <w:jc w:val="left"/>
              <w:rPr>
                <w:rFonts w:ascii="仿宋" w:hAnsi="仿宋" w:eastAsia="仿宋" w:cs="仿宋"/>
                <w:kern w:val="0"/>
                <w:sz w:val="24"/>
              </w:rPr>
            </w:pPr>
            <w:r>
              <w:rPr>
                <w:rFonts w:hint="eastAsia" w:ascii="仿宋" w:hAnsi="仿宋" w:eastAsia="仿宋" w:cs="仿宋"/>
                <w:iCs/>
                <w:sz w:val="24"/>
                <w:lang w:bidi="ar"/>
              </w:rPr>
              <w:t>提供最新版检测目录及样品采集手册，根据投标相关检验项目开展数量及出报告时间情况综合评价，提供相关检测项目目录复印件加盖投标人公章。（0-4分）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lang w:bidi="ar"/>
              </w:rPr>
            </w:pPr>
            <w:r>
              <w:rPr>
                <w:rFonts w:hint="eastAsia" w:ascii="仿宋" w:hAnsi="仿宋" w:eastAsia="仿宋" w:cs="仿宋"/>
                <w:iCs/>
                <w:sz w:val="24"/>
                <w:lang w:bidi="ar"/>
              </w:rPr>
              <w:t>4</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8</w:t>
            </w:r>
          </w:p>
        </w:tc>
        <w:tc>
          <w:tcPr>
            <w:tcW w:w="11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人员配置</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根据投标承接检测实验室具有的副高及以上实验室人才情况，每有1人得0.5分，最高得4分。证明材料：以投标文件中出具的上述人员的职称证明材料及社保缴纳证明复印件为评分依据。证明材料不完整或未提供的均不得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ind w:firstLine="240" w:firstLineChars="100"/>
              <w:rPr>
                <w:rFonts w:ascii="仿宋" w:hAnsi="仿宋" w:eastAsia="仿宋" w:cs="仿宋"/>
                <w:iCs/>
                <w:sz w:val="24"/>
              </w:rPr>
            </w:pPr>
            <w:r>
              <w:rPr>
                <w:rFonts w:hint="eastAsia" w:ascii="仿宋" w:hAnsi="仿宋" w:eastAsia="仿宋" w:cs="仿宋"/>
                <w:iCs/>
                <w:sz w:val="24"/>
                <w:lang w:bidi="ar"/>
              </w:rPr>
              <w:t>4</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9</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根据投标承接检测实验室提供的实验室团队人员的组成及相关证件，血液病诊断、PCR上岗证等有特殊要求的，需提供相关专业资质进行打分，0-4分。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4</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10</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根据投标人是否派驻一名专职常驻接收员处理标本对接事宜打分，以投标文件中出具的上述人员证明材料及社保缴纳证明复印件为评分依据。有得2分，证明材料不完整或未提供的均不得分。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2</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11</w:t>
            </w:r>
          </w:p>
        </w:tc>
        <w:tc>
          <w:tcPr>
            <w:tcW w:w="114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冷链物流能力</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1.采用专业的冷链物流配送（全程有电子温控）得3分，采取具有冷藏功能的车辆配送得1分。依据专业的冷链物流证明材料，冷藏车证明材料进行认定。冷链物流，冷藏车非投标人自有的，应提供合作协议。提供经营资质文件复印件及其他相关证明文件，否则不得分。</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shd w:val="clear" w:color="FFFFFF" w:fill="D9D9D9"/>
              </w:rPr>
            </w:pPr>
            <w:r>
              <w:rPr>
                <w:rFonts w:hint="eastAsia" w:ascii="仿宋" w:hAnsi="仿宋" w:eastAsia="仿宋" w:cs="仿宋"/>
                <w:iCs/>
                <w:sz w:val="24"/>
                <w:lang w:bidi="ar"/>
              </w:rPr>
              <w:t>3</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12</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运输时效：标本运输时间≤5小时得2分，5小时＜标本运输时间≤8小时得1分，标本运输时间超过8小时不得分。样本运输时间指样本从医院出发至为本项目提供检测服务的实验室。提供地图截图或其他证明材料。</w:t>
            </w:r>
          </w:p>
        </w:tc>
        <w:tc>
          <w:tcPr>
            <w:tcW w:w="8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2</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13</w:t>
            </w:r>
          </w:p>
        </w:tc>
        <w:tc>
          <w:tcPr>
            <w:tcW w:w="11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信息保障</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88" w:lineRule="auto"/>
              <w:jc w:val="left"/>
              <w:rPr>
                <w:rFonts w:ascii="仿宋" w:hAnsi="仿宋" w:eastAsia="仿宋" w:cs="仿宋"/>
                <w:kern w:val="0"/>
                <w:sz w:val="24"/>
              </w:rPr>
            </w:pPr>
            <w:r>
              <w:rPr>
                <w:rFonts w:hint="eastAsia" w:ascii="仿宋" w:hAnsi="仿宋" w:eastAsia="仿宋" w:cs="仿宋"/>
                <w:kern w:val="0"/>
                <w:sz w:val="24"/>
              </w:rPr>
              <w:t>根据专业信息系统团队及时处理网络故障、数据传输障碍、投放信息设备故障响应时间打分，小于2小时得3分，2小时以上24小时以内得2分，大于24小时不得分。</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lang w:bidi="ar"/>
              </w:rPr>
            </w:pPr>
            <w:r>
              <w:rPr>
                <w:rFonts w:hint="eastAsia" w:ascii="仿宋" w:hAnsi="仿宋" w:eastAsia="仿宋" w:cs="仿宋"/>
                <w:iCs/>
                <w:sz w:val="24"/>
                <w:lang w:bidi="ar"/>
              </w:rPr>
              <w:t>3</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rPr>
              <w:t>14</w:t>
            </w: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spacing w:line="288" w:lineRule="auto"/>
            </w:pPr>
            <w:r>
              <w:rPr>
                <w:rFonts w:hint="eastAsia" w:ascii="仿宋" w:hAnsi="仿宋" w:eastAsia="仿宋" w:cs="仿宋"/>
                <w:iCs/>
                <w:sz w:val="24"/>
                <w:lang w:bidi="ar"/>
              </w:rPr>
              <w:t>为保证医院检测数据的信息安全，实验室信息系统需过三级安全等级保护，并提供今明二年的任何一年的信息系统安全等级保护三级备案证书（扫描件或复印件加盖投标人公章）的得3分，不提供者不得分。以上需提供承诺函加盖投标人公章。</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3</w:t>
            </w: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15</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实验室沟通能力</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lang w:bidi="ar"/>
              </w:rPr>
            </w:pPr>
            <w:r>
              <w:rPr>
                <w:rFonts w:hint="eastAsia" w:ascii="仿宋" w:hAnsi="仿宋" w:eastAsia="仿宋" w:cs="仿宋"/>
                <w:iCs/>
                <w:sz w:val="24"/>
                <w:lang w:bidi="ar"/>
              </w:rPr>
              <w:t>1.提供专业客户服务人员及服务软件；</w:t>
            </w:r>
          </w:p>
          <w:p>
            <w:pPr>
              <w:widowControl/>
              <w:spacing w:line="288" w:lineRule="auto"/>
              <w:jc w:val="left"/>
              <w:rPr>
                <w:rFonts w:ascii="仿宋" w:hAnsi="仿宋" w:eastAsia="仿宋" w:cs="仿宋"/>
                <w:iCs/>
                <w:sz w:val="24"/>
              </w:rPr>
            </w:pPr>
            <w:r>
              <w:rPr>
                <w:rFonts w:hint="eastAsia" w:ascii="仿宋" w:hAnsi="仿宋" w:eastAsia="仿宋" w:cs="仿宋"/>
                <w:iCs/>
                <w:sz w:val="24"/>
                <w:lang w:bidi="ar"/>
              </w:rPr>
              <w:t>2.服务方式：客服热线、网络客服、365天全年无休服务；</w:t>
            </w:r>
          </w:p>
          <w:p>
            <w:pPr>
              <w:widowControl/>
              <w:spacing w:line="288" w:lineRule="auto"/>
              <w:jc w:val="left"/>
              <w:rPr>
                <w:rFonts w:ascii="仿宋" w:hAnsi="仿宋" w:eastAsia="仿宋" w:cs="仿宋"/>
                <w:iCs/>
                <w:sz w:val="24"/>
              </w:rPr>
            </w:pPr>
            <w:r>
              <w:rPr>
                <w:rFonts w:hint="eastAsia" w:ascii="仿宋" w:hAnsi="仿宋" w:eastAsia="仿宋" w:cs="仿宋"/>
                <w:iCs/>
                <w:sz w:val="24"/>
                <w:lang w:bidi="ar"/>
              </w:rPr>
              <w:t>3.服务时效：日常电话及时应答，投诉2小时内回复调查进展；</w:t>
            </w:r>
          </w:p>
          <w:p>
            <w:pPr>
              <w:widowControl/>
              <w:spacing w:line="288" w:lineRule="auto"/>
              <w:jc w:val="left"/>
              <w:rPr>
                <w:rFonts w:ascii="仿宋" w:hAnsi="仿宋" w:eastAsia="仿宋" w:cs="仿宋"/>
                <w:iCs/>
                <w:sz w:val="24"/>
              </w:rPr>
            </w:pPr>
            <w:r>
              <w:rPr>
                <w:rFonts w:hint="eastAsia" w:ascii="仿宋" w:hAnsi="仿宋" w:eastAsia="仿宋" w:cs="仿宋"/>
                <w:iCs/>
                <w:sz w:val="24"/>
                <w:lang w:bidi="ar"/>
              </w:rPr>
              <w:t>4.提供微信或者手机APP查询方式查询报告单；</w:t>
            </w:r>
          </w:p>
          <w:p>
            <w:pPr>
              <w:widowControl/>
              <w:spacing w:line="288" w:lineRule="auto"/>
              <w:jc w:val="left"/>
              <w:rPr>
                <w:rFonts w:ascii="仿宋" w:hAnsi="仿宋" w:eastAsia="仿宋" w:cs="仿宋"/>
                <w:iCs/>
                <w:sz w:val="24"/>
              </w:rPr>
            </w:pPr>
            <w:r>
              <w:rPr>
                <w:rFonts w:hint="eastAsia" w:ascii="仿宋" w:hAnsi="仿宋" w:eastAsia="仿宋" w:cs="仿宋"/>
                <w:iCs/>
                <w:sz w:val="24"/>
                <w:lang w:bidi="ar"/>
              </w:rPr>
              <w:t>5.建立委托实验室（血液病检测）相关专业人员、临检中心相关人员、血液科医生微信群，及时沟通患者情况。</w:t>
            </w:r>
          </w:p>
          <w:p>
            <w:pPr>
              <w:widowControl/>
              <w:spacing w:line="288" w:lineRule="auto"/>
              <w:jc w:val="left"/>
              <w:rPr>
                <w:rFonts w:ascii="仿宋" w:hAnsi="仿宋" w:eastAsia="仿宋" w:cs="仿宋"/>
                <w:iCs/>
                <w:sz w:val="24"/>
              </w:rPr>
            </w:pPr>
            <w:r>
              <w:rPr>
                <w:rFonts w:hint="eastAsia" w:ascii="仿宋" w:hAnsi="仿宋" w:eastAsia="仿宋" w:cs="仿宋"/>
                <w:iCs/>
                <w:sz w:val="24"/>
                <w:lang w:bidi="ar"/>
              </w:rPr>
              <w:t>以上满足一项得1分，全部满足得5分。</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5</w:t>
            </w:r>
          </w:p>
        </w:tc>
      </w:tr>
      <w:tr>
        <w:tblPrEx>
          <w:tblCellMar>
            <w:top w:w="0" w:type="dxa"/>
            <w:left w:w="108" w:type="dxa"/>
            <w:bottom w:w="0" w:type="dxa"/>
            <w:right w:w="108" w:type="dxa"/>
          </w:tblCellMar>
        </w:tblPrEx>
        <w:trPr>
          <w:trHeight w:val="374" w:hRule="atLeast"/>
        </w:trPr>
        <w:tc>
          <w:tcPr>
            <w:tcW w:w="83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16</w:t>
            </w:r>
          </w:p>
        </w:tc>
        <w:tc>
          <w:tcPr>
            <w:tcW w:w="11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学术服务能力</w:t>
            </w:r>
          </w:p>
        </w:tc>
        <w:tc>
          <w:tcPr>
            <w:tcW w:w="73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投标人在专业领域具有自主申报举办继续教育项目及学术讲座的能力，有助于投标人实验室相关人员业务能力提高：具备2023年国家级继续教育项目，每提供一个项目得1分，最高得3分，不具备不得分。（提供2023年有效期内的项目编号，提供国家级项目网上申报及信息反馈系统网页截图）</w:t>
            </w:r>
          </w:p>
        </w:tc>
        <w:tc>
          <w:tcPr>
            <w:tcW w:w="8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602" w:afterLines="251" w:line="288" w:lineRule="auto"/>
              <w:jc w:val="center"/>
              <w:rPr>
                <w:rFonts w:ascii="仿宋" w:hAnsi="仿宋" w:eastAsia="仿宋" w:cs="仿宋"/>
                <w:iCs/>
                <w:sz w:val="24"/>
              </w:rPr>
            </w:pPr>
            <w:r>
              <w:rPr>
                <w:rFonts w:hint="eastAsia" w:ascii="仿宋" w:hAnsi="仿宋" w:eastAsia="仿宋" w:cs="仿宋"/>
                <w:iCs/>
                <w:sz w:val="24"/>
                <w:lang w:bidi="ar"/>
              </w:rPr>
              <w:t>3</w:t>
            </w:r>
          </w:p>
        </w:tc>
      </w:tr>
      <w:tr>
        <w:tblPrEx>
          <w:tblCellMar>
            <w:top w:w="0" w:type="dxa"/>
            <w:left w:w="108" w:type="dxa"/>
            <w:bottom w:w="0" w:type="dxa"/>
            <w:right w:w="108" w:type="dxa"/>
          </w:tblCellMar>
        </w:tblPrEx>
        <w:trPr>
          <w:trHeight w:val="374" w:hRule="atLeast"/>
        </w:trPr>
        <w:tc>
          <w:tcPr>
            <w:tcW w:w="83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88" w:lineRule="auto"/>
              <w:jc w:val="center"/>
              <w:rPr>
                <w:rFonts w:ascii="仿宋" w:hAnsi="仿宋" w:eastAsia="仿宋" w:cs="仿宋"/>
                <w:iCs/>
                <w:sz w:val="24"/>
              </w:rPr>
            </w:pPr>
          </w:p>
        </w:tc>
        <w:tc>
          <w:tcPr>
            <w:tcW w:w="11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ascii="仿宋" w:hAnsi="仿宋" w:eastAsia="仿宋" w:cs="仿宋"/>
                <w:iCs/>
                <w:sz w:val="24"/>
              </w:rPr>
            </w:pPr>
          </w:p>
        </w:tc>
        <w:tc>
          <w:tcPr>
            <w:tcW w:w="7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left"/>
              <w:rPr>
                <w:rFonts w:ascii="仿宋" w:hAnsi="仿宋" w:eastAsia="仿宋" w:cs="仿宋"/>
                <w:iCs/>
                <w:sz w:val="24"/>
              </w:rPr>
            </w:pPr>
          </w:p>
        </w:tc>
        <w:tc>
          <w:tcPr>
            <w:tcW w:w="80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ascii="仿宋" w:hAnsi="仿宋" w:eastAsia="仿宋" w:cs="仿宋"/>
                <w:iCs/>
                <w:sz w:val="24"/>
              </w:rPr>
            </w:pPr>
          </w:p>
        </w:tc>
      </w:tr>
      <w:tr>
        <w:tblPrEx>
          <w:tblCellMar>
            <w:top w:w="0" w:type="dxa"/>
            <w:left w:w="108" w:type="dxa"/>
            <w:bottom w:w="0" w:type="dxa"/>
            <w:right w:w="108" w:type="dxa"/>
          </w:tblCellMar>
        </w:tblPrEx>
        <w:trPr>
          <w:trHeight w:val="90" w:hRule="atLeast"/>
        </w:trPr>
        <w:tc>
          <w:tcPr>
            <w:tcW w:w="8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17</w:t>
            </w:r>
          </w:p>
        </w:tc>
        <w:tc>
          <w:tcPr>
            <w:tcW w:w="11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增值服务能力</w:t>
            </w:r>
          </w:p>
        </w:tc>
        <w:tc>
          <w:tcPr>
            <w:tcW w:w="7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iCs/>
                <w:sz w:val="24"/>
              </w:rPr>
            </w:pPr>
            <w:r>
              <w:rPr>
                <w:rFonts w:hint="eastAsia" w:ascii="仿宋" w:hAnsi="仿宋" w:eastAsia="仿宋" w:cs="仿宋"/>
                <w:iCs/>
                <w:sz w:val="24"/>
                <w:lang w:bidi="ar"/>
              </w:rPr>
              <w:t>根据投标人提供的有利于本项目顺利开展的售后服务承诺及增值服务方案（如配备相应硬件设施等技术支持，提供检测相关耗材）进行打分。（0-</w:t>
            </w:r>
            <w:r>
              <w:rPr>
                <w:rFonts w:ascii="仿宋" w:hAnsi="仿宋" w:eastAsia="仿宋" w:cs="仿宋"/>
                <w:iCs/>
                <w:sz w:val="24"/>
                <w:lang w:bidi="ar"/>
              </w:rPr>
              <w:t>3</w:t>
            </w:r>
            <w:r>
              <w:rPr>
                <w:rFonts w:hint="eastAsia" w:ascii="仿宋" w:hAnsi="仿宋" w:eastAsia="仿宋" w:cs="仿宋"/>
                <w:iCs/>
                <w:sz w:val="24"/>
                <w:lang w:bidi="ar"/>
              </w:rPr>
              <w:t>分）</w:t>
            </w:r>
          </w:p>
        </w:tc>
        <w:tc>
          <w:tcPr>
            <w:tcW w:w="8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iCs/>
                <w:sz w:val="24"/>
              </w:rPr>
            </w:pPr>
            <w:r>
              <w:rPr>
                <w:rFonts w:hint="eastAsia" w:ascii="仿宋" w:hAnsi="仿宋" w:eastAsia="仿宋" w:cs="仿宋"/>
                <w:iCs/>
                <w:sz w:val="24"/>
                <w:lang w:bidi="ar"/>
              </w:rPr>
              <w:t>3</w:t>
            </w:r>
          </w:p>
        </w:tc>
      </w:tr>
      <w:bookmarkEnd w:id="151"/>
    </w:tbl>
    <w:p>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sz w:val="24"/>
          <w:u w:val="single"/>
        </w:rPr>
        <w:t xml:space="preserve"> 30 </w:t>
      </w:r>
      <w:r>
        <w:rPr>
          <w:rFonts w:hint="eastAsia" w:ascii="仿宋" w:hAnsi="仿宋" w:eastAsia="仿宋" w:cs="仿宋"/>
          <w:b/>
          <w:bCs/>
          <w:iCs/>
          <w:sz w:val="24"/>
        </w:rPr>
        <w:t>分）</w:t>
      </w:r>
    </w:p>
    <w:p>
      <w:pPr>
        <w:spacing w:line="288" w:lineRule="auto"/>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288" w:lineRule="auto"/>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
          <w:sz w:val="36"/>
          <w:szCs w:val="20"/>
        </w:rPr>
      </w:pPr>
      <w:r>
        <w:rPr>
          <w:rFonts w:hint="eastAsia" w:ascii="仿宋" w:hAnsi="仿宋" w:eastAsia="仿宋" w:cs="仿宋"/>
          <w:bCs/>
          <w:iCs/>
          <w:sz w:val="24"/>
        </w:rPr>
        <w:t>即：投标报价得分=(评标基准价／投标报价)×</w:t>
      </w:r>
      <w:bookmarkEnd w:id="29"/>
      <w:bookmarkEnd w:id="30"/>
      <w:r>
        <w:rPr>
          <w:rFonts w:hint="eastAsia" w:ascii="仿宋" w:hAnsi="仿宋" w:eastAsia="仿宋" w:cs="仿宋"/>
          <w:sz w:val="24"/>
          <w:u w:val="single"/>
        </w:rPr>
        <w:t xml:space="preserve"> 30 </w:t>
      </w:r>
    </w:p>
    <w:p>
      <w:pPr>
        <w:widowControl/>
        <w:adjustRightInd/>
        <w:jc w:val="center"/>
        <w:rPr>
          <w:rFonts w:ascii="仿宋" w:hAnsi="仿宋" w:eastAsia="仿宋" w:cs="仿宋"/>
          <w:b/>
          <w:sz w:val="36"/>
          <w:szCs w:val="20"/>
        </w:rPr>
      </w:pPr>
    </w:p>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ascii="仿宋" w:hAnsi="仿宋" w:eastAsia="仿宋" w:cs="仿宋"/>
          <w:b/>
          <w:sz w:val="36"/>
          <w:szCs w:val="20"/>
        </w:rPr>
      </w:pPr>
      <w:bookmarkStart w:id="162" w:name="_GoBack"/>
      <w:bookmarkEnd w:id="162"/>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8"/>
        <w:spacing w:line="336" w:lineRule="auto"/>
        <w:ind w:left="0" w:firstLine="0" w:firstLineChars="0"/>
        <w:rPr>
          <w:rFonts w:ascii="仿宋" w:eastAsia="仿宋" w:cs="仿宋"/>
        </w:rPr>
      </w:pPr>
      <w:r>
        <w:rPr>
          <w:rFonts w:hint="eastAsia" w:ascii="仿宋" w:eastAsia="仿宋" w:cs="仿宋"/>
        </w:rPr>
        <w:t>（1）投标函……………………………………………………………………（页码）</w:t>
      </w:r>
    </w:p>
    <w:p>
      <w:pPr>
        <w:pStyle w:val="908"/>
        <w:spacing w:line="336" w:lineRule="auto"/>
        <w:ind w:left="0" w:firstLine="0" w:firstLineChars="0"/>
        <w:rPr>
          <w:rFonts w:ascii="仿宋" w:eastAsia="仿宋" w:cs="仿宋"/>
        </w:rPr>
      </w:pPr>
      <w:r>
        <w:rPr>
          <w:rFonts w:hint="eastAsia" w:ascii="仿宋" w:eastAsia="仿宋" w:cs="仿宋"/>
        </w:rPr>
        <w:t>（2）法定代表人授权书 ……………………………………………………（页码）</w:t>
      </w:r>
    </w:p>
    <w:p>
      <w:pPr>
        <w:pStyle w:val="908"/>
        <w:spacing w:line="336" w:lineRule="auto"/>
        <w:ind w:left="0" w:firstLine="0" w:firstLineChars="0"/>
        <w:rPr>
          <w:rFonts w:ascii="仿宋" w:eastAsia="仿宋" w:cs="仿宋"/>
        </w:rPr>
      </w:pPr>
      <w:r>
        <w:rPr>
          <w:rFonts w:hint="eastAsia" w:ascii="仿宋" w:eastAsia="仿宋" w:cs="仿宋"/>
        </w:rPr>
        <w:t>（3）授权代表社保证明………………………………………………………（页码）</w:t>
      </w:r>
    </w:p>
    <w:p>
      <w:pPr>
        <w:pStyle w:val="908"/>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8"/>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8"/>
        <w:spacing w:line="336" w:lineRule="auto"/>
        <w:ind w:left="0" w:firstLine="0" w:firstLineChars="0"/>
        <w:rPr>
          <w:rFonts w:ascii="仿宋" w:eastAsia="仿宋" w:cs="仿宋"/>
        </w:rPr>
      </w:pPr>
      <w:r>
        <w:rPr>
          <w:rFonts w:hint="eastAsia" w:ascii="仿宋" w:eastAsia="仿宋" w:cs="仿宋"/>
        </w:rPr>
        <w:t>（6）商务技术偏离表…………………………………………………………（页码）</w:t>
      </w:r>
    </w:p>
    <w:p>
      <w:pPr>
        <w:pStyle w:val="908"/>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18" w:type="dxa"/>
            <w:vAlign w:val="center"/>
          </w:tcPr>
          <w:p>
            <w:pPr>
              <w:rPr>
                <w:rFonts w:ascii="仿宋" w:hAnsi="仿宋" w:eastAsia="仿宋" w:cs="仿宋"/>
                <w:sz w:val="24"/>
              </w:rPr>
            </w:pPr>
            <w:r>
              <w:rPr>
                <w:rFonts w:hint="eastAsia" w:ascii="仿宋" w:hAnsi="仿宋" w:eastAsia="仿宋" w:cs="仿宋"/>
                <w:sz w:val="24"/>
              </w:rPr>
              <w:t>1</w:t>
            </w:r>
          </w:p>
        </w:tc>
        <w:tc>
          <w:tcPr>
            <w:tcW w:w="518" w:type="dxa"/>
            <w:vAlign w:val="center"/>
          </w:tcPr>
          <w:p>
            <w:pPr>
              <w:rPr>
                <w:rFonts w:ascii="仿宋" w:hAnsi="仿宋" w:eastAsia="仿宋" w:cs="仿宋"/>
                <w:sz w:val="24"/>
              </w:rPr>
            </w:pPr>
            <w:r>
              <w:rPr>
                <w:rFonts w:hint="eastAsia" w:ascii="仿宋" w:hAnsi="仿宋" w:eastAsia="仿宋" w:cs="仿宋"/>
                <w:sz w:val="24"/>
              </w:rPr>
              <w:t>2</w:t>
            </w:r>
          </w:p>
        </w:tc>
        <w:tc>
          <w:tcPr>
            <w:tcW w:w="518" w:type="dxa"/>
            <w:vAlign w:val="center"/>
          </w:tcPr>
          <w:p>
            <w:pPr>
              <w:rPr>
                <w:rFonts w:ascii="仿宋" w:hAnsi="仿宋" w:eastAsia="仿宋" w:cs="仿宋"/>
                <w:sz w:val="24"/>
              </w:rPr>
            </w:pPr>
            <w:r>
              <w:rPr>
                <w:rFonts w:hint="eastAsia" w:ascii="仿宋" w:hAnsi="仿宋" w:eastAsia="仿宋" w:cs="仿宋"/>
                <w:sz w:val="24"/>
              </w:rPr>
              <w:t>3</w:t>
            </w:r>
          </w:p>
        </w:tc>
        <w:tc>
          <w:tcPr>
            <w:tcW w:w="518" w:type="dxa"/>
            <w:vAlign w:val="center"/>
          </w:tcPr>
          <w:p>
            <w:pPr>
              <w:rPr>
                <w:rFonts w:ascii="仿宋" w:hAnsi="仿宋" w:eastAsia="仿宋" w:cs="仿宋"/>
                <w:sz w:val="24"/>
              </w:rPr>
            </w:pPr>
            <w:r>
              <w:rPr>
                <w:rFonts w:hint="eastAsia" w:ascii="仿宋" w:hAnsi="仿宋" w:eastAsia="仿宋" w:cs="仿宋"/>
                <w:sz w:val="24"/>
              </w:rPr>
              <w:t>4</w:t>
            </w:r>
          </w:p>
        </w:tc>
        <w:tc>
          <w:tcPr>
            <w:tcW w:w="518" w:type="dxa"/>
            <w:vAlign w:val="center"/>
          </w:tcPr>
          <w:p>
            <w:pPr>
              <w:rPr>
                <w:rFonts w:ascii="仿宋" w:hAnsi="仿宋" w:eastAsia="仿宋" w:cs="仿宋"/>
                <w:sz w:val="24"/>
              </w:rPr>
            </w:pPr>
            <w:r>
              <w:rPr>
                <w:rFonts w:hint="eastAsia" w:ascii="仿宋" w:hAnsi="仿宋" w:eastAsia="仿宋" w:cs="仿宋"/>
                <w:sz w:val="24"/>
              </w:rPr>
              <w:t>5</w:t>
            </w:r>
          </w:p>
        </w:tc>
        <w:tc>
          <w:tcPr>
            <w:tcW w:w="518" w:type="dxa"/>
            <w:vAlign w:val="center"/>
          </w:tcPr>
          <w:p>
            <w:pPr>
              <w:rPr>
                <w:rFonts w:ascii="仿宋" w:hAnsi="仿宋" w:eastAsia="仿宋" w:cs="仿宋"/>
                <w:sz w:val="24"/>
              </w:rPr>
            </w:pPr>
            <w:r>
              <w:rPr>
                <w:rFonts w:hint="eastAsia" w:ascii="仿宋" w:hAnsi="仿宋" w:eastAsia="仿宋" w:cs="仿宋"/>
                <w:sz w:val="24"/>
              </w:rPr>
              <w:t>6</w:t>
            </w:r>
          </w:p>
        </w:tc>
        <w:tc>
          <w:tcPr>
            <w:tcW w:w="519" w:type="dxa"/>
            <w:vAlign w:val="center"/>
          </w:tcPr>
          <w:p>
            <w:pPr>
              <w:rPr>
                <w:rFonts w:ascii="仿宋" w:hAnsi="仿宋" w:eastAsia="仿宋" w:cs="仿宋"/>
                <w:sz w:val="24"/>
              </w:rPr>
            </w:pPr>
            <w:r>
              <w:rPr>
                <w:rFonts w:hint="eastAsia" w:ascii="仿宋" w:hAnsi="仿宋" w:eastAsia="仿宋" w:cs="仿宋"/>
                <w:sz w:val="24"/>
              </w:rPr>
              <w:t>7</w:t>
            </w:r>
          </w:p>
        </w:tc>
        <w:tc>
          <w:tcPr>
            <w:tcW w:w="519" w:type="dxa"/>
            <w:vAlign w:val="center"/>
          </w:tcPr>
          <w:p>
            <w:pPr>
              <w:rPr>
                <w:rFonts w:ascii="仿宋" w:hAnsi="仿宋" w:eastAsia="仿宋" w:cs="仿宋"/>
                <w:sz w:val="24"/>
              </w:rPr>
            </w:pPr>
            <w:r>
              <w:rPr>
                <w:rFonts w:hint="eastAsia" w:ascii="仿宋" w:hAnsi="仿宋" w:eastAsia="仿宋" w:cs="仿宋"/>
                <w:sz w:val="24"/>
              </w:rPr>
              <w:t>8</w:t>
            </w:r>
          </w:p>
        </w:tc>
        <w:tc>
          <w:tcPr>
            <w:tcW w:w="519" w:type="dxa"/>
            <w:vAlign w:val="center"/>
          </w:tcPr>
          <w:p>
            <w:pPr>
              <w:rPr>
                <w:rFonts w:ascii="仿宋" w:hAnsi="仿宋" w:eastAsia="仿宋" w:cs="仿宋"/>
                <w:sz w:val="24"/>
              </w:rPr>
            </w:pPr>
            <w:r>
              <w:rPr>
                <w:rFonts w:hint="eastAsia" w:ascii="仿宋" w:hAnsi="仿宋" w:eastAsia="仿宋" w:cs="仿宋"/>
                <w:sz w:val="24"/>
              </w:rPr>
              <w:t>9</w:t>
            </w:r>
          </w:p>
        </w:tc>
        <w:tc>
          <w:tcPr>
            <w:tcW w:w="519" w:type="dxa"/>
            <w:vAlign w:val="center"/>
          </w:tcPr>
          <w:p>
            <w:pPr>
              <w:rPr>
                <w:rFonts w:ascii="仿宋" w:hAnsi="仿宋" w:eastAsia="仿宋" w:cs="仿宋"/>
                <w:sz w:val="24"/>
              </w:rPr>
            </w:pPr>
            <w:r>
              <w:rPr>
                <w:rFonts w:hint="eastAsia" w:ascii="仿宋" w:hAnsi="仿宋" w:eastAsia="仿宋" w:cs="仿宋"/>
                <w:sz w:val="24"/>
              </w:rPr>
              <w:t>10</w:t>
            </w:r>
          </w:p>
        </w:tc>
        <w:tc>
          <w:tcPr>
            <w:tcW w:w="519" w:type="dxa"/>
            <w:vAlign w:val="center"/>
          </w:tcPr>
          <w:p>
            <w:pPr>
              <w:rPr>
                <w:rFonts w:ascii="仿宋" w:hAnsi="仿宋" w:eastAsia="仿宋" w:cs="仿宋"/>
                <w:sz w:val="24"/>
              </w:rPr>
            </w:pPr>
            <w:r>
              <w:rPr>
                <w:rFonts w:hint="eastAsia" w:ascii="仿宋" w:hAnsi="仿宋" w:eastAsia="仿宋" w:cs="仿宋"/>
                <w:sz w:val="24"/>
              </w:rPr>
              <w:t>11</w:t>
            </w:r>
          </w:p>
        </w:tc>
        <w:tc>
          <w:tcPr>
            <w:tcW w:w="519" w:type="dxa"/>
            <w:vAlign w:val="center"/>
          </w:tcPr>
          <w:p>
            <w:pPr>
              <w:rPr>
                <w:rFonts w:ascii="仿宋" w:hAnsi="仿宋" w:eastAsia="仿宋" w:cs="仿宋"/>
                <w:sz w:val="24"/>
              </w:rPr>
            </w:pPr>
            <w:r>
              <w:rPr>
                <w:rFonts w:hint="eastAsia" w:ascii="仿宋" w:hAnsi="仿宋" w:eastAsia="仿宋" w:cs="仿宋"/>
                <w:sz w:val="24"/>
              </w:rPr>
              <w:t>12</w:t>
            </w:r>
          </w:p>
        </w:tc>
        <w:tc>
          <w:tcPr>
            <w:tcW w:w="519" w:type="dxa"/>
            <w:vAlign w:val="center"/>
          </w:tcPr>
          <w:p>
            <w:pPr>
              <w:rPr>
                <w:rFonts w:ascii="仿宋" w:hAnsi="仿宋" w:eastAsia="仿宋" w:cs="仿宋"/>
                <w:sz w:val="24"/>
              </w:rPr>
            </w:pPr>
            <w:r>
              <w:rPr>
                <w:rFonts w:hint="eastAsia" w:ascii="仿宋" w:hAnsi="仿宋" w:eastAsia="仿宋" w:cs="仿宋"/>
                <w:sz w:val="24"/>
              </w:rPr>
              <w:t>13</w:t>
            </w:r>
          </w:p>
        </w:tc>
        <w:tc>
          <w:tcPr>
            <w:tcW w:w="519" w:type="dxa"/>
            <w:vAlign w:val="center"/>
          </w:tcPr>
          <w:p>
            <w:pPr>
              <w:rPr>
                <w:rFonts w:ascii="仿宋" w:hAnsi="仿宋" w:eastAsia="仿宋" w:cs="仿宋"/>
                <w:sz w:val="24"/>
              </w:rPr>
            </w:pPr>
            <w:r>
              <w:rPr>
                <w:rFonts w:hint="eastAsia" w:ascii="仿宋" w:hAnsi="仿宋" w:eastAsia="仿宋" w:cs="仿宋"/>
                <w:sz w:val="24"/>
              </w:rPr>
              <w:t>14</w:t>
            </w:r>
          </w:p>
        </w:tc>
        <w:tc>
          <w:tcPr>
            <w:tcW w:w="519" w:type="dxa"/>
            <w:vAlign w:val="center"/>
          </w:tcPr>
          <w:p>
            <w:pPr>
              <w:rPr>
                <w:rFonts w:ascii="仿宋" w:hAnsi="仿宋" w:eastAsia="仿宋" w:cs="仿宋"/>
                <w:sz w:val="24"/>
              </w:rPr>
            </w:pPr>
            <w:r>
              <w:rPr>
                <w:rFonts w:hint="eastAsia" w:ascii="仿宋" w:hAnsi="仿宋" w:eastAsia="仿宋" w:cs="仿宋"/>
                <w:sz w:val="24"/>
              </w:rPr>
              <w:t>15</w:t>
            </w:r>
          </w:p>
        </w:tc>
        <w:tc>
          <w:tcPr>
            <w:tcW w:w="519"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2"/>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2"/>
        <w:spacing w:line="288" w:lineRule="auto"/>
        <w:rPr>
          <w:rFonts w:ascii="仿宋" w:hAnsi="仿宋" w:eastAsia="仿宋" w:cs="仿宋"/>
          <w:color w:val="auto"/>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2"/>
        <w:spacing w:line="288" w:lineRule="auto"/>
        <w:rPr>
          <w:rFonts w:ascii="仿宋" w:hAnsi="仿宋" w:eastAsia="仿宋" w:cs="仿宋"/>
          <w:color w:val="auto"/>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2"/>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rPr>
          <w:rFonts w:ascii="仿宋" w:hAnsi="仿宋" w:eastAsia="仿宋" w:cs="仿宋"/>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p>
    <w:tbl>
      <w:tblPr>
        <w:tblStyle w:val="64"/>
        <w:tblW w:w="14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206"/>
        <w:gridCol w:w="1719"/>
        <w:gridCol w:w="1719"/>
        <w:gridCol w:w="1719"/>
        <w:gridCol w:w="1719"/>
        <w:gridCol w:w="1722"/>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8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320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719"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171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171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71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22"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806"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81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3206" w:type="dxa"/>
            <w:vAlign w:val="center"/>
          </w:tcPr>
          <w:p>
            <w:pPr>
              <w:spacing w:line="360" w:lineRule="auto"/>
              <w:jc w:val="center"/>
              <w:rPr>
                <w:rFonts w:ascii="仿宋" w:hAnsi="仿宋" w:eastAsia="仿宋" w:cs="仿宋"/>
                <w:sz w:val="24"/>
              </w:rPr>
            </w:pPr>
          </w:p>
        </w:tc>
        <w:tc>
          <w:tcPr>
            <w:tcW w:w="1719" w:type="dxa"/>
            <w:vAlign w:val="center"/>
          </w:tcPr>
          <w:p>
            <w:pPr>
              <w:snapToGrid w:val="0"/>
              <w:spacing w:line="360" w:lineRule="auto"/>
              <w:jc w:val="center"/>
              <w:rPr>
                <w:rFonts w:ascii="仿宋" w:hAnsi="仿宋" w:eastAsia="仿宋" w:cs="仿宋"/>
                <w:sz w:val="24"/>
              </w:rPr>
            </w:pPr>
          </w:p>
        </w:tc>
        <w:tc>
          <w:tcPr>
            <w:tcW w:w="1719" w:type="dxa"/>
            <w:vAlign w:val="center"/>
          </w:tcPr>
          <w:p>
            <w:pPr>
              <w:snapToGrid w:val="0"/>
              <w:spacing w:line="360" w:lineRule="auto"/>
              <w:jc w:val="center"/>
              <w:rPr>
                <w:rFonts w:ascii="仿宋" w:hAnsi="仿宋" w:eastAsia="仿宋" w:cs="仿宋"/>
                <w:sz w:val="24"/>
              </w:rPr>
            </w:pPr>
          </w:p>
        </w:tc>
        <w:tc>
          <w:tcPr>
            <w:tcW w:w="1719" w:type="dxa"/>
            <w:vAlign w:val="center"/>
          </w:tcPr>
          <w:p>
            <w:pPr>
              <w:snapToGrid w:val="0"/>
              <w:spacing w:line="360" w:lineRule="auto"/>
              <w:jc w:val="center"/>
              <w:rPr>
                <w:rFonts w:ascii="仿宋" w:hAnsi="仿宋" w:eastAsia="仿宋" w:cs="仿宋"/>
                <w:sz w:val="24"/>
              </w:rPr>
            </w:pPr>
          </w:p>
        </w:tc>
        <w:tc>
          <w:tcPr>
            <w:tcW w:w="1719" w:type="dxa"/>
            <w:vAlign w:val="center"/>
          </w:tcPr>
          <w:p>
            <w:pPr>
              <w:spacing w:line="360" w:lineRule="auto"/>
              <w:jc w:val="center"/>
              <w:rPr>
                <w:rFonts w:ascii="仿宋" w:hAnsi="仿宋" w:eastAsia="仿宋" w:cs="仿宋"/>
                <w:sz w:val="24"/>
              </w:rPr>
            </w:pPr>
          </w:p>
        </w:tc>
        <w:tc>
          <w:tcPr>
            <w:tcW w:w="1722" w:type="dxa"/>
          </w:tcPr>
          <w:p>
            <w:pPr>
              <w:spacing w:line="360" w:lineRule="auto"/>
              <w:jc w:val="center"/>
              <w:rPr>
                <w:rFonts w:ascii="仿宋" w:hAnsi="仿宋" w:eastAsia="仿宋" w:cs="仿宋"/>
                <w:sz w:val="24"/>
              </w:rPr>
            </w:pPr>
          </w:p>
        </w:tc>
        <w:tc>
          <w:tcPr>
            <w:tcW w:w="1806"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5742" w:type="dxa"/>
            <w:gridSpan w:val="3"/>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投标报价（折扣）</w:t>
            </w:r>
          </w:p>
        </w:tc>
        <w:tc>
          <w:tcPr>
            <w:tcW w:w="6879" w:type="dxa"/>
            <w:gridSpan w:val="4"/>
          </w:tcPr>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w:t>
            </w:r>
          </w:p>
        </w:tc>
        <w:tc>
          <w:tcPr>
            <w:tcW w:w="1806" w:type="dxa"/>
          </w:tcPr>
          <w:p>
            <w:pPr>
              <w:spacing w:line="360" w:lineRule="auto"/>
              <w:jc w:val="center"/>
              <w:rPr>
                <w:rFonts w:ascii="仿宋" w:hAnsi="仿宋" w:eastAsia="仿宋" w:cs="仿宋"/>
                <w:sz w:val="24"/>
                <w:u w:val="single"/>
              </w:rPr>
            </w:pPr>
            <w:r>
              <w:rPr>
                <w:rFonts w:hint="eastAsia" w:ascii="仿宋" w:hAnsi="仿宋" w:eastAsia="仿宋" w:cs="仿宋"/>
                <w:b/>
                <w:kern w:val="0"/>
                <w:sz w:val="24"/>
              </w:rPr>
              <w:t>按折扣报价，小数点后保留2位。</w:t>
            </w:r>
          </w:p>
        </w:tc>
      </w:tr>
    </w:tbl>
    <w:p>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sz w:val="24"/>
        </w:rPr>
        <w:t>1、本项目报价以《</w:t>
      </w:r>
      <w:r>
        <w:rPr>
          <w:rFonts w:hint="eastAsia" w:ascii="仿宋" w:hAnsi="仿宋" w:eastAsia="仿宋" w:cs="仿宋"/>
          <w:sz w:val="24"/>
          <w:lang w:val="zh-CN"/>
        </w:rPr>
        <w:t>浙江省医疗服务行业物价收费标准</w:t>
      </w:r>
      <w:r>
        <w:rPr>
          <w:rFonts w:hint="eastAsia" w:ascii="仿宋" w:hAnsi="仿宋" w:eastAsia="仿宋" w:cs="仿宋"/>
          <w:sz w:val="24"/>
        </w:rPr>
        <w:t>》为基准价，按折扣报价（即：结算价=基准价*折扣数值。如报价为29%，表示折扣为2.9折），</w:t>
      </w:r>
      <w:r>
        <w:rPr>
          <w:rFonts w:hint="eastAsia" w:ascii="仿宋" w:hAnsi="仿宋" w:eastAsia="仿宋" w:cs="仿宋"/>
          <w:b/>
          <w:bCs/>
          <w:sz w:val="24"/>
          <w:u w:val="single"/>
          <w:lang w:val="zh-CN"/>
        </w:rPr>
        <w:t>投标折扣不高于</w:t>
      </w:r>
      <w:r>
        <w:rPr>
          <w:rFonts w:hint="eastAsia" w:ascii="仿宋" w:hAnsi="仿宋" w:eastAsia="仿宋" w:cs="仿宋"/>
          <w:b/>
          <w:bCs/>
          <w:sz w:val="24"/>
          <w:u w:val="single"/>
        </w:rPr>
        <w:t>《</w:t>
      </w:r>
      <w:r>
        <w:rPr>
          <w:rFonts w:hint="eastAsia" w:ascii="仿宋" w:hAnsi="仿宋" w:eastAsia="仿宋" w:cs="仿宋"/>
          <w:b/>
          <w:bCs/>
          <w:sz w:val="24"/>
          <w:u w:val="single"/>
          <w:lang w:val="zh-CN"/>
        </w:rPr>
        <w:t>浙江省医疗服务行业物价收费标准</w:t>
      </w:r>
      <w:r>
        <w:rPr>
          <w:rFonts w:hint="eastAsia" w:ascii="仿宋" w:hAnsi="仿宋" w:eastAsia="仿宋" w:cs="仿宋"/>
          <w:b/>
          <w:bCs/>
          <w:sz w:val="24"/>
          <w:u w:val="single"/>
        </w:rPr>
        <w:t>》</w:t>
      </w:r>
      <w:r>
        <w:rPr>
          <w:rFonts w:hint="eastAsia" w:ascii="仿宋" w:hAnsi="仿宋" w:eastAsia="仿宋" w:cs="仿宋"/>
          <w:b/>
          <w:bCs/>
          <w:sz w:val="24"/>
          <w:u w:val="single"/>
          <w:lang w:val="zh-CN"/>
        </w:rPr>
        <w:t>的</w:t>
      </w:r>
      <w:r>
        <w:rPr>
          <w:rFonts w:hint="eastAsia" w:ascii="仿宋" w:hAnsi="仿宋" w:eastAsia="仿宋" w:cs="仿宋"/>
          <w:b/>
          <w:bCs/>
          <w:sz w:val="24"/>
          <w:u w:val="single"/>
        </w:rPr>
        <w:t>30</w:t>
      </w:r>
      <w:r>
        <w:rPr>
          <w:rFonts w:hint="eastAsia" w:ascii="仿宋" w:hAnsi="仿宋" w:eastAsia="仿宋" w:cs="仿宋"/>
          <w:b/>
          <w:bCs/>
          <w:sz w:val="24"/>
          <w:u w:val="single"/>
          <w:lang w:val="zh-CN"/>
        </w:rPr>
        <w:t>%，否则视作无效投标。</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rPr>
        <w:t>2</w:t>
      </w:r>
      <w:r>
        <w:rPr>
          <w:rFonts w:hint="eastAsia" w:ascii="仿宋" w:hAnsi="仿宋" w:eastAsia="仿宋" w:cs="仿宋"/>
          <w:kern w:val="0"/>
          <w:sz w:val="24"/>
          <w:lang w:val="zh-CN"/>
        </w:rPr>
        <w:t>、投标人需按本表格式填写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rPr>
        <w:t>5</w:t>
      </w:r>
      <w:r>
        <w:rPr>
          <w:rFonts w:hint="eastAsia" w:ascii="仿宋" w:hAnsi="仿宋" w:eastAsia="仿宋" w:cs="仿宋"/>
          <w:kern w:val="0"/>
          <w:sz w:val="24"/>
          <w:szCs w:val="22"/>
          <w:lang w:val="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2" w:name="_Hlk101259491"/>
      <w:r>
        <w:rPr>
          <w:rFonts w:hint="eastAsia" w:ascii="仿宋" w:hAnsi="仿宋" w:eastAsia="仿宋" w:cs="仿宋"/>
          <w:sz w:val="32"/>
          <w:szCs w:val="32"/>
        </w:rPr>
        <w:t>（如果有）</w:t>
      </w:r>
      <w:bookmarkEnd w:id="152"/>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rPr>
          <w:rFonts w:ascii="仿宋" w:hAnsi="仿宋" w:eastAsia="仿宋" w:cs="仿宋"/>
        </w:rPr>
      </w:pPr>
    </w:p>
    <w:p>
      <w:pPr>
        <w:pStyle w:val="83"/>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auto"/>
        </w:rPr>
      </w:pPr>
    </w:p>
    <w:p>
      <w:pPr>
        <w:pStyle w:val="83"/>
        <w:spacing w:line="360" w:lineRule="auto"/>
        <w:ind w:left="0" w:firstLine="120" w:firstLineChars="50"/>
        <w:jc w:val="left"/>
        <w:rPr>
          <w:rFonts w:ascii="仿宋" w:hAnsi="仿宋" w:eastAsia="仿宋" w:cs="仿宋"/>
          <w:b/>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53" w:name="_Toc465665161"/>
      <w:r>
        <w:rPr>
          <w:rFonts w:hint="eastAsia" w:ascii="仿宋" w:hAnsi="仿宋" w:eastAsia="仿宋" w:cs="仿宋"/>
        </w:rPr>
        <w:t>附件</w:t>
      </w:r>
      <w:bookmarkEnd w:id="153"/>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2"/>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2"/>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5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54"/>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55"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55"/>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56" w:name="OLE_LINK13"/>
      <w:bookmarkStart w:id="157" w:name="OLE_LINK14"/>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56"/>
    <w:bookmarkEnd w:id="157"/>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ascii="仿宋" w:hAnsi="仿宋" w:eastAsia="仿宋" w:cs="仿宋"/>
          <w:b/>
          <w:spacing w:val="6"/>
          <w:sz w:val="32"/>
          <w:szCs w:val="32"/>
        </w:rPr>
      </w:pPr>
    </w:p>
    <w:p>
      <w:pPr>
        <w:snapToGrid w:val="0"/>
        <w:spacing w:line="288" w:lineRule="auto"/>
        <w:rPr>
          <w:rFonts w:ascii="仿宋" w:hAnsi="仿宋" w:eastAsia="仿宋" w:cs="仿宋"/>
          <w:sz w:val="24"/>
          <w:u w:val="single"/>
        </w:rPr>
      </w:pPr>
      <w:r>
        <w:rPr>
          <w:rFonts w:hint="eastAsia" w:ascii="仿宋" w:hAnsi="仿宋" w:eastAsia="仿宋" w:cs="仿宋"/>
          <w:b/>
          <w:kern w:val="0"/>
          <w:sz w:val="32"/>
          <w:szCs w:val="32"/>
        </w:rPr>
        <w:t>附件7：中小企业声明函</w:t>
      </w: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288"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288" w:lineRule="auto"/>
        <w:ind w:right="1760"/>
        <w:jc w:val="right"/>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288" w:lineRule="auto"/>
        <w:ind w:firstLine="310" w:firstLineChars="147"/>
        <w:jc w:val="left"/>
        <w:rPr>
          <w:rFonts w:ascii="仿宋" w:hAnsi="仿宋" w:eastAsia="仿宋" w:cs="仿宋"/>
          <w:sz w:val="24"/>
        </w:rPr>
      </w:pPr>
      <w:r>
        <w:rPr>
          <w:rFonts w:hint="eastAsia" w:ascii="仿宋" w:hAnsi="仿宋" w:eastAsia="仿宋" w:cs="仿宋"/>
          <w:b/>
          <w:szCs w:val="21"/>
        </w:rPr>
        <w:t>从业人员、营业收入、资产总额填报上一年度数据，无上一年度数据的新成立企业可不填报。</w:t>
      </w:r>
    </w:p>
    <w:p>
      <w:pPr>
        <w:spacing w:line="288" w:lineRule="auto"/>
        <w:ind w:right="420"/>
        <w:rPr>
          <w:rFonts w:ascii="仿宋" w:hAnsi="仿宋" w:eastAsia="仿宋" w:cs="仿宋"/>
          <w:sz w:val="24"/>
        </w:rPr>
      </w:pPr>
      <w:r>
        <w:rPr>
          <w:rFonts w:hint="eastAsia" w:ascii="仿宋" w:hAnsi="仿宋" w:eastAsia="仿宋" w:cs="仿宋"/>
          <w:sz w:val="24"/>
        </w:rPr>
        <w:t xml:space="preserve">   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60101010101"/>
    <w:charset w:val="86"/>
    <w:family w:val="modern"/>
    <w:pitch w:val="default"/>
    <w:sig w:usb0="00000000" w:usb1="00000000"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wis721 Lt B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wis721 Lt BT">
    <w:panose1 w:val="020B0403020202020204"/>
    <w:charset w:val="00"/>
    <w:family w:val="auto"/>
    <w:pitch w:val="default"/>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81</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81</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81</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81</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4"/>
      </w:rPr>
    </w:pPr>
    <w:r>
      <w:fldChar w:fldCharType="begin"/>
    </w:r>
    <w:r>
      <w:rPr>
        <w:rStyle w:val="74"/>
      </w:rPr>
      <w:instrText xml:space="preserve">PAGE  </w:instrText>
    </w:r>
    <w:r>
      <w:fldChar w:fldCharType="end"/>
    </w:r>
  </w:p>
  <w:p>
    <w:pPr>
      <w:pStyle w:val="3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65</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81</w:t>
                          </w:r>
                          <w:r>
                            <w:rPr>
                              <w:rFonts w:hint="eastAsia" w:ascii="FangSong_GB2312" w:eastAsia="FangSong_GB2312"/>
                              <w:kern w:val="0"/>
                              <w:szCs w:val="21"/>
                            </w:rPr>
                            <w:fldChar w:fldCharType="end"/>
                          </w:r>
                          <w:bookmarkStart w:id="158" w:name="_Toc164085800"/>
                          <w:bookmarkStart w:id="159" w:name="_Toc131845147"/>
                          <w:bookmarkStart w:id="160" w:name="_Toc36110187"/>
                          <w:bookmarkStart w:id="161" w:name="_Toc91899912"/>
                          <w:r>
                            <w:rPr>
                              <w:rFonts w:hint="eastAsia" w:ascii="FangSong_GB2312" w:eastAsia="FangSong_GB2312"/>
                              <w:kern w:val="0"/>
                              <w:szCs w:val="21"/>
                            </w:rPr>
                            <w:t xml:space="preserve"> 页</w:t>
                          </w:r>
                          <w:bookmarkEnd w:id="158"/>
                          <w:bookmarkEnd w:id="159"/>
                          <w:bookmarkEnd w:id="160"/>
                          <w:bookmarkEnd w:id="161"/>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65</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81</w:t>
                    </w:r>
                    <w:r>
                      <w:rPr>
                        <w:rFonts w:hint="eastAsia" w:ascii="FangSong_GB2312" w:eastAsia="FangSong_GB2312"/>
                        <w:kern w:val="0"/>
                        <w:szCs w:val="21"/>
                      </w:rPr>
                      <w:fldChar w:fldCharType="end"/>
                    </w:r>
                    <w:bookmarkStart w:id="158" w:name="_Toc164085800"/>
                    <w:bookmarkStart w:id="159" w:name="_Toc131845147"/>
                    <w:bookmarkStart w:id="160" w:name="_Toc36110187"/>
                    <w:bookmarkStart w:id="161" w:name="_Toc91899912"/>
                    <w:r>
                      <w:rPr>
                        <w:rFonts w:hint="eastAsia" w:ascii="FangSong_GB2312" w:eastAsia="FangSong_GB2312"/>
                        <w:kern w:val="0"/>
                        <w:szCs w:val="21"/>
                      </w:rPr>
                      <w:t xml:space="preserve"> 页</w:t>
                    </w:r>
                    <w:bookmarkEnd w:id="158"/>
                    <w:bookmarkEnd w:id="159"/>
                    <w:bookmarkEnd w:id="160"/>
                    <w:bookmarkEnd w:id="16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4"/>
      </w:rPr>
    </w:pPr>
    <w:r>
      <w:fldChar w:fldCharType="begin"/>
    </w:r>
    <w:r>
      <w:rPr>
        <w:rStyle w:val="74"/>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4"/>
      </w:rPr>
    </w:pPr>
    <w:r>
      <w:fldChar w:fldCharType="begin"/>
    </w:r>
    <w:r>
      <w:rPr>
        <w:rStyle w:val="74"/>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39"/>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39"/>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81</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i/>
        <w:u w:val="single"/>
        <w:lang w:eastAsia="zh-CN"/>
      </w:rPr>
    </w:pPr>
    <w:r>
      <w:t></w:t>
    </w: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 xml:space="preserve">CGSHZJ-2024-N000983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CGSHZJ-2024-N000983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CGSHZJ-2024-N000983 </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CGSHZJ-2024-N000983 </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5040" w:hanging="5040" w:hangingChars="2800"/>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CGSHZJ-2024-N000983 </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CGSHZJ-2024-N000983 </w:t>
    </w:r>
  </w:p>
  <w:p>
    <w:pPr>
      <w:pStyle w:val="41"/>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CGSHZJ-2024-N000983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 w:name="KY_MEDREF_DOCUID" w:val="{15C62D10-7412-4966-BFE6-1B39B8E9D9BF}"/>
    <w:docVar w:name="KY_MEDREF_VERSION" w:val="3"/>
  </w:docVars>
  <w:rsids>
    <w:rsidRoot w:val="00D02BC3"/>
    <w:rsid w:val="000834ED"/>
    <w:rsid w:val="000F7F5A"/>
    <w:rsid w:val="001D678D"/>
    <w:rsid w:val="001F103F"/>
    <w:rsid w:val="002C0536"/>
    <w:rsid w:val="003F0D4F"/>
    <w:rsid w:val="00427875"/>
    <w:rsid w:val="00554CB3"/>
    <w:rsid w:val="005C3EC7"/>
    <w:rsid w:val="005D04D2"/>
    <w:rsid w:val="00637404"/>
    <w:rsid w:val="00646402"/>
    <w:rsid w:val="006772FE"/>
    <w:rsid w:val="00710FF7"/>
    <w:rsid w:val="00735C09"/>
    <w:rsid w:val="00771AA8"/>
    <w:rsid w:val="0082115E"/>
    <w:rsid w:val="008E51D0"/>
    <w:rsid w:val="008F17EF"/>
    <w:rsid w:val="00937855"/>
    <w:rsid w:val="00971A9D"/>
    <w:rsid w:val="009C0629"/>
    <w:rsid w:val="00BA7901"/>
    <w:rsid w:val="00C7362E"/>
    <w:rsid w:val="00C8426C"/>
    <w:rsid w:val="00C96232"/>
    <w:rsid w:val="00D02BC3"/>
    <w:rsid w:val="00D345A5"/>
    <w:rsid w:val="00DC71F2"/>
    <w:rsid w:val="00DE3A61"/>
    <w:rsid w:val="00E324D2"/>
    <w:rsid w:val="00E90CEA"/>
    <w:rsid w:val="00EC5DC8"/>
    <w:rsid w:val="00F21EF3"/>
    <w:rsid w:val="00F87744"/>
    <w:rsid w:val="01537FD5"/>
    <w:rsid w:val="027A1F36"/>
    <w:rsid w:val="033E089E"/>
    <w:rsid w:val="03482199"/>
    <w:rsid w:val="03D03897"/>
    <w:rsid w:val="03E60CC4"/>
    <w:rsid w:val="06D74677"/>
    <w:rsid w:val="070A28F0"/>
    <w:rsid w:val="07163C07"/>
    <w:rsid w:val="07D47BAA"/>
    <w:rsid w:val="092121E3"/>
    <w:rsid w:val="09237996"/>
    <w:rsid w:val="096E3000"/>
    <w:rsid w:val="0983157E"/>
    <w:rsid w:val="0C277EDD"/>
    <w:rsid w:val="0C4D7C21"/>
    <w:rsid w:val="0C4F422A"/>
    <w:rsid w:val="0C811A9E"/>
    <w:rsid w:val="0CC25978"/>
    <w:rsid w:val="0DBF7F42"/>
    <w:rsid w:val="0E925AC4"/>
    <w:rsid w:val="0FA0239A"/>
    <w:rsid w:val="0FF50E46"/>
    <w:rsid w:val="10220EF8"/>
    <w:rsid w:val="12EC7454"/>
    <w:rsid w:val="13027FA6"/>
    <w:rsid w:val="13222173"/>
    <w:rsid w:val="14127BE9"/>
    <w:rsid w:val="141715E6"/>
    <w:rsid w:val="14480789"/>
    <w:rsid w:val="14BE0BC8"/>
    <w:rsid w:val="14C04749"/>
    <w:rsid w:val="14F97ED7"/>
    <w:rsid w:val="156329BA"/>
    <w:rsid w:val="165F6EE2"/>
    <w:rsid w:val="169E17AF"/>
    <w:rsid w:val="16FA2753"/>
    <w:rsid w:val="18064A4D"/>
    <w:rsid w:val="18A0230D"/>
    <w:rsid w:val="18AA1CC1"/>
    <w:rsid w:val="19377C8F"/>
    <w:rsid w:val="195210FF"/>
    <w:rsid w:val="19904432"/>
    <w:rsid w:val="1B9735F0"/>
    <w:rsid w:val="1C5B4FC5"/>
    <w:rsid w:val="1C9B252C"/>
    <w:rsid w:val="1ED83C25"/>
    <w:rsid w:val="1F4629DA"/>
    <w:rsid w:val="1FEE0BE6"/>
    <w:rsid w:val="203705D6"/>
    <w:rsid w:val="20385881"/>
    <w:rsid w:val="205110D8"/>
    <w:rsid w:val="21B522D0"/>
    <w:rsid w:val="225601ED"/>
    <w:rsid w:val="233367EF"/>
    <w:rsid w:val="23512C83"/>
    <w:rsid w:val="244E615E"/>
    <w:rsid w:val="249343C3"/>
    <w:rsid w:val="26844E74"/>
    <w:rsid w:val="26851D04"/>
    <w:rsid w:val="26871FE6"/>
    <w:rsid w:val="26973766"/>
    <w:rsid w:val="272E3463"/>
    <w:rsid w:val="2801696E"/>
    <w:rsid w:val="28261F84"/>
    <w:rsid w:val="296D73D8"/>
    <w:rsid w:val="2B8E304F"/>
    <w:rsid w:val="2BB92353"/>
    <w:rsid w:val="2BCE4801"/>
    <w:rsid w:val="2CDA6E57"/>
    <w:rsid w:val="2D524D27"/>
    <w:rsid w:val="2DD300B2"/>
    <w:rsid w:val="2E1E7E19"/>
    <w:rsid w:val="2EA9235C"/>
    <w:rsid w:val="324A37B6"/>
    <w:rsid w:val="327053BA"/>
    <w:rsid w:val="32F33EC0"/>
    <w:rsid w:val="335332F6"/>
    <w:rsid w:val="337372D3"/>
    <w:rsid w:val="34122F1C"/>
    <w:rsid w:val="34483A1A"/>
    <w:rsid w:val="353C6946"/>
    <w:rsid w:val="3661404A"/>
    <w:rsid w:val="36854A78"/>
    <w:rsid w:val="37022870"/>
    <w:rsid w:val="38BC211A"/>
    <w:rsid w:val="38D359C2"/>
    <w:rsid w:val="39230324"/>
    <w:rsid w:val="39EA2249"/>
    <w:rsid w:val="39FC6882"/>
    <w:rsid w:val="3A4122C4"/>
    <w:rsid w:val="3B812DDB"/>
    <w:rsid w:val="3E75253C"/>
    <w:rsid w:val="3E763CBE"/>
    <w:rsid w:val="3E785043"/>
    <w:rsid w:val="3EC87E0A"/>
    <w:rsid w:val="3F2A7D78"/>
    <w:rsid w:val="3F326AC0"/>
    <w:rsid w:val="3FB8741E"/>
    <w:rsid w:val="4023487C"/>
    <w:rsid w:val="42C509BA"/>
    <w:rsid w:val="4321081C"/>
    <w:rsid w:val="43280742"/>
    <w:rsid w:val="432E4910"/>
    <w:rsid w:val="44D530D8"/>
    <w:rsid w:val="4694489E"/>
    <w:rsid w:val="469A3396"/>
    <w:rsid w:val="46BC006F"/>
    <w:rsid w:val="480F43A7"/>
    <w:rsid w:val="49BF08BA"/>
    <w:rsid w:val="49FC231B"/>
    <w:rsid w:val="4AF35892"/>
    <w:rsid w:val="4BC555FA"/>
    <w:rsid w:val="4CB830C2"/>
    <w:rsid w:val="4D882205"/>
    <w:rsid w:val="4DE4148C"/>
    <w:rsid w:val="4DE912CD"/>
    <w:rsid w:val="4E31011A"/>
    <w:rsid w:val="4E79649D"/>
    <w:rsid w:val="4F2D33E4"/>
    <w:rsid w:val="4F83040B"/>
    <w:rsid w:val="4FAE554B"/>
    <w:rsid w:val="4FD05E60"/>
    <w:rsid w:val="50441571"/>
    <w:rsid w:val="50C301CB"/>
    <w:rsid w:val="511E065F"/>
    <w:rsid w:val="54646686"/>
    <w:rsid w:val="55E83DA2"/>
    <w:rsid w:val="55F57C6B"/>
    <w:rsid w:val="56197289"/>
    <w:rsid w:val="570317EE"/>
    <w:rsid w:val="572D7451"/>
    <w:rsid w:val="57DAE6E1"/>
    <w:rsid w:val="580E138B"/>
    <w:rsid w:val="58A077F1"/>
    <w:rsid w:val="58F819AF"/>
    <w:rsid w:val="59DF1266"/>
    <w:rsid w:val="59ED7745"/>
    <w:rsid w:val="5B331A13"/>
    <w:rsid w:val="5BDF3867"/>
    <w:rsid w:val="5C2E3077"/>
    <w:rsid w:val="5C827491"/>
    <w:rsid w:val="5C9D1E36"/>
    <w:rsid w:val="5D7874FB"/>
    <w:rsid w:val="5DDD21FF"/>
    <w:rsid w:val="5EA70F83"/>
    <w:rsid w:val="5F665FB3"/>
    <w:rsid w:val="5FBC150A"/>
    <w:rsid w:val="5FBD456A"/>
    <w:rsid w:val="5FD73E7D"/>
    <w:rsid w:val="60683CAF"/>
    <w:rsid w:val="60C63177"/>
    <w:rsid w:val="613E752B"/>
    <w:rsid w:val="626D4177"/>
    <w:rsid w:val="62C61587"/>
    <w:rsid w:val="642152E2"/>
    <w:rsid w:val="648852AB"/>
    <w:rsid w:val="64897C1D"/>
    <w:rsid w:val="65077AE2"/>
    <w:rsid w:val="66105CC9"/>
    <w:rsid w:val="675C7883"/>
    <w:rsid w:val="67EB1C4D"/>
    <w:rsid w:val="695D0A71"/>
    <w:rsid w:val="6973670F"/>
    <w:rsid w:val="6A266BE4"/>
    <w:rsid w:val="6AEF1016"/>
    <w:rsid w:val="6C184E1F"/>
    <w:rsid w:val="6C2A705E"/>
    <w:rsid w:val="6DA94419"/>
    <w:rsid w:val="6E556536"/>
    <w:rsid w:val="6E742034"/>
    <w:rsid w:val="705F2832"/>
    <w:rsid w:val="70DD3DED"/>
    <w:rsid w:val="729E74BD"/>
    <w:rsid w:val="73321351"/>
    <w:rsid w:val="74FE059E"/>
    <w:rsid w:val="755C71F0"/>
    <w:rsid w:val="77253BC8"/>
    <w:rsid w:val="77636B64"/>
    <w:rsid w:val="78530372"/>
    <w:rsid w:val="7B803D71"/>
    <w:rsid w:val="7C0B664A"/>
    <w:rsid w:val="7C0D2F04"/>
    <w:rsid w:val="7CB15915"/>
    <w:rsid w:val="7CD23D96"/>
    <w:rsid w:val="7CD750DF"/>
    <w:rsid w:val="7DDA593C"/>
    <w:rsid w:val="7E3B20FE"/>
    <w:rsid w:val="7E941F8F"/>
    <w:rsid w:val="7E951FAE"/>
    <w:rsid w:val="7EAE4A28"/>
    <w:rsid w:val="7EB7B118"/>
    <w:rsid w:val="7ED12576"/>
    <w:rsid w:val="7F4DBC21"/>
    <w:rsid w:val="7F59176C"/>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uiPriority w:val="1"/>
  </w:style>
  <w:style w:type="table" w:default="1" w:styleId="64">
    <w:name w:val="Normal Table"/>
    <w:semiHidden/>
    <w:unhideWhenUsed/>
    <w:uiPriority w:val="99"/>
    <w:tblPr>
      <w:tblCellMar>
        <w:top w:w="0" w:type="dxa"/>
        <w:left w:w="108" w:type="dxa"/>
        <w:bottom w:w="0" w:type="dxa"/>
        <w:right w:w="108" w:type="dxa"/>
      </w:tblCellMar>
    </w:tblPr>
  </w:style>
  <w:style w:type="paragraph" w:styleId="5">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4"/>
    <w:autoRedefine/>
    <w:qFormat/>
    <w:uiPriority w:val="0"/>
    <w:pPr>
      <w:shd w:val="clear" w:color="auto" w:fill="000080"/>
    </w:pPr>
  </w:style>
  <w:style w:type="paragraph" w:styleId="19">
    <w:name w:val="annotation text"/>
    <w:basedOn w:val="1"/>
    <w:link w:val="345"/>
    <w:autoRedefine/>
    <w:qFormat/>
    <w:uiPriority w:val="99"/>
    <w:pPr>
      <w:jc w:val="left"/>
    </w:pPr>
  </w:style>
  <w:style w:type="paragraph" w:styleId="20">
    <w:name w:val="Salutation"/>
    <w:basedOn w:val="1"/>
    <w:next w:val="1"/>
    <w:link w:val="299"/>
    <w:autoRedefine/>
    <w:qFormat/>
    <w:uiPriority w:val="0"/>
    <w:rPr>
      <w:rFonts w:ascii="FangSong_GB2312" w:eastAsia="FangSong_GB2312"/>
      <w:sz w:val="28"/>
      <w:szCs w:val="20"/>
    </w:rPr>
  </w:style>
  <w:style w:type="paragraph" w:styleId="21">
    <w:name w:val="Body Text 3"/>
    <w:basedOn w:val="1"/>
    <w:link w:val="331"/>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FangSong_GB2312" w:eastAsia="FangSong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5"/>
    <w:link w:val="127"/>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3"/>
    <w:autoRedefine/>
    <w:qFormat/>
    <w:uiPriority w:val="0"/>
    <w:pPr>
      <w:ind w:left="100" w:leftChars="2500"/>
    </w:pPr>
    <w:rPr>
      <w:rFonts w:ascii="宋体"/>
      <w:sz w:val="24"/>
      <w:szCs w:val="21"/>
      <w:lang w:val="zh-CN"/>
    </w:rPr>
  </w:style>
  <w:style w:type="paragraph" w:styleId="36">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4"/>
    <w:autoRedefine/>
    <w:qFormat/>
    <w:uiPriority w:val="0"/>
    <w:rPr>
      <w:lang w:val="zh-CN"/>
    </w:rPr>
  </w:style>
  <w:style w:type="paragraph" w:styleId="38">
    <w:name w:val="Balloon Text"/>
    <w:basedOn w:val="1"/>
    <w:link w:val="190"/>
    <w:autoRedefine/>
    <w:qFormat/>
    <w:uiPriority w:val="0"/>
    <w:rPr>
      <w:sz w:val="18"/>
      <w:szCs w:val="18"/>
    </w:rPr>
  </w:style>
  <w:style w:type="paragraph" w:styleId="39">
    <w:name w:val="footer"/>
    <w:basedOn w:val="1"/>
    <w:link w:val="384"/>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next w:val="54"/>
    <w:link w:val="376"/>
    <w:autoRedefine/>
    <w:qFormat/>
    <w:uiPriority w:val="0"/>
    <w:pPr>
      <w:spacing w:line="360" w:lineRule="auto"/>
      <w:ind w:firstLine="420"/>
    </w:pPr>
    <w:rPr>
      <w:sz w:val="24"/>
      <w:szCs w:val="20"/>
    </w:rPr>
  </w:style>
  <w:style w:type="paragraph" w:customStyle="1" w:styleId="54">
    <w:name w:val="目录 92"/>
    <w:next w:val="1"/>
    <w:autoRedefine/>
    <w:qFormat/>
    <w:uiPriority w:val="0"/>
    <w:pPr>
      <w:wordWrap w:val="0"/>
      <w:ind w:left="2975"/>
      <w:jc w:val="both"/>
    </w:pPr>
    <w:rPr>
      <w:rFonts w:ascii="Times New Roman" w:hAnsi="Times New Roman" w:eastAsia="宋体" w:cs="Times New Roman"/>
      <w:sz w:val="21"/>
      <w:lang w:val="en-US" w:eastAsia="zh-CN" w:bidi="ar-SA"/>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8"/>
    <w:autoRedefine/>
    <w:qFormat/>
    <w:uiPriority w:val="0"/>
    <w:rPr>
      <w:b/>
      <w:bCs/>
    </w:rPr>
  </w:style>
  <w:style w:type="paragraph" w:styleId="62">
    <w:name w:val="Body Text First Indent"/>
    <w:basedOn w:val="23"/>
    <w:next w:val="1"/>
    <w:link w:val="322"/>
    <w:autoRedefine/>
    <w:qFormat/>
    <w:uiPriority w:val="0"/>
    <w:pPr>
      <w:ind w:firstLine="420"/>
    </w:pPr>
    <w:rPr>
      <w:rFonts w:hAnsi="Calibri" w:cs="Times New Roman"/>
      <w:snapToGrid/>
      <w:szCs w:val="20"/>
    </w:rPr>
  </w:style>
  <w:style w:type="paragraph" w:styleId="63">
    <w:name w:val="Body Text First Indent 2"/>
    <w:basedOn w:val="24"/>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KaiTi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FangSong_GB2312" w:hAnsi="FangSong_GB2312" w:eastAsia="FangSong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FangSong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FangSong_GB2312" w:hAnsi="微软雅黑" w:eastAsia="FangSong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FangSong_GB2312" w:hAnsi="宋体" w:eastAsia="FangSong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FangSong_GB2312" w:eastAsia="FangSong_GB2312"/>
      <w:b/>
      <w:bCs/>
      <w:kern w:val="2"/>
      <w:sz w:val="24"/>
      <w:szCs w:val="24"/>
      <w:lang w:val="zh-CN" w:eastAsia="zh-CN" w:bidi="ar-SA"/>
    </w:rPr>
  </w:style>
  <w:style w:type="character" w:customStyle="1" w:styleId="123">
    <w:name w:val="正文首行缩进 2 字符"/>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字符1"/>
    <w:link w:val="32"/>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FangSong_GB2312" w:hAnsi="仿宋" w:eastAsia="FangSong_GB2312"/>
      <w:kern w:val="2"/>
      <w:sz w:val="24"/>
      <w:szCs w:val="24"/>
    </w:rPr>
  </w:style>
  <w:style w:type="character" w:customStyle="1" w:styleId="130">
    <w:name w:val="样式4 Char"/>
    <w:autoRedefine/>
    <w:qFormat/>
    <w:uiPriority w:val="0"/>
    <w:rPr>
      <w:rFonts w:ascii="FangSong_GB2312" w:hAnsi="仿宋" w:eastAsia="FangSong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FangSong_GB2312" w:hAnsi="仿宋" w:eastAsia="FangSong_GB2312"/>
      <w:b/>
      <w:kern w:val="2"/>
      <w:sz w:val="24"/>
      <w:szCs w:val="24"/>
    </w:rPr>
  </w:style>
  <w:style w:type="character" w:customStyle="1" w:styleId="144">
    <w:name w:val="font12gray1"/>
    <w:autoRedefine/>
    <w:qFormat/>
    <w:uiPriority w:val="0"/>
    <w:rPr>
      <w:rFonts w:ascii="FangSong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FangSong_GB2312" w:eastAsia="FangSong_GB2312" w:cs="FangSong_GB2312"/>
      <w:color w:val="000000"/>
      <w:sz w:val="22"/>
      <w:szCs w:val="22"/>
      <w:u w:val="none"/>
    </w:rPr>
  </w:style>
  <w:style w:type="character" w:customStyle="1" w:styleId="149">
    <w:name w:val="标题 6 字符"/>
    <w:link w:val="8"/>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FangSong_GB2312" w:hAnsi="FangSong_GB2312" w:eastAsia="FangSong_GB2312"/>
      <w:kern w:val="2"/>
      <w:sz w:val="24"/>
      <w:lang w:bidi="ar-SA"/>
    </w:rPr>
  </w:style>
  <w:style w:type="character" w:customStyle="1" w:styleId="155">
    <w:name w:val="正文 项目 Char"/>
    <w:autoRedefine/>
    <w:qFormat/>
    <w:uiPriority w:val="0"/>
    <w:rPr>
      <w:rFonts w:ascii="FangSong_GB2312" w:hAnsi="FangSong_GB2312" w:eastAsia="FangSong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FangSong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FangSong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FangSong_GB2312" w:hAnsi="Times New Roman" w:eastAsia="FangSong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FangSong_GB2312" w:hAnsi="仿宋" w:eastAsia="FangSong_GB2312" w:cs="FangSong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3"/>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5"/>
    <w:autoRedefine/>
    <w:qFormat/>
    <w:uiPriority w:val="0"/>
    <w:rPr>
      <w:rFonts w:ascii="宋体"/>
      <w:kern w:val="2"/>
      <w:sz w:val="24"/>
      <w:szCs w:val="21"/>
      <w:lang w:val="zh-CN"/>
    </w:rPr>
  </w:style>
  <w:style w:type="character" w:customStyle="1" w:styleId="184">
    <w:name w:val="标题 9 字符"/>
    <w:link w:val="11"/>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8"/>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FangSong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FangSong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FangSong_GB2312" w:eastAsia="微软雅黑"/>
      <w:b/>
      <w:kern w:val="2"/>
      <w:sz w:val="32"/>
      <w:szCs w:val="32"/>
      <w:lang w:val="en-US" w:eastAsia="zh-CN" w:bidi="ar-SA"/>
    </w:rPr>
  </w:style>
  <w:style w:type="character" w:customStyle="1" w:styleId="204">
    <w:name w:val="文档结构图 字符"/>
    <w:link w:val="18"/>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FangSong_GB2312" w:hAnsi="仿宋" w:eastAsia="FangSong_GB2312" w:cs="FangSong_GB2312"/>
      <w:sz w:val="32"/>
      <w:szCs w:val="30"/>
      <w:lang w:val="zh-CN"/>
    </w:rPr>
  </w:style>
  <w:style w:type="character" w:customStyle="1" w:styleId="221">
    <w:name w:val="HTML 地址 字符"/>
    <w:link w:val="29"/>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6"/>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FangSong_GB2312" w:eastAsia="FangSong_GB2312"/>
      <w:b/>
      <w:bCs/>
      <w:kern w:val="2"/>
      <w:sz w:val="24"/>
      <w:szCs w:val="24"/>
      <w:lang w:val="zh-CN" w:eastAsia="zh-CN" w:bidi="ar-SA"/>
    </w:rPr>
  </w:style>
  <w:style w:type="character" w:customStyle="1" w:styleId="231">
    <w:name w:val="题注 字符"/>
    <w:link w:val="16"/>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FangSong_GB2312" w:eastAsia="FangSong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FangSong_GB2312" w:eastAsia="FangSong_GB2312" w:cs="FangSong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FangSong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KaiTi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FangSong_GB2312" w:eastAsia="FangSong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FangSong_GB2312" w:hAnsi="FangSong_GB2312" w:eastAsia="FangSong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KaiTi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FangSong_GB2312" w:eastAsia="FangSong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4"/>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2"/>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FangSong_GB2312" w:eastAsia="微软雅黑"/>
      <w:b/>
      <w:kern w:val="2"/>
      <w:sz w:val="23"/>
      <w:szCs w:val="23"/>
      <w:lang w:val="en-US" w:eastAsia="zh-CN" w:bidi="ar-SA"/>
    </w:rPr>
  </w:style>
  <w:style w:type="character" w:customStyle="1" w:styleId="291">
    <w:name w:val="样式8 Char"/>
    <w:autoRedefine/>
    <w:qFormat/>
    <w:uiPriority w:val="0"/>
    <w:rPr>
      <w:rFonts w:ascii="FangSong_GB2312" w:hAnsi="宋体" w:eastAsia="FangSong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7"/>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FangSong_GB2312" w:eastAsia="FangSong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0"/>
    <w:autoRedefine/>
    <w:qFormat/>
    <w:uiPriority w:val="0"/>
    <w:rPr>
      <w:rFonts w:ascii="FangSong_GB2312" w:eastAsia="FangSong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6"/>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9"/>
    <w:autoRedefine/>
    <w:qFormat/>
    <w:uiPriority w:val="0"/>
    <w:rPr>
      <w:b/>
      <w:bCs/>
      <w:kern w:val="2"/>
      <w:sz w:val="24"/>
      <w:szCs w:val="24"/>
    </w:rPr>
  </w:style>
  <w:style w:type="character" w:customStyle="1" w:styleId="309">
    <w:name w:val="正文文本缩进 2 字符"/>
    <w:link w:val="36"/>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basedOn w:val="7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6"/>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1"/>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FangSong_GB2312" w:eastAsia="FangSong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FangSong_GB2312" w:hAnsi="Courier New" w:eastAsia="FangSong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autoRedefine/>
    <w:qFormat/>
    <w:uiPriority w:val="0"/>
    <w:rPr>
      <w:kern w:val="2"/>
      <w:sz w:val="21"/>
      <w:szCs w:val="24"/>
    </w:rPr>
  </w:style>
  <w:style w:type="character" w:customStyle="1" w:styleId="346">
    <w:name w:val="签名 字符"/>
    <w:link w:val="42"/>
    <w:autoRedefine/>
    <w:qFormat/>
    <w:uiPriority w:val="0"/>
    <w:rPr>
      <w:rFonts w:eastAsia="FangSong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FangSong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KaiTi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FangSong_GB2312" w:eastAsia="FangSong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FangSong_GB2312" w:eastAsia="FangSong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FangSong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FangSong_GB2312" w:eastAsia="FangSong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39"/>
    <w:autoRedefine/>
    <w:qFormat/>
    <w:uiPriority w:val="99"/>
    <w:rPr>
      <w:kern w:val="2"/>
      <w:sz w:val="18"/>
      <w:szCs w:val="18"/>
    </w:rPr>
  </w:style>
  <w:style w:type="character" w:customStyle="1" w:styleId="385">
    <w:name w:val="Char Char36"/>
    <w:autoRedefine/>
    <w:qFormat/>
    <w:uiPriority w:val="6"/>
    <w:rPr>
      <w:rFonts w:ascii="FangSong_GB2312" w:hAnsi="FangSong_GB2312" w:eastAsia="FangSong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KaiTi_GB2312" w:hAnsi="Arial" w:eastAsia="KaiTi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FangSong_GB2312" w:eastAsia="FangSong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FangSong_GB2312" w:eastAsia="FangSong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FangSong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KaiTi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FangSong_GB2312" w:eastAsia="FangSong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next w:val="480"/>
    <w:autoRedefine/>
    <w:qFormat/>
    <w:uiPriority w:val="34"/>
    <w:pPr>
      <w:adjustRightInd/>
      <w:ind w:firstLine="420" w:firstLineChars="200"/>
    </w:pPr>
    <w:rPr>
      <w:rFonts w:eastAsia="FangSong_GB2312"/>
      <w:sz w:val="28"/>
    </w:rPr>
  </w:style>
  <w:style w:type="paragraph" w:styleId="480">
    <w:name w:val="List Paragraph"/>
    <w:basedOn w:val="1"/>
    <w:autoRedefine/>
    <w:qFormat/>
    <w:uiPriority w:val="99"/>
    <w:pPr>
      <w:ind w:firstLine="420" w:firstLineChars="200"/>
    </w:pPr>
    <w:rPr>
      <w:rFonts w:asciiTheme="minorHAnsi" w:hAnsiTheme="minorHAnsi" w:eastAsiaTheme="minorEastAsia" w:cstheme="minorBidi"/>
    </w:rPr>
  </w:style>
  <w:style w:type="paragraph" w:customStyle="1" w:styleId="481">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autoRedefine/>
    <w:qFormat/>
    <w:uiPriority w:val="0"/>
    <w:rPr>
      <w:rFonts w:ascii="Tahoma" w:hAnsi="Tahoma"/>
      <w:sz w:val="24"/>
      <w:szCs w:val="20"/>
    </w:rPr>
  </w:style>
  <w:style w:type="paragraph" w:customStyle="1" w:styleId="483">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4">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autoRedefine/>
    <w:qFormat/>
    <w:uiPriority w:val="99"/>
    <w:rPr>
      <w:szCs w:val="22"/>
    </w:rPr>
  </w:style>
  <w:style w:type="paragraph" w:customStyle="1" w:styleId="486">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autoRedefine/>
    <w:qFormat/>
    <w:uiPriority w:val="6"/>
    <w:rPr>
      <w:rFonts w:ascii="Tahoma" w:hAnsi="Tahoma" w:cs="FangSong_GB2312"/>
      <w:sz w:val="24"/>
      <w:szCs w:val="20"/>
    </w:rPr>
  </w:style>
  <w:style w:type="paragraph" w:customStyle="1" w:styleId="488">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autoRedefine/>
    <w:qFormat/>
    <w:uiPriority w:val="0"/>
    <w:pPr>
      <w:tabs>
        <w:tab w:val="left" w:pos="1260"/>
      </w:tabs>
      <w:ind w:left="1260" w:hanging="420"/>
    </w:pPr>
    <w:rPr>
      <w:rFonts w:ascii="Arial" w:hAnsi="Arial" w:eastAsia="黑体"/>
      <w:lang w:val="en-US"/>
    </w:rPr>
  </w:style>
  <w:style w:type="paragraph" w:customStyle="1" w:styleId="492">
    <w:name w:val="五级无标题条"/>
    <w:basedOn w:val="1"/>
    <w:autoRedefine/>
    <w:qFormat/>
    <w:uiPriority w:val="0"/>
    <w:pPr>
      <w:adjustRightInd/>
    </w:pPr>
  </w:style>
  <w:style w:type="paragraph" w:customStyle="1" w:styleId="493">
    <w:name w:val="Char5"/>
    <w:basedOn w:val="1"/>
    <w:autoRedefine/>
    <w:qFormat/>
    <w:uiPriority w:val="0"/>
    <w:rPr>
      <w:rFonts w:ascii="FangSong_GB2312" w:eastAsia="FangSong_GB2312"/>
      <w:b/>
      <w:sz w:val="32"/>
      <w:szCs w:val="32"/>
    </w:rPr>
  </w:style>
  <w:style w:type="paragraph" w:customStyle="1" w:styleId="494">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autoRedefine/>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autoRedefine/>
    <w:qFormat/>
    <w:uiPriority w:val="0"/>
    <w:rPr>
      <w:rFonts w:ascii="FangSong_GB2312" w:eastAsia="FangSong_GB2312"/>
      <w:b/>
      <w:sz w:val="32"/>
      <w:szCs w:val="32"/>
    </w:rPr>
  </w:style>
  <w:style w:type="paragraph" w:customStyle="1" w:styleId="498">
    <w:name w:val="数字标题3"/>
    <w:basedOn w:val="4"/>
    <w:next w:val="1"/>
    <w:autoRedefine/>
    <w:qFormat/>
    <w:uiPriority w:val="0"/>
    <w:pPr>
      <w:spacing w:line="240" w:lineRule="auto"/>
    </w:pPr>
    <w:rPr>
      <w:sz w:val="28"/>
      <w:szCs w:val="28"/>
    </w:rPr>
  </w:style>
  <w:style w:type="paragraph" w:customStyle="1" w:styleId="499">
    <w:name w:val="FA正文"/>
    <w:basedOn w:val="1"/>
    <w:autoRedefine/>
    <w:qFormat/>
    <w:uiPriority w:val="0"/>
    <w:pPr>
      <w:spacing w:line="360" w:lineRule="auto"/>
      <w:ind w:firstLine="480" w:firstLineChars="200"/>
    </w:pPr>
    <w:rPr>
      <w:rFonts w:hAnsi="宋体"/>
      <w:sz w:val="24"/>
      <w:szCs w:val="20"/>
    </w:rPr>
  </w:style>
  <w:style w:type="paragraph" w:customStyle="1" w:styleId="500">
    <w:name w:val="MM Topic 5"/>
    <w:basedOn w:val="7"/>
    <w:autoRedefine/>
    <w:qFormat/>
    <w:uiPriority w:val="0"/>
    <w:pPr>
      <w:tabs>
        <w:tab w:val="left" w:pos="2520"/>
      </w:tabs>
      <w:adjustRightInd/>
      <w:ind w:left="2520" w:hanging="420"/>
    </w:pPr>
  </w:style>
  <w:style w:type="paragraph" w:customStyle="1" w:styleId="501">
    <w:name w:val="Char Char Char Char Char Char Char Char Char Char1"/>
    <w:basedOn w:val="1"/>
    <w:autoRedefine/>
    <w:qFormat/>
    <w:uiPriority w:val="0"/>
    <w:rPr>
      <w:rFonts w:ascii="FangSong_GB2312" w:eastAsia="FangSong_GB2312"/>
      <w:b/>
      <w:sz w:val="32"/>
      <w:szCs w:val="32"/>
    </w:rPr>
  </w:style>
  <w:style w:type="paragraph" w:customStyle="1" w:styleId="50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autoRedefine/>
    <w:qFormat/>
    <w:uiPriority w:val="0"/>
    <w:rPr>
      <w:rFonts w:ascii="FangSong_GB2312" w:eastAsia="FangSong_GB2312"/>
      <w:b/>
      <w:sz w:val="32"/>
      <w:szCs w:val="32"/>
    </w:rPr>
  </w:style>
  <w:style w:type="paragraph" w:customStyle="1" w:styleId="505">
    <w:name w:val="Char2 Char Char Char1"/>
    <w:basedOn w:val="1"/>
    <w:autoRedefine/>
    <w:qFormat/>
    <w:uiPriority w:val="6"/>
    <w:rPr>
      <w:rFonts w:ascii="FangSong_GB2312" w:eastAsia="FangSong_GB2312"/>
      <w:b/>
      <w:sz w:val="32"/>
      <w:szCs w:val="32"/>
    </w:rPr>
  </w:style>
  <w:style w:type="paragraph" w:customStyle="1" w:styleId="506">
    <w:name w:val="默认段落样式"/>
    <w:basedOn w:val="133"/>
    <w:autoRedefine/>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autoRedefine/>
    <w:qFormat/>
    <w:uiPriority w:val="0"/>
    <w:pPr>
      <w:tabs>
        <w:tab w:val="left" w:pos="1680"/>
      </w:tabs>
      <w:adjustRightInd/>
      <w:ind w:left="1680" w:hanging="420"/>
    </w:pPr>
  </w:style>
  <w:style w:type="paragraph" w:customStyle="1" w:styleId="510">
    <w:name w:val="标准小四"/>
    <w:basedOn w:val="1"/>
    <w:autoRedefine/>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autoRedefine/>
    <w:qFormat/>
    <w:uiPriority w:val="0"/>
    <w:pPr>
      <w:adjustRightInd/>
      <w:snapToGrid w:val="0"/>
      <w:spacing w:line="300" w:lineRule="auto"/>
    </w:pPr>
    <w:rPr>
      <w:rFonts w:eastAsia="仿宋"/>
      <w:szCs w:val="21"/>
    </w:rPr>
  </w:style>
  <w:style w:type="paragraph" w:customStyle="1" w:styleId="513">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autoRedefine/>
    <w:qFormat/>
    <w:uiPriority w:val="6"/>
    <w:pPr>
      <w:adjustRightInd/>
    </w:pPr>
    <w:rPr>
      <w:rFonts w:ascii="Tahoma" w:hAnsi="Tahoma"/>
      <w:sz w:val="24"/>
      <w:szCs w:val="20"/>
    </w:rPr>
  </w:style>
  <w:style w:type="paragraph" w:customStyle="1" w:styleId="515">
    <w:name w:val="列出段落5"/>
    <w:basedOn w:val="1"/>
    <w:autoRedefine/>
    <w:qFormat/>
    <w:uiPriority w:val="0"/>
    <w:pPr>
      <w:spacing w:line="360" w:lineRule="auto"/>
      <w:ind w:firstLine="200" w:firstLineChars="200"/>
    </w:pPr>
    <w:rPr>
      <w:rFonts w:eastAsia="KaiTi_GB2312" w:cs="Lucida Sans"/>
      <w:sz w:val="24"/>
    </w:rPr>
  </w:style>
  <w:style w:type="paragraph" w:customStyle="1" w:styleId="51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2">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autoRedefine/>
    <w:qFormat/>
    <w:uiPriority w:val="0"/>
    <w:pPr>
      <w:adjustRightInd/>
      <w:ind w:firstLine="420" w:firstLineChars="200"/>
    </w:pPr>
    <w:rPr>
      <w:rFonts w:eastAsia="FangSong_GB2312"/>
      <w:sz w:val="28"/>
    </w:rPr>
  </w:style>
  <w:style w:type="paragraph" w:customStyle="1" w:styleId="52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autoRedefine/>
    <w:qFormat/>
    <w:uiPriority w:val="0"/>
    <w:pPr>
      <w:adjustRightInd/>
      <w:ind w:firstLine="200" w:firstLineChars="200"/>
      <w:jc w:val="right"/>
    </w:pPr>
  </w:style>
  <w:style w:type="paragraph" w:customStyle="1" w:styleId="527">
    <w:name w:val="Char Char11 Char Char Char Char Char Char Char Char Char"/>
    <w:basedOn w:val="1"/>
    <w:autoRedefine/>
    <w:qFormat/>
    <w:uiPriority w:val="0"/>
    <w:pPr>
      <w:spacing w:line="360" w:lineRule="auto"/>
    </w:pPr>
    <w:rPr>
      <w:szCs w:val="20"/>
    </w:rPr>
  </w:style>
  <w:style w:type="paragraph" w:customStyle="1" w:styleId="528">
    <w:name w:val="正文1.25"/>
    <w:basedOn w:val="1"/>
    <w:autoRedefine/>
    <w:qFormat/>
    <w:uiPriority w:val="0"/>
    <w:pPr>
      <w:adjustRightInd/>
      <w:spacing w:line="300" w:lineRule="auto"/>
      <w:ind w:firstLine="480" w:firstLineChars="200"/>
    </w:pPr>
    <w:rPr>
      <w:sz w:val="24"/>
      <w:szCs w:val="20"/>
    </w:rPr>
  </w:style>
  <w:style w:type="paragraph" w:customStyle="1" w:styleId="529">
    <w:name w:val="1正文"/>
    <w:basedOn w:val="1"/>
    <w:autoRedefine/>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autoRedefine/>
    <w:qFormat/>
    <w:uiPriority w:val="6"/>
    <w:rPr>
      <w:rFonts w:ascii="FangSong_GB2312" w:eastAsia="FangSong_GB2312"/>
      <w:b/>
      <w:sz w:val="32"/>
      <w:szCs w:val="20"/>
    </w:rPr>
  </w:style>
  <w:style w:type="paragraph" w:customStyle="1" w:styleId="533">
    <w:name w:val="列出段落2"/>
    <w:basedOn w:val="1"/>
    <w:autoRedefine/>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autoRedefine/>
    <w:qFormat/>
    <w:uiPriority w:val="0"/>
    <w:rPr>
      <w:rFonts w:eastAsia="FangSong_GB2312"/>
      <w:sz w:val="28"/>
      <w:szCs w:val="20"/>
    </w:rPr>
  </w:style>
  <w:style w:type="paragraph" w:customStyle="1" w:styleId="535">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autoRedefine/>
    <w:qFormat/>
    <w:uiPriority w:val="0"/>
    <w:pPr>
      <w:widowControl/>
      <w:jc w:val="left"/>
    </w:pPr>
    <w:rPr>
      <w:rFonts w:cs="宋体"/>
      <w:sz w:val="24"/>
      <w:szCs w:val="20"/>
    </w:rPr>
  </w:style>
  <w:style w:type="paragraph" w:customStyle="1" w:styleId="537">
    <w:name w:val="彩色列表 - 强调文字颜色 11"/>
    <w:basedOn w:val="1"/>
    <w:autoRedefine/>
    <w:qFormat/>
    <w:uiPriority w:val="0"/>
    <w:pPr>
      <w:adjustRightInd/>
      <w:ind w:firstLine="420" w:firstLineChars="200"/>
    </w:pPr>
    <w:rPr>
      <w:rFonts w:ascii="Calibri" w:hAnsi="Calibri"/>
      <w:szCs w:val="22"/>
    </w:rPr>
  </w:style>
  <w:style w:type="paragraph" w:customStyle="1" w:styleId="53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9">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autoRedefine/>
    <w:qFormat/>
    <w:uiPriority w:val="6"/>
    <w:rPr>
      <w:szCs w:val="20"/>
    </w:rPr>
  </w:style>
  <w:style w:type="paragraph" w:customStyle="1" w:styleId="542">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autoRedefine/>
    <w:qFormat/>
    <w:uiPriority w:val="0"/>
    <w:pPr>
      <w:spacing w:after="68"/>
    </w:pPr>
    <w:rPr>
      <w:rFonts w:ascii="FHLHE E+ Futura Bk" w:eastAsia="FHLHE E+ Futura Bk" w:cs="Times New Roman"/>
      <w:color w:val="auto"/>
    </w:rPr>
  </w:style>
  <w:style w:type="paragraph" w:customStyle="1" w:styleId="548">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autoRedefine/>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2"/>
    <w:next w:val="82"/>
    <w:autoRedefine/>
    <w:qFormat/>
    <w:uiPriority w:val="0"/>
    <w:rPr>
      <w:rFonts w:ascii="宋体" w:eastAsia="宋体" w:cs="Times New Roman"/>
      <w:color w:val="auto"/>
    </w:rPr>
  </w:style>
  <w:style w:type="paragraph" w:customStyle="1" w:styleId="552">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autoRedefine/>
    <w:qFormat/>
    <w:uiPriority w:val="0"/>
    <w:rPr>
      <w:rFonts w:ascii="FangSong_GB2312" w:eastAsia="FangSong_GB2312"/>
      <w:b/>
      <w:sz w:val="32"/>
      <w:szCs w:val="32"/>
    </w:rPr>
  </w:style>
  <w:style w:type="paragraph" w:customStyle="1" w:styleId="554">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autoRedefine/>
    <w:qFormat/>
    <w:uiPriority w:val="0"/>
    <w:pPr>
      <w:spacing w:line="360" w:lineRule="auto"/>
    </w:pPr>
    <w:rPr>
      <w:szCs w:val="20"/>
    </w:rPr>
  </w:style>
  <w:style w:type="paragraph" w:customStyle="1" w:styleId="557">
    <w:name w:val="Char"/>
    <w:basedOn w:val="1"/>
    <w:autoRedefine/>
    <w:qFormat/>
    <w:uiPriority w:val="0"/>
    <w:rPr>
      <w:rFonts w:ascii="FangSong_GB2312" w:eastAsia="FangSong_GB2312"/>
      <w:b/>
      <w:sz w:val="32"/>
      <w:szCs w:val="32"/>
    </w:rPr>
  </w:style>
  <w:style w:type="paragraph" w:customStyle="1" w:styleId="558">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autoRedefine/>
    <w:qFormat/>
    <w:uiPriority w:val="0"/>
    <w:rPr>
      <w:szCs w:val="20"/>
    </w:rPr>
  </w:style>
  <w:style w:type="paragraph" w:customStyle="1" w:styleId="561">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autoRedefine/>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6">
    <w:name w:val="_正文段落"/>
    <w:basedOn w:val="1"/>
    <w:autoRedefine/>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autoRedefine/>
    <w:qFormat/>
    <w:uiPriority w:val="0"/>
    <w:rPr>
      <w:szCs w:val="20"/>
    </w:rPr>
  </w:style>
  <w:style w:type="paragraph" w:customStyle="1" w:styleId="584">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autoRedefine/>
    <w:qFormat/>
    <w:uiPriority w:val="0"/>
    <w:rPr>
      <w:rFonts w:ascii="Tahoma" w:hAnsi="Tahoma"/>
      <w:sz w:val="24"/>
      <w:szCs w:val="20"/>
    </w:rPr>
  </w:style>
  <w:style w:type="paragraph" w:customStyle="1" w:styleId="586">
    <w:name w:val="标题五"/>
    <w:basedOn w:val="1"/>
    <w:autoRedefine/>
    <w:qFormat/>
    <w:uiPriority w:val="0"/>
    <w:pPr>
      <w:adjustRightInd/>
      <w:spacing w:beforeLines="50" w:line="360" w:lineRule="auto"/>
    </w:pPr>
    <w:rPr>
      <w:b/>
      <w:sz w:val="24"/>
    </w:rPr>
  </w:style>
  <w:style w:type="paragraph" w:customStyle="1" w:styleId="587">
    <w:name w:val="Char Char1101"/>
    <w:basedOn w:val="1"/>
    <w:autoRedefine/>
    <w:qFormat/>
    <w:uiPriority w:val="0"/>
    <w:pPr>
      <w:spacing w:line="360" w:lineRule="auto"/>
    </w:pPr>
    <w:rPr>
      <w:rFonts w:ascii="Tahoma" w:hAnsi="Tahoma"/>
      <w:sz w:val="24"/>
      <w:szCs w:val="20"/>
    </w:rPr>
  </w:style>
  <w:style w:type="paragraph" w:customStyle="1" w:styleId="588">
    <w:name w:val="Char Char Char Char Char Char Char Char1"/>
    <w:basedOn w:val="1"/>
    <w:autoRedefine/>
    <w:qFormat/>
    <w:uiPriority w:val="0"/>
    <w:pPr>
      <w:tabs>
        <w:tab w:val="left" w:pos="360"/>
      </w:tabs>
    </w:pPr>
    <w:rPr>
      <w:sz w:val="24"/>
      <w:szCs w:val="20"/>
    </w:rPr>
  </w:style>
  <w:style w:type="paragraph" w:customStyle="1" w:styleId="589">
    <w:name w:val="Char Char Char 字元 字元"/>
    <w:basedOn w:val="1"/>
    <w:autoRedefine/>
    <w:qFormat/>
    <w:uiPriority w:val="0"/>
    <w:pPr>
      <w:adjustRightInd/>
      <w:spacing w:line="360" w:lineRule="auto"/>
      <w:ind w:firstLine="200" w:firstLineChars="200"/>
    </w:pPr>
    <w:rPr>
      <w:szCs w:val="20"/>
    </w:rPr>
  </w:style>
  <w:style w:type="paragraph" w:customStyle="1" w:styleId="590">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autoRedefine/>
    <w:qFormat/>
    <w:uiPriority w:val="0"/>
    <w:rPr>
      <w:rFonts w:ascii="FangSong_GB2312" w:eastAsia="FangSong_GB2312"/>
      <w:b/>
      <w:sz w:val="32"/>
      <w:szCs w:val="32"/>
    </w:rPr>
  </w:style>
  <w:style w:type="paragraph" w:customStyle="1" w:styleId="59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autoRedefine/>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autoRedefine/>
    <w:qFormat/>
    <w:uiPriority w:val="0"/>
    <w:pPr>
      <w:adjustRightInd/>
    </w:pPr>
    <w:rPr>
      <w:sz w:val="18"/>
      <w:szCs w:val="20"/>
    </w:rPr>
  </w:style>
  <w:style w:type="paragraph" w:customStyle="1" w:styleId="597">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autoRedefine/>
    <w:qFormat/>
    <w:uiPriority w:val="99"/>
    <w:pPr>
      <w:adjustRightInd/>
      <w:spacing w:line="360" w:lineRule="auto"/>
    </w:pPr>
    <w:rPr>
      <w:rFonts w:ascii="FangSong_GB2312" w:eastAsia="FangSong_GB2312"/>
      <w:sz w:val="24"/>
      <w:szCs w:val="20"/>
    </w:rPr>
  </w:style>
  <w:style w:type="paragraph" w:customStyle="1" w:styleId="602">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autoRedefine/>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7"/>
    <w:autoRedefine/>
    <w:qFormat/>
    <w:uiPriority w:val="0"/>
    <w:pPr>
      <w:snapToGrid w:val="0"/>
      <w:spacing w:line="360" w:lineRule="auto"/>
    </w:pPr>
    <w:rPr>
      <w:rFonts w:ascii="宋体"/>
      <w:b/>
      <w:sz w:val="24"/>
      <w:szCs w:val="20"/>
    </w:rPr>
  </w:style>
  <w:style w:type="paragraph" w:customStyle="1" w:styleId="607">
    <w:name w:val="规划正文"/>
    <w:basedOn w:val="1"/>
    <w:autoRedefine/>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autoRedefine/>
    <w:qFormat/>
    <w:uiPriority w:val="7"/>
    <w:pPr>
      <w:adjustRightInd/>
    </w:pPr>
    <w:rPr>
      <w:rFonts w:ascii="宋体" w:hAnsi="Courier New"/>
    </w:rPr>
  </w:style>
  <w:style w:type="paragraph" w:customStyle="1" w:styleId="610">
    <w:name w:val="Char3"/>
    <w:basedOn w:val="1"/>
    <w:autoRedefine/>
    <w:qFormat/>
    <w:uiPriority w:val="0"/>
    <w:pPr>
      <w:adjustRightInd/>
    </w:pPr>
    <w:rPr>
      <w:rFonts w:ascii="FangSong_GB2312" w:eastAsia="FangSong_GB2312"/>
      <w:b/>
      <w:sz w:val="32"/>
      <w:szCs w:val="32"/>
    </w:rPr>
  </w:style>
  <w:style w:type="paragraph" w:customStyle="1" w:styleId="611">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autoRedefine/>
    <w:qFormat/>
    <w:uiPriority w:val="0"/>
    <w:pPr>
      <w:spacing w:line="360" w:lineRule="auto"/>
      <w:ind w:firstLine="200" w:firstLineChars="200"/>
    </w:pPr>
    <w:rPr>
      <w:rFonts w:eastAsia="KaiTi_GB2312" w:cs="Lucida Sans"/>
      <w:sz w:val="24"/>
    </w:rPr>
  </w:style>
  <w:style w:type="paragraph" w:customStyle="1" w:styleId="615">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autoRedefine/>
    <w:qFormat/>
    <w:uiPriority w:val="0"/>
    <w:pPr>
      <w:widowControl/>
      <w:adjustRightInd/>
      <w:spacing w:after="160" w:line="240" w:lineRule="exact"/>
      <w:jc w:val="left"/>
    </w:pPr>
    <w:rPr>
      <w:szCs w:val="20"/>
    </w:rPr>
  </w:style>
  <w:style w:type="paragraph" w:customStyle="1" w:styleId="619">
    <w:name w:val="表格标题2"/>
    <w:basedOn w:val="620"/>
    <w:autoRedefine/>
    <w:qFormat/>
    <w:uiPriority w:val="0"/>
    <w:rPr>
      <w:b/>
    </w:rPr>
  </w:style>
  <w:style w:type="paragraph" w:customStyle="1" w:styleId="620">
    <w:name w:val="表格内文"/>
    <w:basedOn w:val="1"/>
    <w:autoRedefine/>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autoRedefine/>
    <w:qFormat/>
    <w:uiPriority w:val="0"/>
    <w:rPr>
      <w:rFonts w:ascii="FangSong_GB2312" w:eastAsia="FangSong_GB2312"/>
      <w:b/>
      <w:sz w:val="32"/>
      <w:szCs w:val="32"/>
    </w:rPr>
  </w:style>
  <w:style w:type="paragraph" w:customStyle="1" w:styleId="622">
    <w:name w:val="正文，首行缩进:  2 字符"/>
    <w:autoRedefine/>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autoRedefine/>
    <w:qFormat/>
    <w:uiPriority w:val="0"/>
    <w:pPr>
      <w:spacing w:line="360" w:lineRule="auto"/>
    </w:pPr>
    <w:rPr>
      <w:szCs w:val="20"/>
    </w:rPr>
  </w:style>
  <w:style w:type="paragraph" w:customStyle="1" w:styleId="625">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7">
    <w:name w:val="MM Topic 1"/>
    <w:basedOn w:val="2"/>
    <w:autoRedefine/>
    <w:qFormat/>
    <w:uiPriority w:val="0"/>
    <w:pPr>
      <w:tabs>
        <w:tab w:val="left" w:pos="840"/>
      </w:tabs>
      <w:adjustRightInd/>
      <w:ind w:left="840" w:hanging="420"/>
    </w:pPr>
  </w:style>
  <w:style w:type="paragraph" w:customStyle="1" w:styleId="628">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autoRedefine/>
    <w:qFormat/>
    <w:uiPriority w:val="0"/>
    <w:pPr>
      <w:spacing w:line="360" w:lineRule="auto"/>
      <w:ind w:firstLine="200" w:firstLineChars="200"/>
    </w:pPr>
    <w:rPr>
      <w:kern w:val="0"/>
      <w:sz w:val="24"/>
      <w:szCs w:val="20"/>
    </w:rPr>
  </w:style>
  <w:style w:type="paragraph" w:customStyle="1" w:styleId="630">
    <w:name w:val="表格"/>
    <w:basedOn w:val="1"/>
    <w:autoRedefine/>
    <w:qFormat/>
    <w:uiPriority w:val="0"/>
    <w:pPr>
      <w:snapToGrid w:val="0"/>
      <w:ind w:firstLine="42" w:firstLineChars="21"/>
    </w:pPr>
    <w:rPr>
      <w:rFonts w:ascii="宋体" w:hAnsi="宋体"/>
      <w:kern w:val="0"/>
      <w:sz w:val="20"/>
      <w:szCs w:val="20"/>
    </w:rPr>
  </w:style>
  <w:style w:type="paragraph" w:customStyle="1" w:styleId="631">
    <w:name w:val="标书标题4"/>
    <w:basedOn w:val="6"/>
    <w:autoRedefine/>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autoRedefine/>
    <w:qFormat/>
    <w:uiPriority w:val="0"/>
    <w:pPr>
      <w:adjustRightInd/>
      <w:spacing w:line="300" w:lineRule="auto"/>
      <w:jc w:val="center"/>
    </w:pPr>
  </w:style>
  <w:style w:type="paragraph" w:customStyle="1" w:styleId="636">
    <w:name w:val="_Style 6"/>
    <w:basedOn w:val="1"/>
    <w:autoRedefine/>
    <w:qFormat/>
    <w:uiPriority w:val="34"/>
    <w:pPr>
      <w:adjustRightInd/>
      <w:ind w:firstLine="420" w:firstLineChars="200"/>
    </w:pPr>
    <w:rPr>
      <w:rFonts w:eastAsia="FangSong_GB2312"/>
      <w:sz w:val="28"/>
    </w:rPr>
  </w:style>
  <w:style w:type="paragraph" w:customStyle="1" w:styleId="637">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autoRedefine/>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autoRedefine/>
    <w:qFormat/>
    <w:uiPriority w:val="0"/>
    <w:rPr>
      <w:rFonts w:ascii="FangSong_GB2312" w:eastAsia="FangSong_GB2312"/>
      <w:b/>
      <w:sz w:val="32"/>
      <w:szCs w:val="20"/>
    </w:rPr>
  </w:style>
  <w:style w:type="paragraph" w:customStyle="1" w:styleId="647">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autoRedefine/>
    <w:qFormat/>
    <w:uiPriority w:val="0"/>
    <w:pPr>
      <w:adjustRightInd/>
      <w:ind w:firstLine="200" w:firstLineChars="200"/>
    </w:pPr>
    <w:rPr>
      <w:rFonts w:ascii="Tahoma" w:hAnsi="Tahoma"/>
      <w:sz w:val="24"/>
      <w:szCs w:val="20"/>
    </w:rPr>
  </w:style>
  <w:style w:type="paragraph" w:customStyle="1" w:styleId="649">
    <w:name w:val="a1"/>
    <w:basedOn w:val="1"/>
    <w:autoRedefine/>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autoRedefine/>
    <w:qFormat/>
    <w:uiPriority w:val="0"/>
    <w:pPr>
      <w:spacing w:afterLines="50"/>
      <w:jc w:val="left"/>
      <w:outlineLvl w:val="3"/>
    </w:pPr>
    <w:rPr>
      <w:sz w:val="24"/>
      <w:szCs w:val="24"/>
    </w:rPr>
  </w:style>
  <w:style w:type="paragraph" w:customStyle="1" w:styleId="651">
    <w:name w:val="样式4"/>
    <w:basedOn w:val="1"/>
    <w:autoRedefine/>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autoRedefine/>
    <w:qFormat/>
    <w:uiPriority w:val="0"/>
    <w:pPr>
      <w:adjustRightInd/>
    </w:pPr>
    <w:rPr>
      <w:rFonts w:ascii="Tahoma" w:hAnsi="Tahoma"/>
      <w:sz w:val="24"/>
      <w:szCs w:val="20"/>
    </w:rPr>
  </w:style>
  <w:style w:type="paragraph" w:customStyle="1" w:styleId="656">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autoRedefine/>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autoRedefine/>
    <w:qFormat/>
    <w:uiPriority w:val="0"/>
    <w:pPr>
      <w:tabs>
        <w:tab w:val="left" w:pos="1260"/>
        <w:tab w:val="left" w:pos="1680"/>
        <w:tab w:val="left" w:pos="2100"/>
      </w:tabs>
      <w:ind w:left="0"/>
      <w:outlineLvl w:val="3"/>
    </w:pPr>
  </w:style>
  <w:style w:type="paragraph" w:customStyle="1" w:styleId="659">
    <w:name w:val="一级条标题"/>
    <w:basedOn w:val="660"/>
    <w:next w:val="642"/>
    <w:autoRedefine/>
    <w:qFormat/>
    <w:uiPriority w:val="0"/>
    <w:pPr>
      <w:tabs>
        <w:tab w:val="left" w:pos="1260"/>
        <w:tab w:val="left" w:pos="1680"/>
      </w:tabs>
      <w:ind w:left="1680"/>
      <w:outlineLvl w:val="2"/>
    </w:pPr>
  </w:style>
  <w:style w:type="paragraph" w:customStyle="1" w:styleId="660">
    <w:name w:val="章标题"/>
    <w:next w:val="64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autoRedefine/>
    <w:qFormat/>
    <w:uiPriority w:val="0"/>
    <w:pPr>
      <w:tabs>
        <w:tab w:val="left" w:pos="840"/>
      </w:tabs>
      <w:spacing w:after="0"/>
      <w:ind w:left="900"/>
    </w:pPr>
  </w:style>
  <w:style w:type="paragraph" w:customStyle="1" w:styleId="668">
    <w:name w:val="正文 项目"/>
    <w:basedOn w:val="1"/>
    <w:autoRedefine/>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autoRedefine/>
    <w:qFormat/>
    <w:uiPriority w:val="6"/>
    <w:pPr>
      <w:widowControl/>
      <w:adjustRightInd/>
      <w:ind w:left="720" w:hanging="720"/>
    </w:pPr>
    <w:rPr>
      <w:color w:val="000000"/>
      <w:kern w:val="0"/>
      <w:sz w:val="24"/>
      <w:szCs w:val="20"/>
      <w:lang w:val="en-GB"/>
    </w:rPr>
  </w:style>
  <w:style w:type="paragraph" w:customStyle="1" w:styleId="670">
    <w:name w:val="表1"/>
    <w:basedOn w:val="1"/>
    <w:autoRedefine/>
    <w:qFormat/>
    <w:uiPriority w:val="0"/>
    <w:pPr>
      <w:tabs>
        <w:tab w:val="left" w:pos="703"/>
      </w:tabs>
      <w:adjustRightInd/>
      <w:spacing w:line="360" w:lineRule="auto"/>
      <w:ind w:left="703"/>
      <w:jc w:val="center"/>
    </w:pPr>
  </w:style>
  <w:style w:type="paragraph" w:customStyle="1" w:styleId="671">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autoRedefine/>
    <w:qFormat/>
    <w:uiPriority w:val="0"/>
    <w:pPr>
      <w:jc w:val="left"/>
      <w:outlineLvl w:val="1"/>
    </w:pPr>
    <w:rPr>
      <w:rFonts w:ascii="Times New Roman" w:hAnsi="Times New Roman" w:eastAsia="仿宋"/>
      <w:sz w:val="30"/>
    </w:rPr>
  </w:style>
  <w:style w:type="paragraph" w:customStyle="1" w:styleId="675">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autoRedefine/>
    <w:qFormat/>
    <w:uiPriority w:val="0"/>
    <w:pPr>
      <w:tabs>
        <w:tab w:val="left" w:pos="840"/>
      </w:tabs>
      <w:adjustRightInd/>
      <w:ind w:left="840" w:hanging="420"/>
    </w:pPr>
  </w:style>
  <w:style w:type="paragraph" w:customStyle="1" w:styleId="681">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autoRedefine/>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7">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autoRedefine/>
    <w:qFormat/>
    <w:uiPriority w:val="0"/>
    <w:pPr>
      <w:tabs>
        <w:tab w:val="left" w:pos="2100"/>
      </w:tabs>
      <w:adjustRightInd/>
      <w:ind w:left="2100" w:hanging="420"/>
    </w:pPr>
    <w:rPr>
      <w:lang w:val="en-US"/>
    </w:rPr>
  </w:style>
  <w:style w:type="paragraph" w:customStyle="1" w:styleId="68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90">
    <w:name w:val="gjt_正文"/>
    <w:autoRedefine/>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autoRedefine/>
    <w:qFormat/>
    <w:uiPriority w:val="6"/>
    <w:pPr>
      <w:spacing w:line="360" w:lineRule="auto"/>
    </w:pPr>
    <w:rPr>
      <w:szCs w:val="20"/>
    </w:rPr>
  </w:style>
  <w:style w:type="paragraph" w:customStyle="1" w:styleId="692">
    <w:name w:val="金宏发行正文 Char"/>
    <w:basedOn w:val="1"/>
    <w:autoRedefine/>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8">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autoRedefine/>
    <w:qFormat/>
    <w:uiPriority w:val="0"/>
    <w:pPr>
      <w:adjustRightInd/>
      <w:spacing w:line="360" w:lineRule="auto"/>
      <w:jc w:val="center"/>
    </w:pPr>
    <w:rPr>
      <w:sz w:val="24"/>
    </w:rPr>
  </w:style>
  <w:style w:type="paragraph" w:customStyle="1" w:styleId="702">
    <w:name w:val="正文3"/>
    <w:basedOn w:val="1"/>
    <w:autoRedefine/>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3">
    <w:name w:val="Char Char Char Char Char Char Char1"/>
    <w:basedOn w:val="1"/>
    <w:autoRedefine/>
    <w:qFormat/>
    <w:uiPriority w:val="6"/>
    <w:rPr>
      <w:rFonts w:ascii="FangSong_GB2312" w:eastAsia="FangSong_GB2312"/>
      <w:b/>
      <w:sz w:val="32"/>
      <w:szCs w:val="32"/>
    </w:rPr>
  </w:style>
  <w:style w:type="paragraph" w:customStyle="1" w:styleId="704">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autoRedefine/>
    <w:qFormat/>
    <w:uiPriority w:val="0"/>
    <w:pPr>
      <w:widowControl/>
      <w:adjustRightInd/>
      <w:spacing w:after="160" w:line="240" w:lineRule="exact"/>
      <w:jc w:val="left"/>
    </w:pPr>
    <w:rPr>
      <w:szCs w:val="20"/>
    </w:rPr>
  </w:style>
  <w:style w:type="paragraph" w:customStyle="1" w:styleId="707">
    <w:name w:val="Char Char1121"/>
    <w:basedOn w:val="1"/>
    <w:autoRedefine/>
    <w:qFormat/>
    <w:uiPriority w:val="0"/>
    <w:pPr>
      <w:spacing w:line="360" w:lineRule="auto"/>
    </w:pPr>
    <w:rPr>
      <w:szCs w:val="20"/>
    </w:rPr>
  </w:style>
  <w:style w:type="paragraph" w:customStyle="1" w:styleId="708">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autoRedefine/>
    <w:qFormat/>
    <w:uiPriority w:val="0"/>
    <w:rPr>
      <w:rFonts w:ascii="Times New Roman" w:hAnsi="Times New Roman" w:eastAsia="宋体" w:cs="Times New Roman"/>
      <w:lang w:val="en-US" w:eastAsia="en-US" w:bidi="ar-SA"/>
    </w:rPr>
  </w:style>
  <w:style w:type="paragraph" w:customStyle="1" w:styleId="711">
    <w:name w:val="带编号样式"/>
    <w:basedOn w:val="629"/>
    <w:autoRedefine/>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5">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autoRedefine/>
    <w:qFormat/>
    <w:uiPriority w:val="0"/>
    <w:pPr>
      <w:spacing w:line="240" w:lineRule="atLeast"/>
      <w:ind w:left="420" w:firstLine="420"/>
    </w:pPr>
    <w:rPr>
      <w:sz w:val="24"/>
    </w:rPr>
  </w:style>
  <w:style w:type="paragraph" w:customStyle="1" w:styleId="718">
    <w:name w:val="WW-正文文字缩进 2"/>
    <w:basedOn w:val="1"/>
    <w:autoRedefine/>
    <w:qFormat/>
    <w:uiPriority w:val="0"/>
    <w:pPr>
      <w:suppressAutoHyphens/>
      <w:adjustRightInd/>
      <w:ind w:firstLine="420"/>
    </w:pPr>
    <w:rPr>
      <w:kern w:val="1"/>
      <w:szCs w:val="20"/>
    </w:rPr>
  </w:style>
  <w:style w:type="paragraph" w:customStyle="1" w:styleId="719">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autoRedefine/>
    <w:qFormat/>
    <w:uiPriority w:val="0"/>
    <w:pPr>
      <w:adjustRightInd/>
      <w:spacing w:line="400" w:lineRule="exact"/>
      <w:ind w:firstLine="200" w:firstLineChars="200"/>
    </w:pPr>
    <w:rPr>
      <w:rFonts w:ascii="Arial" w:hAnsi="Arial"/>
    </w:rPr>
  </w:style>
  <w:style w:type="paragraph" w:customStyle="1" w:styleId="722">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6"/>
    <w:autoRedefine/>
    <w:qFormat/>
    <w:uiPriority w:val="0"/>
    <w:pPr>
      <w:spacing w:after="120" w:line="480" w:lineRule="auto"/>
      <w:ind w:left="420" w:leftChars="200"/>
    </w:pPr>
    <w:rPr>
      <w:sz w:val="24"/>
      <w:szCs w:val="20"/>
    </w:rPr>
  </w:style>
  <w:style w:type="paragraph" w:customStyle="1" w:styleId="725">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autoRedefine/>
    <w:qFormat/>
    <w:uiPriority w:val="0"/>
    <w:pPr>
      <w:spacing w:line="360" w:lineRule="auto"/>
      <w:ind w:left="601"/>
    </w:pPr>
    <w:rPr>
      <w:rFonts w:ascii="FangSong_GB2312" w:eastAsia="FangSong_GB2312"/>
      <w:sz w:val="24"/>
      <w:szCs w:val="20"/>
    </w:rPr>
  </w:style>
  <w:style w:type="paragraph" w:customStyle="1" w:styleId="729">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autoRedefine/>
    <w:qFormat/>
    <w:uiPriority w:val="0"/>
    <w:rPr>
      <w:rFonts w:ascii="FangSong_GB2312" w:eastAsia="FangSong_GB2312"/>
      <w:b/>
      <w:sz w:val="32"/>
      <w:szCs w:val="20"/>
    </w:rPr>
  </w:style>
  <w:style w:type="paragraph" w:customStyle="1" w:styleId="734">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autoRedefine/>
    <w:qFormat/>
    <w:uiPriority w:val="0"/>
    <w:rPr>
      <w:rFonts w:ascii="FangSong_GB2312" w:eastAsia="FangSong_GB2312"/>
      <w:b/>
      <w:sz w:val="32"/>
      <w:szCs w:val="32"/>
    </w:rPr>
  </w:style>
  <w:style w:type="paragraph" w:customStyle="1" w:styleId="738">
    <w:name w:val="Char3 Char Char Char1"/>
    <w:basedOn w:val="1"/>
    <w:autoRedefine/>
    <w:qFormat/>
    <w:uiPriority w:val="6"/>
    <w:pPr>
      <w:widowControl/>
      <w:adjustRightInd/>
      <w:spacing w:after="160" w:line="240" w:lineRule="exact"/>
      <w:jc w:val="left"/>
    </w:pPr>
    <w:rPr>
      <w:szCs w:val="20"/>
    </w:rPr>
  </w:style>
  <w:style w:type="paragraph" w:customStyle="1" w:styleId="739">
    <w:name w:val="Char1 Char Char Char21"/>
    <w:basedOn w:val="1"/>
    <w:autoRedefine/>
    <w:qFormat/>
    <w:uiPriority w:val="0"/>
    <w:rPr>
      <w:rFonts w:ascii="Tahoma" w:hAnsi="Tahoma"/>
      <w:sz w:val="24"/>
      <w:szCs w:val="20"/>
    </w:rPr>
  </w:style>
  <w:style w:type="paragraph" w:customStyle="1" w:styleId="740">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autoRedefine/>
    <w:qFormat/>
    <w:uiPriority w:val="0"/>
    <w:pPr>
      <w:spacing w:line="360" w:lineRule="auto"/>
      <w:ind w:firstLine="200" w:firstLineChars="200"/>
    </w:pPr>
    <w:rPr>
      <w:sz w:val="24"/>
    </w:rPr>
  </w:style>
  <w:style w:type="paragraph" w:customStyle="1" w:styleId="742">
    <w:name w:val="样式 正1 + 首行缩进:  2 字符"/>
    <w:basedOn w:val="1"/>
    <w:autoRedefine/>
    <w:qFormat/>
    <w:uiPriority w:val="0"/>
    <w:pPr>
      <w:adjustRightInd/>
      <w:spacing w:line="360" w:lineRule="auto"/>
      <w:ind w:firstLine="480" w:firstLineChars="200"/>
    </w:pPr>
    <w:rPr>
      <w:rFonts w:ascii="FangSong_GB2312" w:eastAsia="FangSong_GB2312"/>
      <w:sz w:val="24"/>
    </w:rPr>
  </w:style>
  <w:style w:type="paragraph" w:customStyle="1" w:styleId="743">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autoRedefine/>
    <w:qFormat/>
    <w:uiPriority w:val="0"/>
    <w:pPr>
      <w:adjustRightInd/>
      <w:ind w:firstLine="200" w:firstLineChars="200"/>
    </w:pPr>
    <w:rPr>
      <w:rFonts w:ascii="Tahoma" w:hAnsi="Tahoma"/>
      <w:sz w:val="24"/>
      <w:szCs w:val="20"/>
    </w:rPr>
  </w:style>
  <w:style w:type="paragraph" w:customStyle="1" w:styleId="748">
    <w:name w:val="_标题2"/>
    <w:basedOn w:val="715"/>
    <w:next w:val="715"/>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autoRedefine/>
    <w:qFormat/>
    <w:uiPriority w:val="0"/>
    <w:pPr>
      <w:adjustRightInd/>
      <w:spacing w:line="360" w:lineRule="auto"/>
    </w:pPr>
    <w:rPr>
      <w:rFonts w:ascii="宋体" w:hAnsi="宋体"/>
      <w:szCs w:val="20"/>
    </w:rPr>
  </w:style>
  <w:style w:type="paragraph" w:customStyle="1" w:styleId="754">
    <w:name w:val="深色列表 - 强调文字颜色 51"/>
    <w:basedOn w:val="1"/>
    <w:autoRedefine/>
    <w:qFormat/>
    <w:uiPriority w:val="0"/>
    <w:pPr>
      <w:adjustRightInd/>
      <w:spacing w:line="360" w:lineRule="auto"/>
      <w:ind w:firstLine="200" w:firstLineChars="200"/>
    </w:pPr>
    <w:rPr>
      <w:rFonts w:eastAsia="KaiTi_GB2312" w:cs="Lucida Sans"/>
      <w:sz w:val="24"/>
    </w:rPr>
  </w:style>
  <w:style w:type="paragraph" w:customStyle="1" w:styleId="755">
    <w:name w:val="Char Char Char Char Char Char Char Char Char Char Char1 Char"/>
    <w:basedOn w:val="1"/>
    <w:autoRedefine/>
    <w:qFormat/>
    <w:uiPriority w:val="0"/>
    <w:pPr>
      <w:adjustRightInd/>
    </w:pPr>
    <w:rPr>
      <w:rFonts w:ascii="Tahoma" w:hAnsi="Tahoma"/>
      <w:sz w:val="24"/>
    </w:rPr>
  </w:style>
  <w:style w:type="paragraph" w:customStyle="1" w:styleId="756">
    <w:name w:val="Char Char Char Char11"/>
    <w:basedOn w:val="1"/>
    <w:autoRedefine/>
    <w:qFormat/>
    <w:uiPriority w:val="0"/>
    <w:rPr>
      <w:rFonts w:ascii="Tahoma" w:hAnsi="Tahoma"/>
      <w:sz w:val="24"/>
      <w:szCs w:val="20"/>
    </w:rPr>
  </w:style>
  <w:style w:type="paragraph" w:customStyle="1" w:styleId="757">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autoRedefine/>
    <w:qFormat/>
    <w:uiPriority w:val="0"/>
    <w:rPr>
      <w:rFonts w:ascii="Tahoma" w:hAnsi="Tahoma"/>
      <w:sz w:val="24"/>
      <w:szCs w:val="20"/>
    </w:rPr>
  </w:style>
  <w:style w:type="paragraph" w:customStyle="1" w:styleId="759">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60">
    <w:name w:val="Char19"/>
    <w:basedOn w:val="1"/>
    <w:autoRedefine/>
    <w:qFormat/>
    <w:uiPriority w:val="0"/>
    <w:pPr>
      <w:adjustRightInd/>
    </w:pPr>
    <w:rPr>
      <w:szCs w:val="20"/>
    </w:rPr>
  </w:style>
  <w:style w:type="paragraph" w:customStyle="1" w:styleId="761">
    <w:name w:val="标书正文格式"/>
    <w:autoRedefine/>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2">
    <w:name w:val="样式8"/>
    <w:basedOn w:val="1"/>
    <w:autoRedefine/>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3">
    <w:name w:val="_Style 5"/>
    <w:basedOn w:val="1"/>
    <w:autoRedefine/>
    <w:qFormat/>
    <w:uiPriority w:val="34"/>
    <w:pPr>
      <w:adjustRightInd/>
      <w:ind w:firstLine="420" w:firstLineChars="200"/>
    </w:pPr>
    <w:rPr>
      <w:rFonts w:eastAsia="FangSong_GB2312"/>
      <w:sz w:val="28"/>
    </w:rPr>
  </w:style>
  <w:style w:type="paragraph" w:customStyle="1" w:styleId="764">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autoRedefine/>
    <w:qFormat/>
    <w:uiPriority w:val="0"/>
    <w:pPr>
      <w:adjustRightInd/>
      <w:spacing w:line="360" w:lineRule="auto"/>
      <w:ind w:firstLine="200"/>
    </w:pPr>
    <w:rPr>
      <w:rFonts w:eastAsia="KaiTi_GB2312" w:cs="Lucida Sans Unicode"/>
      <w:color w:val="000000"/>
      <w:kern w:val="1"/>
      <w:sz w:val="24"/>
    </w:rPr>
  </w:style>
  <w:style w:type="paragraph" w:customStyle="1" w:styleId="766">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autoRedefine/>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autoRedefine/>
    <w:qFormat/>
    <w:uiPriority w:val="0"/>
    <w:pPr>
      <w:adjustRightInd/>
      <w:spacing w:line="360" w:lineRule="auto"/>
      <w:ind w:firstLine="480" w:firstLineChars="200"/>
    </w:pPr>
    <w:rPr>
      <w:rFonts w:ascii="FangSong_GB2312" w:eastAsia="FangSong_GB2312"/>
      <w:b/>
      <w:sz w:val="32"/>
      <w:szCs w:val="32"/>
    </w:rPr>
  </w:style>
  <w:style w:type="paragraph" w:customStyle="1" w:styleId="769">
    <w:name w:val="Char12"/>
    <w:basedOn w:val="1"/>
    <w:autoRedefine/>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70">
    <w:name w:val="修订3"/>
    <w:autoRedefine/>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2">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autoRedefine/>
    <w:qFormat/>
    <w:uiPriority w:val="0"/>
    <w:rPr>
      <w:rFonts w:ascii="宋体" w:hAnsi="Times New Roman" w:eastAsia="宋体" w:cs="Times New Roman"/>
      <w:kern w:val="2"/>
      <w:lang w:val="en-US" w:eastAsia="zh-CN" w:bidi="ar-SA"/>
    </w:rPr>
  </w:style>
  <w:style w:type="paragraph" w:customStyle="1" w:styleId="774">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autoRedefine/>
    <w:qFormat/>
    <w:uiPriority w:val="0"/>
    <w:pPr>
      <w:tabs>
        <w:tab w:val="left" w:pos="360"/>
      </w:tabs>
    </w:pPr>
    <w:rPr>
      <w:sz w:val="24"/>
      <w:szCs w:val="20"/>
    </w:rPr>
  </w:style>
  <w:style w:type="paragraph" w:customStyle="1" w:styleId="778">
    <w:name w:val="表内文字"/>
    <w:basedOn w:val="1"/>
    <w:autoRedefine/>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9">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1">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autoRedefine/>
    <w:qFormat/>
    <w:uiPriority w:val="0"/>
    <w:pPr>
      <w:widowControl/>
      <w:adjustRightInd/>
    </w:pPr>
    <w:rPr>
      <w:kern w:val="0"/>
      <w:szCs w:val="21"/>
    </w:rPr>
  </w:style>
  <w:style w:type="paragraph" w:customStyle="1" w:styleId="787">
    <w:name w:val="Char6"/>
    <w:basedOn w:val="1"/>
    <w:autoRedefine/>
    <w:qFormat/>
    <w:uiPriority w:val="0"/>
    <w:rPr>
      <w:rFonts w:ascii="FangSong_GB2312" w:eastAsia="FangSong_GB2312"/>
      <w:b/>
      <w:sz w:val="32"/>
      <w:szCs w:val="32"/>
    </w:rPr>
  </w:style>
  <w:style w:type="paragraph" w:customStyle="1" w:styleId="788">
    <w:name w:val="Char111"/>
    <w:basedOn w:val="1"/>
    <w:autoRedefine/>
    <w:qFormat/>
    <w:uiPriority w:val="0"/>
    <w:rPr>
      <w:rFonts w:ascii="FangSong_GB2312" w:eastAsia="FangSong_GB2312"/>
      <w:b/>
      <w:sz w:val="32"/>
      <w:szCs w:val="32"/>
    </w:rPr>
  </w:style>
  <w:style w:type="paragraph" w:customStyle="1" w:styleId="789">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90">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autoRedefine/>
    <w:qFormat/>
    <w:uiPriority w:val="0"/>
    <w:pPr>
      <w:adjustRightInd/>
      <w:ind w:firstLine="200" w:firstLineChars="200"/>
    </w:pPr>
    <w:rPr>
      <w:rFonts w:ascii="Tahoma" w:hAnsi="Tahoma"/>
      <w:sz w:val="24"/>
      <w:szCs w:val="20"/>
    </w:rPr>
  </w:style>
  <w:style w:type="paragraph" w:customStyle="1" w:styleId="793">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autoRedefine/>
    <w:qFormat/>
    <w:uiPriority w:val="0"/>
    <w:rPr>
      <w:rFonts w:ascii="FangSong_GB2312" w:eastAsia="FangSong_GB2312"/>
      <w:b/>
      <w:sz w:val="32"/>
      <w:szCs w:val="32"/>
    </w:rPr>
  </w:style>
  <w:style w:type="paragraph" w:customStyle="1" w:styleId="796">
    <w:name w:val="五级条标题"/>
    <w:basedOn w:val="797"/>
    <w:next w:val="642"/>
    <w:autoRedefine/>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autoRedefine/>
    <w:qFormat/>
    <w:uiPriority w:val="0"/>
    <w:pPr>
      <w:tabs>
        <w:tab w:val="clear" w:pos="2520"/>
      </w:tabs>
      <w:ind w:left="2940"/>
      <w:outlineLvl w:val="5"/>
    </w:pPr>
  </w:style>
  <w:style w:type="paragraph" w:customStyle="1" w:styleId="798">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autoRedefine/>
    <w:qFormat/>
    <w:uiPriority w:val="0"/>
    <w:rPr>
      <w:rFonts w:ascii="FangSong_GB2312" w:eastAsia="FangSong_GB2312"/>
      <w:b/>
      <w:sz w:val="32"/>
      <w:szCs w:val="32"/>
    </w:rPr>
  </w:style>
  <w:style w:type="paragraph" w:customStyle="1" w:styleId="800">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autoRedefine/>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4">
    <w:name w:val="单元格左对齐"/>
    <w:basedOn w:val="1"/>
    <w:autoRedefine/>
    <w:qFormat/>
    <w:uiPriority w:val="0"/>
    <w:pPr>
      <w:adjustRightInd/>
      <w:spacing w:line="360" w:lineRule="auto"/>
    </w:pPr>
    <w:rPr>
      <w:sz w:val="24"/>
    </w:rPr>
  </w:style>
  <w:style w:type="paragraph" w:customStyle="1" w:styleId="805">
    <w:name w:val="正文主体"/>
    <w:basedOn w:val="626"/>
    <w:autoRedefine/>
    <w:qFormat/>
    <w:uiPriority w:val="0"/>
  </w:style>
  <w:style w:type="paragraph" w:customStyle="1" w:styleId="806">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9">
    <w:name w:val="正文（首行缩进2字符）"/>
    <w:basedOn w:val="1"/>
    <w:autoRedefine/>
    <w:qFormat/>
    <w:uiPriority w:val="0"/>
    <w:pPr>
      <w:adjustRightInd/>
      <w:spacing w:line="360" w:lineRule="auto"/>
      <w:ind w:firstLine="480" w:firstLineChars="200"/>
    </w:pPr>
    <w:rPr>
      <w:sz w:val="24"/>
      <w:szCs w:val="20"/>
    </w:rPr>
  </w:style>
  <w:style w:type="paragraph" w:customStyle="1" w:styleId="810">
    <w:name w:val="P1"/>
    <w:basedOn w:val="1"/>
    <w:autoRedefine/>
    <w:qFormat/>
    <w:uiPriority w:val="0"/>
    <w:pPr>
      <w:adjustRightInd/>
      <w:spacing w:line="288" w:lineRule="auto"/>
      <w:ind w:firstLine="425" w:firstLineChars="200"/>
    </w:pPr>
  </w:style>
  <w:style w:type="paragraph" w:customStyle="1" w:styleId="811">
    <w:name w:val="列表内容"/>
    <w:basedOn w:val="1"/>
    <w:next w:val="1"/>
    <w:autoRedefine/>
    <w:qFormat/>
    <w:uiPriority w:val="0"/>
    <w:pPr>
      <w:widowControl/>
      <w:tabs>
        <w:tab w:val="left" w:pos="840"/>
      </w:tabs>
      <w:ind w:left="840" w:hanging="420"/>
      <w:jc w:val="left"/>
    </w:pPr>
    <w:rPr>
      <w:kern w:val="0"/>
      <w:sz w:val="18"/>
    </w:rPr>
  </w:style>
  <w:style w:type="paragraph" w:customStyle="1" w:styleId="812">
    <w:name w:val="Char Char11 Char Char Char1"/>
    <w:basedOn w:val="1"/>
    <w:autoRedefine/>
    <w:qFormat/>
    <w:uiPriority w:val="6"/>
    <w:pPr>
      <w:spacing w:line="360" w:lineRule="auto"/>
    </w:pPr>
    <w:rPr>
      <w:szCs w:val="20"/>
    </w:rPr>
  </w:style>
  <w:style w:type="paragraph" w:customStyle="1" w:styleId="813">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4">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autoRedefine/>
    <w:qFormat/>
    <w:uiPriority w:val="0"/>
    <w:pPr>
      <w:spacing w:line="360" w:lineRule="auto"/>
    </w:pPr>
    <w:rPr>
      <w:szCs w:val="20"/>
    </w:rPr>
  </w:style>
  <w:style w:type="paragraph" w:customStyle="1" w:styleId="81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autoRedefine/>
    <w:qFormat/>
    <w:uiPriority w:val="0"/>
    <w:rPr>
      <w:rFonts w:ascii="FangSong_GB2312" w:eastAsia="FangSong_GB2312"/>
      <w:b/>
      <w:sz w:val="32"/>
      <w:szCs w:val="32"/>
    </w:rPr>
  </w:style>
  <w:style w:type="paragraph" w:customStyle="1" w:styleId="822">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5">
    <w:name w:val="Char Char4 Char Char"/>
    <w:basedOn w:val="1"/>
    <w:autoRedefine/>
    <w:qFormat/>
    <w:uiPriority w:val="0"/>
    <w:pPr>
      <w:widowControl/>
      <w:adjustRightInd/>
      <w:spacing w:after="160" w:line="240" w:lineRule="exact"/>
      <w:jc w:val="left"/>
    </w:pPr>
  </w:style>
  <w:style w:type="paragraph" w:customStyle="1" w:styleId="82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autoRedefine/>
    <w:qFormat/>
    <w:uiPriority w:val="0"/>
    <w:pPr>
      <w:spacing w:line="360" w:lineRule="auto"/>
    </w:pPr>
    <w:rPr>
      <w:szCs w:val="20"/>
    </w:rPr>
  </w:style>
  <w:style w:type="paragraph" w:customStyle="1" w:styleId="828">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autoRedefine/>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autoRedefine/>
    <w:qFormat/>
    <w:uiPriority w:val="0"/>
    <w:pPr>
      <w:adjustRightInd/>
      <w:ind w:firstLine="200" w:firstLineChars="200"/>
    </w:pPr>
    <w:rPr>
      <w:rFonts w:ascii="Tahoma" w:hAnsi="Tahoma"/>
      <w:sz w:val="24"/>
      <w:szCs w:val="20"/>
    </w:rPr>
  </w:style>
  <w:style w:type="paragraph" w:customStyle="1" w:styleId="835">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autoRedefine/>
    <w:qFormat/>
    <w:uiPriority w:val="0"/>
    <w:pPr>
      <w:tabs>
        <w:tab w:val="left" w:pos="0"/>
      </w:tabs>
      <w:ind w:left="900" w:firstLine="0" w:firstLineChars="0"/>
    </w:pPr>
  </w:style>
  <w:style w:type="paragraph" w:customStyle="1" w:styleId="838">
    <w:name w:val="Bulleted List"/>
    <w:basedOn w:val="1"/>
    <w:autoRedefine/>
    <w:qFormat/>
    <w:uiPriority w:val="0"/>
    <w:pPr>
      <w:tabs>
        <w:tab w:val="left" w:pos="1260"/>
      </w:tabs>
      <w:adjustRightInd/>
      <w:ind w:left="1260" w:hanging="420"/>
    </w:pPr>
  </w:style>
  <w:style w:type="paragraph" w:customStyle="1" w:styleId="839">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autoRedefine/>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autoRedefine/>
    <w:qFormat/>
    <w:uiPriority w:val="0"/>
    <w:rPr>
      <w:rFonts w:ascii="Tahoma" w:hAnsi="Tahoma" w:cs="FangSong_GB2312"/>
      <w:sz w:val="24"/>
      <w:szCs w:val="20"/>
    </w:rPr>
  </w:style>
  <w:style w:type="paragraph" w:customStyle="1" w:styleId="842">
    <w:name w:val="正文1"/>
    <w:basedOn w:val="31"/>
    <w:autoRedefine/>
    <w:qFormat/>
    <w:uiPriority w:val="0"/>
    <w:pPr>
      <w:ind w:left="0" w:leftChars="0" w:firstLine="480" w:firstLineChars="200"/>
    </w:pPr>
    <w:rPr>
      <w:rFonts w:ascii="FangSong_GB2312" w:hAnsi="Courier New" w:eastAsia="FangSong_GB2312"/>
      <w:kern w:val="28"/>
      <w:sz w:val="24"/>
    </w:rPr>
  </w:style>
  <w:style w:type="paragraph" w:customStyle="1" w:styleId="843">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autoRedefine/>
    <w:qFormat/>
    <w:uiPriority w:val="0"/>
    <w:rPr>
      <w:rFonts w:ascii="FangSong_GB2312" w:eastAsia="FangSong_GB2312"/>
      <w:b/>
      <w:sz w:val="32"/>
      <w:szCs w:val="20"/>
    </w:rPr>
  </w:style>
  <w:style w:type="paragraph" w:customStyle="1" w:styleId="84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autoRedefine/>
    <w:qFormat/>
    <w:uiPriority w:val="0"/>
    <w:rPr>
      <w:rFonts w:ascii="FangSong_GB2312" w:eastAsia="FangSong_GB2312"/>
      <w:b/>
      <w:sz w:val="32"/>
      <w:szCs w:val="20"/>
    </w:rPr>
  </w:style>
  <w:style w:type="paragraph" w:customStyle="1" w:styleId="849">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1">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autoRedefine/>
    <w:qFormat/>
    <w:uiPriority w:val="0"/>
    <w:pPr>
      <w:adjustRightInd/>
      <w:spacing w:before="120" w:line="360" w:lineRule="auto"/>
      <w:ind w:firstLine="480" w:firstLineChars="200"/>
    </w:pPr>
    <w:rPr>
      <w:rFonts w:eastAsia="FangSong_GB2312" w:cs="宋体"/>
      <w:sz w:val="28"/>
      <w:szCs w:val="20"/>
    </w:rPr>
  </w:style>
  <w:style w:type="paragraph" w:customStyle="1" w:styleId="855">
    <w:name w:val="中等深浅网格 1 - 强调文字颜色 21"/>
    <w:basedOn w:val="1"/>
    <w:autoRedefine/>
    <w:qFormat/>
    <w:uiPriority w:val="0"/>
    <w:pPr>
      <w:spacing w:line="360" w:lineRule="auto"/>
      <w:ind w:firstLine="200" w:firstLineChars="200"/>
    </w:pPr>
    <w:rPr>
      <w:rFonts w:eastAsia="KaiTi_GB2312" w:cs="Lucida Sans"/>
      <w:sz w:val="24"/>
    </w:rPr>
  </w:style>
  <w:style w:type="paragraph" w:customStyle="1" w:styleId="856">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autoRedefine/>
    <w:qFormat/>
    <w:uiPriority w:val="0"/>
    <w:pPr>
      <w:adjustRightInd/>
    </w:pPr>
    <w:rPr>
      <w:rFonts w:ascii="FangSong_GB2312" w:eastAsia="FangSong_GB2312"/>
      <w:b/>
      <w:sz w:val="32"/>
      <w:szCs w:val="32"/>
    </w:rPr>
  </w:style>
  <w:style w:type="paragraph" w:customStyle="1" w:styleId="859">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60">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autoRedefine/>
    <w:qFormat/>
    <w:uiPriority w:val="0"/>
    <w:pPr>
      <w:widowControl/>
      <w:spacing w:after="160" w:line="240" w:lineRule="exact"/>
      <w:jc w:val="left"/>
    </w:pPr>
    <w:rPr>
      <w:rFonts w:eastAsia="FangSong_GB2312"/>
      <w:sz w:val="28"/>
    </w:rPr>
  </w:style>
  <w:style w:type="paragraph" w:customStyle="1" w:styleId="863">
    <w:name w:val="Char21"/>
    <w:basedOn w:val="1"/>
    <w:autoRedefine/>
    <w:qFormat/>
    <w:uiPriority w:val="0"/>
    <w:pPr>
      <w:adjustRightInd/>
      <w:ind w:firstLine="200" w:firstLineChars="200"/>
    </w:pPr>
    <w:rPr>
      <w:rFonts w:ascii="FangSong_GB2312" w:eastAsia="FangSong_GB2312"/>
      <w:b/>
      <w:sz w:val="32"/>
      <w:szCs w:val="32"/>
    </w:rPr>
  </w:style>
  <w:style w:type="paragraph" w:customStyle="1" w:styleId="864">
    <w:name w:val="列表段落11"/>
    <w:basedOn w:val="1"/>
    <w:autoRedefine/>
    <w:qFormat/>
    <w:uiPriority w:val="34"/>
    <w:pPr>
      <w:adjustRightInd/>
      <w:ind w:right="238" w:firstLine="420"/>
    </w:pPr>
    <w:rPr>
      <w:rFonts w:ascii="Calibri" w:hAnsi="Calibri"/>
      <w:sz w:val="24"/>
    </w:rPr>
  </w:style>
  <w:style w:type="paragraph" w:customStyle="1" w:styleId="865">
    <w:name w:val="Char Char110"/>
    <w:basedOn w:val="1"/>
    <w:autoRedefine/>
    <w:qFormat/>
    <w:uiPriority w:val="6"/>
    <w:pPr>
      <w:spacing w:line="360" w:lineRule="auto"/>
    </w:pPr>
    <w:rPr>
      <w:rFonts w:ascii="Tahoma" w:hAnsi="Tahoma"/>
      <w:sz w:val="24"/>
      <w:szCs w:val="20"/>
    </w:rPr>
  </w:style>
  <w:style w:type="paragraph" w:customStyle="1" w:styleId="866">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8">
    <w:name w:val="表正文"/>
    <w:autoRedefine/>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autoRedefine/>
    <w:qFormat/>
    <w:uiPriority w:val="0"/>
    <w:rPr>
      <w:rFonts w:ascii="Tahoma" w:hAnsi="Tahoma" w:cs="FangSong_GB2312"/>
      <w:sz w:val="24"/>
      <w:szCs w:val="20"/>
    </w:rPr>
  </w:style>
  <w:style w:type="paragraph" w:customStyle="1" w:styleId="871">
    <w:name w:val="样式9"/>
    <w:basedOn w:val="1"/>
    <w:autoRedefine/>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2">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5">
    <w:name w:val="_Style 12"/>
    <w:basedOn w:val="18"/>
    <w:autoRedefine/>
    <w:qFormat/>
    <w:uiPriority w:val="0"/>
    <w:pPr>
      <w:snapToGrid w:val="0"/>
      <w:spacing w:line="360" w:lineRule="auto"/>
    </w:pPr>
  </w:style>
  <w:style w:type="paragraph" w:customStyle="1" w:styleId="876">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autoRedefine/>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8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autoRedefine/>
    <w:qFormat/>
    <w:uiPriority w:val="0"/>
    <w:pPr>
      <w:outlineLvl w:val="2"/>
    </w:pPr>
  </w:style>
  <w:style w:type="paragraph" w:customStyle="1" w:styleId="883">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autoRedefine/>
    <w:qFormat/>
    <w:uiPriority w:val="0"/>
    <w:pPr>
      <w:adjustRightInd/>
      <w:ind w:firstLine="200" w:firstLineChars="200"/>
    </w:pPr>
    <w:rPr>
      <w:rFonts w:ascii="Tahoma" w:hAnsi="Tahoma"/>
      <w:sz w:val="24"/>
      <w:szCs w:val="20"/>
    </w:rPr>
  </w:style>
  <w:style w:type="paragraph" w:customStyle="1" w:styleId="885">
    <w:name w:val="GP正文(首行缩进)"/>
    <w:basedOn w:val="1"/>
    <w:autoRedefine/>
    <w:qFormat/>
    <w:uiPriority w:val="0"/>
    <w:pPr>
      <w:adjustRightInd/>
      <w:spacing w:line="360" w:lineRule="auto"/>
      <w:ind w:firstLine="200" w:firstLineChars="200"/>
    </w:pPr>
    <w:rPr>
      <w:rFonts w:eastAsia="FangSong_GB2312"/>
      <w:sz w:val="28"/>
      <w:szCs w:val="21"/>
    </w:rPr>
  </w:style>
  <w:style w:type="paragraph" w:customStyle="1" w:styleId="886">
    <w:name w:val="MM Empty"/>
    <w:basedOn w:val="1"/>
    <w:autoRedefine/>
    <w:qFormat/>
    <w:uiPriority w:val="0"/>
    <w:pPr>
      <w:adjustRightInd/>
    </w:pPr>
  </w:style>
  <w:style w:type="paragraph" w:customStyle="1" w:styleId="887">
    <w:name w:val="Char24"/>
    <w:basedOn w:val="1"/>
    <w:autoRedefine/>
    <w:qFormat/>
    <w:uiPriority w:val="0"/>
    <w:rPr>
      <w:rFonts w:ascii="FangSong_GB2312" w:eastAsia="FangSong_GB2312"/>
      <w:b/>
      <w:sz w:val="32"/>
      <w:szCs w:val="32"/>
    </w:rPr>
  </w:style>
  <w:style w:type="paragraph" w:customStyle="1" w:styleId="888">
    <w:name w:val="正文箭头"/>
    <w:basedOn w:val="540"/>
    <w:autoRedefine/>
    <w:qFormat/>
    <w:uiPriority w:val="0"/>
  </w:style>
  <w:style w:type="paragraph" w:customStyle="1" w:styleId="889">
    <w:name w:val="U_编号2"/>
    <w:basedOn w:val="1"/>
    <w:autoRedefine/>
    <w:qFormat/>
    <w:uiPriority w:val="0"/>
    <w:pPr>
      <w:tabs>
        <w:tab w:val="left" w:pos="785"/>
      </w:tabs>
      <w:adjustRightInd/>
      <w:spacing w:beforeLines="10" w:afterLines="10" w:line="300" w:lineRule="auto"/>
    </w:pPr>
    <w:rPr>
      <w:sz w:val="24"/>
    </w:rPr>
  </w:style>
  <w:style w:type="paragraph" w:customStyle="1" w:styleId="890">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autoRedefine/>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3">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autoRedefine/>
    <w:qFormat/>
    <w:uiPriority w:val="34"/>
    <w:pPr>
      <w:adjustRightInd/>
      <w:ind w:firstLine="420" w:firstLineChars="200"/>
    </w:pPr>
    <w:rPr>
      <w:rFonts w:eastAsia="FangSong_GB2312"/>
      <w:sz w:val="28"/>
    </w:rPr>
  </w:style>
  <w:style w:type="paragraph" w:customStyle="1" w:styleId="895">
    <w:name w:val="表格 内容"/>
    <w:basedOn w:val="731"/>
    <w:autoRedefine/>
    <w:qFormat/>
    <w:uiPriority w:val="0"/>
    <w:rPr>
      <w:b w:val="0"/>
      <w:sz w:val="20"/>
    </w:rPr>
  </w:style>
  <w:style w:type="paragraph" w:customStyle="1" w:styleId="896">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autoRedefine/>
    <w:qFormat/>
    <w:uiPriority w:val="0"/>
    <w:pPr>
      <w:tabs>
        <w:tab w:val="left" w:pos="1080"/>
      </w:tabs>
      <w:ind w:left="1080" w:hanging="1080"/>
    </w:pPr>
  </w:style>
  <w:style w:type="paragraph" w:customStyle="1" w:styleId="899">
    <w:name w:val="数字标题1"/>
    <w:basedOn w:val="2"/>
    <w:next w:val="1"/>
    <w:autoRedefine/>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autoRedefine/>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5">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autoRedefine/>
    <w:qFormat/>
    <w:uiPriority w:val="0"/>
    <w:pPr>
      <w:widowControl/>
    </w:pPr>
    <w:rPr>
      <w:kern w:val="0"/>
      <w:sz w:val="24"/>
      <w:szCs w:val="20"/>
    </w:rPr>
  </w:style>
  <w:style w:type="paragraph" w:customStyle="1" w:styleId="907">
    <w:name w:val="Char Char113"/>
    <w:basedOn w:val="1"/>
    <w:autoRedefine/>
    <w:qFormat/>
    <w:uiPriority w:val="0"/>
    <w:pPr>
      <w:widowControl/>
      <w:spacing w:after="160" w:line="240" w:lineRule="exact"/>
      <w:jc w:val="left"/>
    </w:pPr>
    <w:rPr>
      <w:rFonts w:eastAsia="FangSong_GB2312"/>
      <w:sz w:val="28"/>
    </w:rPr>
  </w:style>
  <w:style w:type="paragraph" w:customStyle="1" w:styleId="908">
    <w:name w:val="样式5"/>
    <w:basedOn w:val="1"/>
    <w:autoRedefine/>
    <w:qFormat/>
    <w:uiPriority w:val="0"/>
    <w:pPr>
      <w:spacing w:line="440" w:lineRule="exact"/>
      <w:ind w:left="2" w:firstLine="480" w:firstLineChars="200"/>
    </w:pPr>
    <w:rPr>
      <w:rFonts w:ascii="FangSong_GB2312" w:hAnsi="仿宋" w:eastAsia="FangSong_GB2312"/>
      <w:sz w:val="24"/>
    </w:rPr>
  </w:style>
  <w:style w:type="paragraph" w:customStyle="1" w:styleId="909">
    <w:name w:val="_Style 8"/>
    <w:basedOn w:val="1"/>
    <w:autoRedefine/>
    <w:qFormat/>
    <w:uiPriority w:val="34"/>
    <w:pPr>
      <w:adjustRightInd/>
      <w:ind w:firstLine="420" w:firstLineChars="200"/>
    </w:pPr>
    <w:rPr>
      <w:rFonts w:eastAsia="FangSong_GB2312"/>
      <w:sz w:val="28"/>
    </w:rPr>
  </w:style>
  <w:style w:type="paragraph" w:customStyle="1" w:styleId="910">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2">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autoRedefine/>
    <w:qFormat/>
    <w:uiPriority w:val="6"/>
    <w:pPr>
      <w:widowControl/>
      <w:spacing w:after="160" w:line="240" w:lineRule="exact"/>
      <w:jc w:val="left"/>
    </w:pPr>
    <w:rPr>
      <w:rFonts w:eastAsia="FangSong_GB2312"/>
      <w:sz w:val="28"/>
    </w:rPr>
  </w:style>
  <w:style w:type="paragraph" w:customStyle="1" w:styleId="916">
    <w:name w:val="正文 图"/>
    <w:basedOn w:val="444"/>
    <w:autoRedefine/>
    <w:qFormat/>
    <w:uiPriority w:val="0"/>
    <w:pPr>
      <w:adjustRightInd/>
      <w:spacing w:before="0"/>
      <w:ind w:firstLine="0"/>
      <w:jc w:val="center"/>
    </w:pPr>
    <w:rPr>
      <w:rFonts w:ascii="微软雅黑" w:hAnsi="微软雅黑"/>
    </w:rPr>
  </w:style>
  <w:style w:type="paragraph" w:customStyle="1" w:styleId="917">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autoRedefine/>
    <w:qFormat/>
    <w:uiPriority w:val="0"/>
    <w:pPr>
      <w:ind w:left="0"/>
    </w:pPr>
  </w:style>
  <w:style w:type="paragraph" w:customStyle="1" w:styleId="920">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autoRedefine/>
    <w:qFormat/>
    <w:uiPriority w:val="0"/>
    <w:pPr>
      <w:adjustRightInd/>
      <w:spacing w:line="360" w:lineRule="auto"/>
      <w:ind w:firstLine="480"/>
    </w:pPr>
    <w:rPr>
      <w:sz w:val="24"/>
    </w:rPr>
  </w:style>
  <w:style w:type="table" w:customStyle="1" w:styleId="923">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autoRedefine/>
    <w:qFormat/>
    <w:uiPriority w:val="34"/>
    <w:pPr>
      <w:ind w:firstLine="420" w:firstLineChars="200"/>
    </w:pPr>
  </w:style>
  <w:style w:type="character" w:customStyle="1" w:styleId="93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autoRedefine/>
    <w:qFormat/>
    <w:uiPriority w:val="0"/>
    <w:rPr>
      <w:rFonts w:ascii="宋体" w:eastAsia="宋体"/>
      <w:snapToGrid w:val="0"/>
      <w:color w:val="000000"/>
      <w:kern w:val="28"/>
      <w:sz w:val="28"/>
      <w:lang w:val="en-US" w:eastAsia="zh-CN" w:bidi="ar-SA"/>
    </w:rPr>
  </w:style>
  <w:style w:type="character" w:customStyle="1" w:styleId="932">
    <w:name w:val="页脚 字符1"/>
    <w:autoRedefine/>
    <w:qFormat/>
    <w:uiPriority w:val="99"/>
    <w:rPr>
      <w:kern w:val="2"/>
      <w:sz w:val="18"/>
      <w:szCs w:val="18"/>
    </w:rPr>
  </w:style>
  <w:style w:type="character" w:customStyle="1" w:styleId="933">
    <w:name w:val="页眉 字符1"/>
    <w:autoRedefine/>
    <w:qFormat/>
    <w:uiPriority w:val="99"/>
    <w:rPr>
      <w:kern w:val="2"/>
      <w:sz w:val="18"/>
      <w:szCs w:val="18"/>
    </w:rPr>
  </w:style>
  <w:style w:type="character" w:customStyle="1" w:styleId="934">
    <w:name w:val="尾注文本 字符"/>
    <w:link w:val="37"/>
    <w:autoRedefine/>
    <w:qFormat/>
    <w:uiPriority w:val="0"/>
    <w:rPr>
      <w:kern w:val="2"/>
      <w:sz w:val="21"/>
      <w:szCs w:val="24"/>
      <w:lang w:val="zh-CN"/>
    </w:rPr>
  </w:style>
  <w:style w:type="character" w:customStyle="1" w:styleId="935">
    <w:name w:val="无间隔 Char"/>
    <w:link w:val="485"/>
    <w:autoRedefine/>
    <w:qFormat/>
    <w:uiPriority w:val="99"/>
    <w:rPr>
      <w:kern w:val="2"/>
      <w:sz w:val="21"/>
      <w:szCs w:val="22"/>
    </w:rPr>
  </w:style>
  <w:style w:type="character" w:customStyle="1" w:styleId="936">
    <w:name w:val="标准文本 Char Char"/>
    <w:link w:val="937"/>
    <w:autoRedefine/>
    <w:qFormat/>
    <w:uiPriority w:val="0"/>
    <w:rPr>
      <w:rFonts w:cs="宋体"/>
      <w:kern w:val="2"/>
      <w:sz w:val="24"/>
    </w:rPr>
  </w:style>
  <w:style w:type="paragraph" w:customStyle="1" w:styleId="937">
    <w:name w:val="标准文本"/>
    <w:basedOn w:val="1"/>
    <w:link w:val="936"/>
    <w:autoRedefine/>
    <w:qFormat/>
    <w:uiPriority w:val="0"/>
    <w:pPr>
      <w:adjustRightInd/>
      <w:spacing w:line="360" w:lineRule="auto"/>
      <w:ind w:firstLine="480" w:firstLineChars="200"/>
    </w:pPr>
    <w:rPr>
      <w:rFonts w:cs="宋体"/>
      <w:sz w:val="24"/>
      <w:szCs w:val="20"/>
    </w:rPr>
  </w:style>
  <w:style w:type="character" w:customStyle="1" w:styleId="938">
    <w:name w:val="Char Char213"/>
    <w:autoRedefine/>
    <w:qFormat/>
    <w:uiPriority w:val="0"/>
    <w:rPr>
      <w:rFonts w:eastAsia="Century Gothic"/>
      <w:b/>
      <w:bCs/>
      <w:kern w:val="44"/>
      <w:sz w:val="32"/>
      <w:szCs w:val="44"/>
      <w:lang w:val="en-US" w:eastAsia="zh-CN" w:bidi="ar-SA"/>
    </w:rPr>
  </w:style>
  <w:style w:type="character" w:customStyle="1" w:styleId="939">
    <w:name w:val="apple-style-span"/>
    <w:autoRedefine/>
    <w:qFormat/>
    <w:uiPriority w:val="0"/>
    <w:rPr>
      <w:rFonts w:ascii="Arial" w:hAnsi="Arial" w:eastAsia="黑体" w:cs="Arial"/>
      <w:snapToGrid w:val="0"/>
      <w:kern w:val="0"/>
      <w:szCs w:val="21"/>
    </w:rPr>
  </w:style>
  <w:style w:type="character" w:customStyle="1" w:styleId="940">
    <w:name w:val="15"/>
    <w:autoRedefine/>
    <w:qFormat/>
    <w:uiPriority w:val="0"/>
    <w:rPr>
      <w:rFonts w:hint="default" w:ascii="Calibri" w:hAnsi="Calibri"/>
      <w:color w:val="0000FF"/>
      <w:u w:val="single"/>
    </w:rPr>
  </w:style>
  <w:style w:type="character" w:customStyle="1" w:styleId="941">
    <w:name w:val="16"/>
    <w:autoRedefine/>
    <w:qFormat/>
    <w:uiPriority w:val="0"/>
    <w:rPr>
      <w:rFonts w:hint="eastAsia" w:ascii="宋体" w:hAnsi="宋体" w:eastAsia="宋体"/>
      <w:color w:val="000000"/>
      <w:sz w:val="20"/>
      <w:szCs w:val="20"/>
    </w:rPr>
  </w:style>
  <w:style w:type="character" w:customStyle="1" w:styleId="942">
    <w:name w:val="edui-unclickable"/>
    <w:autoRedefine/>
    <w:qFormat/>
    <w:uiPriority w:val="0"/>
    <w:rPr>
      <w:color w:val="808080"/>
    </w:rPr>
  </w:style>
  <w:style w:type="character" w:customStyle="1" w:styleId="943">
    <w:name w:val="tpc_content1"/>
    <w:autoRedefine/>
    <w:qFormat/>
    <w:uiPriority w:val="0"/>
    <w:rPr>
      <w:sz w:val="20"/>
      <w:szCs w:val="20"/>
    </w:rPr>
  </w:style>
  <w:style w:type="character" w:customStyle="1" w:styleId="944">
    <w:name w:val="正文文本缩进 字符"/>
    <w:autoRedefine/>
    <w:qFormat/>
    <w:uiPriority w:val="0"/>
    <w:rPr>
      <w:rFonts w:ascii="Century Gothic" w:hAnsi="Century Gothic" w:eastAsia="Century Gothic"/>
      <w:kern w:val="2"/>
      <w:sz w:val="24"/>
      <w:lang w:val="en-US" w:eastAsia="zh-CN" w:bidi="ar-SA"/>
    </w:rPr>
  </w:style>
  <w:style w:type="character" w:customStyle="1" w:styleId="945">
    <w:name w:val="正文文本 2 字符"/>
    <w:autoRedefine/>
    <w:qFormat/>
    <w:uiPriority w:val="0"/>
    <w:rPr>
      <w:rFonts w:ascii="Arial" w:hAnsi="Arial" w:eastAsia="宋体"/>
      <w:kern w:val="2"/>
      <w:sz w:val="24"/>
      <w:szCs w:val="24"/>
      <w:lang w:val="en-US" w:eastAsia="zh-CN" w:bidi="ar-SA"/>
    </w:rPr>
  </w:style>
  <w:style w:type="character" w:customStyle="1" w:styleId="946">
    <w:name w:val="edui-clickable2"/>
    <w:autoRedefine/>
    <w:qFormat/>
    <w:uiPriority w:val="0"/>
    <w:rPr>
      <w:color w:val="0000FF"/>
      <w:u w:val="single"/>
    </w:rPr>
  </w:style>
  <w:style w:type="character" w:customStyle="1" w:styleId="947">
    <w:name w:val="style1"/>
    <w:autoRedefine/>
    <w:qFormat/>
    <w:uiPriority w:val="0"/>
    <w:rPr>
      <w:rFonts w:ascii="Arial" w:hAnsi="Arial" w:eastAsia="黑体" w:cs="Arial"/>
      <w:snapToGrid w:val="0"/>
      <w:kern w:val="0"/>
      <w:szCs w:val="21"/>
    </w:rPr>
  </w:style>
  <w:style w:type="character" w:customStyle="1" w:styleId="948">
    <w:name w:val="zbggtop11 style5"/>
    <w:autoRedefine/>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0">
    <w:name w:val="bulletintext1"/>
    <w:autoRedefine/>
    <w:qFormat/>
    <w:uiPriority w:val="0"/>
    <w:rPr>
      <w:color w:val="000000"/>
      <w:sz w:val="18"/>
    </w:rPr>
  </w:style>
  <w:style w:type="paragraph" w:customStyle="1" w:styleId="951">
    <w:name w:val="_Style 947"/>
    <w:basedOn w:val="1"/>
    <w:next w:val="259"/>
    <w:autoRedefine/>
    <w:qFormat/>
    <w:uiPriority w:val="34"/>
    <w:pPr>
      <w:adjustRightInd/>
      <w:ind w:firstLine="420" w:firstLineChars="200"/>
    </w:pPr>
  </w:style>
  <w:style w:type="paragraph" w:customStyle="1" w:styleId="952">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autoRedefine/>
    <w:qFormat/>
    <w:uiPriority w:val="0"/>
    <w:pPr>
      <w:adjustRightInd/>
      <w:snapToGrid w:val="0"/>
      <w:jc w:val="left"/>
    </w:pPr>
    <w:rPr>
      <w:rFonts w:ascii="Century Gothic" w:hAnsi="KaiTi_GB2312" w:eastAsia="Century Gothic"/>
      <w:szCs w:val="20"/>
    </w:rPr>
  </w:style>
  <w:style w:type="paragraph" w:customStyle="1" w:styleId="954">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8">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autoRedefine/>
    <w:qFormat/>
    <w:uiPriority w:val="0"/>
    <w:pPr>
      <w:adjustRightInd/>
      <w:jc w:val="left"/>
    </w:pPr>
    <w:rPr>
      <w:rFonts w:ascii="Calibri" w:hAnsi="Calibri"/>
      <w:kern w:val="0"/>
      <w:sz w:val="22"/>
      <w:szCs w:val="22"/>
      <w:lang w:eastAsia="en-US"/>
    </w:rPr>
  </w:style>
  <w:style w:type="paragraph" w:customStyle="1" w:styleId="960">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1">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autoRedefine/>
    <w:qFormat/>
    <w:uiPriority w:val="0"/>
    <w:rPr>
      <w:color w:val="000000"/>
      <w:shd w:val="clear" w:color="auto" w:fill="EFD200"/>
    </w:rPr>
  </w:style>
  <w:style w:type="character" w:customStyle="1" w:styleId="964">
    <w:name w:val="font71"/>
    <w:autoRedefine/>
    <w:qFormat/>
    <w:uiPriority w:val="0"/>
    <w:rPr>
      <w:rFonts w:hint="eastAsia" w:ascii="宋体" w:hAnsi="宋体" w:eastAsia="宋体" w:cs="宋体"/>
      <w:color w:val="000000"/>
      <w:sz w:val="22"/>
      <w:szCs w:val="22"/>
      <w:u w:val="none"/>
    </w:rPr>
  </w:style>
  <w:style w:type="character" w:customStyle="1" w:styleId="965">
    <w:name w:val="font91"/>
    <w:autoRedefine/>
    <w:qFormat/>
    <w:uiPriority w:val="0"/>
    <w:rPr>
      <w:rFonts w:hint="eastAsia" w:ascii="仿宋" w:hAnsi="仿宋" w:eastAsia="仿宋" w:cs="仿宋"/>
      <w:color w:val="000000"/>
      <w:sz w:val="22"/>
      <w:szCs w:val="22"/>
      <w:u w:val="none"/>
    </w:rPr>
  </w:style>
  <w:style w:type="paragraph" w:customStyle="1" w:styleId="966">
    <w:name w:val="修订4"/>
    <w:autoRedefine/>
    <w:qFormat/>
    <w:uiPriority w:val="99"/>
    <w:rPr>
      <w:rFonts w:ascii="Times New Roman" w:hAnsi="Times New Roman" w:eastAsia="宋体" w:cs="Times New Roman"/>
      <w:kern w:val="2"/>
      <w:sz w:val="21"/>
      <w:szCs w:val="24"/>
      <w:lang w:val="en-US" w:eastAsia="zh-CN" w:bidi="ar-SA"/>
    </w:rPr>
  </w:style>
  <w:style w:type="character" w:customStyle="1" w:styleId="967">
    <w:name w:val="font251"/>
    <w:basedOn w:val="71"/>
    <w:autoRedefine/>
    <w:qFormat/>
    <w:uiPriority w:val="0"/>
    <w:rPr>
      <w:rFonts w:hint="eastAsia" w:ascii="宋体" w:hAnsi="宋体" w:eastAsia="宋体" w:cs="宋体"/>
      <w:color w:val="FF0000"/>
      <w:sz w:val="20"/>
      <w:szCs w:val="20"/>
      <w:u w:val="none"/>
    </w:rPr>
  </w:style>
  <w:style w:type="character" w:customStyle="1" w:styleId="968">
    <w:name w:val="font101"/>
    <w:basedOn w:val="71"/>
    <w:autoRedefine/>
    <w:qFormat/>
    <w:uiPriority w:val="0"/>
    <w:rPr>
      <w:rFonts w:hint="eastAsia" w:ascii="宋体" w:hAnsi="宋体" w:eastAsia="宋体" w:cs="宋体"/>
      <w:color w:val="000000"/>
      <w:sz w:val="20"/>
      <w:szCs w:val="20"/>
      <w:u w:val="none"/>
    </w:rPr>
  </w:style>
  <w:style w:type="character" w:customStyle="1" w:styleId="969">
    <w:name w:val="font261"/>
    <w:basedOn w:val="71"/>
    <w:autoRedefine/>
    <w:qFormat/>
    <w:uiPriority w:val="0"/>
    <w:rPr>
      <w:rFonts w:ascii="Arial" w:hAnsi="Arial" w:cs="Arial"/>
      <w:color w:val="333333"/>
      <w:sz w:val="20"/>
      <w:szCs w:val="20"/>
      <w:u w:val="none"/>
    </w:rPr>
  </w:style>
  <w:style w:type="character" w:customStyle="1" w:styleId="970">
    <w:name w:val="font171"/>
    <w:basedOn w:val="71"/>
    <w:autoRedefine/>
    <w:qFormat/>
    <w:uiPriority w:val="0"/>
    <w:rPr>
      <w:rFonts w:hint="eastAsia" w:ascii="宋体" w:hAnsi="宋体" w:eastAsia="宋体" w:cs="宋体"/>
      <w:color w:val="404040"/>
      <w:sz w:val="20"/>
      <w:szCs w:val="20"/>
      <w:u w:val="none"/>
    </w:rPr>
  </w:style>
  <w:style w:type="character" w:customStyle="1" w:styleId="971">
    <w:name w:val="font161"/>
    <w:basedOn w:val="71"/>
    <w:autoRedefine/>
    <w:qFormat/>
    <w:uiPriority w:val="0"/>
    <w:rPr>
      <w:rFonts w:hint="eastAsia" w:ascii="宋体" w:hAnsi="宋体" w:eastAsia="宋体" w:cs="宋体"/>
      <w:color w:val="000000"/>
      <w:sz w:val="20"/>
      <w:szCs w:val="20"/>
      <w:u w:val="none"/>
    </w:rPr>
  </w:style>
  <w:style w:type="character" w:customStyle="1" w:styleId="972">
    <w:name w:val="font271"/>
    <w:basedOn w:val="71"/>
    <w:autoRedefine/>
    <w:qFormat/>
    <w:uiPriority w:val="0"/>
    <w:rPr>
      <w:rFonts w:ascii="Calibri" w:hAnsi="Calibri" w:cs="Calibri"/>
      <w:color w:val="000000"/>
      <w:sz w:val="20"/>
      <w:szCs w:val="20"/>
      <w:u w:val="none"/>
    </w:rPr>
  </w:style>
  <w:style w:type="paragraph" w:customStyle="1" w:styleId="973">
    <w:name w:val="修订5"/>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974">
    <w:name w:val="font141"/>
    <w:basedOn w:val="71"/>
    <w:autoRedefine/>
    <w:qFormat/>
    <w:uiPriority w:val="0"/>
    <w:rPr>
      <w:rFonts w:ascii="Arial" w:hAnsi="Arial" w:cs="Arial"/>
      <w:color w:val="000000"/>
      <w:sz w:val="22"/>
      <w:szCs w:val="22"/>
      <w:u w:val="none"/>
    </w:rPr>
  </w:style>
  <w:style w:type="character" w:customStyle="1" w:styleId="975">
    <w:name w:val="font112"/>
    <w:basedOn w:val="71"/>
    <w:autoRedefine/>
    <w:qFormat/>
    <w:uiPriority w:val="0"/>
    <w:rPr>
      <w:rFonts w:hint="eastAsia" w:ascii="宋体" w:hAnsi="宋体" w:eastAsia="宋体" w:cs="宋体"/>
      <w:color w:val="000000"/>
      <w:sz w:val="21"/>
      <w:szCs w:val="21"/>
      <w:u w:val="none"/>
    </w:rPr>
  </w:style>
  <w:style w:type="character" w:customStyle="1" w:styleId="976">
    <w:name w:val="font121"/>
    <w:basedOn w:val="71"/>
    <w:autoRedefine/>
    <w:qFormat/>
    <w:uiPriority w:val="0"/>
    <w:rPr>
      <w:rFonts w:hint="eastAsia" w:ascii="宋体" w:hAnsi="宋体" w:eastAsia="宋体" w:cs="宋体"/>
      <w:color w:val="000000"/>
      <w:sz w:val="22"/>
      <w:szCs w:val="22"/>
      <w:u w:val="none"/>
    </w:rPr>
  </w:style>
  <w:style w:type="character" w:customStyle="1" w:styleId="977">
    <w:name w:val="font131"/>
    <w:basedOn w:val="71"/>
    <w:autoRedefine/>
    <w:qFormat/>
    <w:uiPriority w:val="0"/>
    <w:rPr>
      <w:rFonts w:ascii="MS Gothic" w:hAnsi="MS Gothic" w:eastAsia="MS Gothic" w:cs="MS Gothic"/>
      <w:color w:val="000000"/>
      <w:sz w:val="21"/>
      <w:szCs w:val="21"/>
      <w:u w:val="none"/>
    </w:rPr>
  </w:style>
  <w:style w:type="paragraph" w:customStyle="1" w:styleId="978">
    <w:name w:val="Body Text First Indent 21"/>
    <w:basedOn w:val="1"/>
    <w:autoRedefine/>
    <w:qFormat/>
    <w:uiPriority w:val="0"/>
    <w:pPr>
      <w:autoSpaceDE w:val="0"/>
      <w:autoSpaceDN w:val="0"/>
      <w:spacing w:after="120"/>
      <w:ind w:left="200" w:leftChars="200" w:firstLine="420"/>
    </w:pPr>
    <w:rPr>
      <w:rFonts w:ascii="宋体" w:hAnsi="Calibri"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8358</Words>
  <Characters>47643</Characters>
  <Lines>397</Lines>
  <Paragraphs>111</Paragraphs>
  <TotalTime>6</TotalTime>
  <ScaleCrop>false</ScaleCrop>
  <LinksUpToDate>false</LinksUpToDate>
  <CharactersWithSpaces>55890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囍多多</cp:lastModifiedBy>
  <cp:lastPrinted>2021-12-28T11:06:00Z</cp:lastPrinted>
  <dcterms:modified xsi:type="dcterms:W3CDTF">2024-05-16T08:35:45Z</dcterms:modified>
  <dc:title>杭州市市民卡扩大发卡工程</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E9D54FC872004B06BD6C07DC137C6351_13</vt:lpwstr>
  </property>
</Properties>
</file>